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2E6DA4"/>
          <w:sz w:val="20"/>
          <w:szCs w:val="20"/>
        </w:rPr>
        <w:t xml:space="preserve">REQUEST FOR INFORMATION RESPONSE</w:t>
      </w:r>
    </w:p>
    <w:p>
      <w:pPr>
        <w:spacing w:before="0" w:after="40"/>
      </w:pPr>
      <w:r>
        <w:rPr>
          <w:rFonts w:ascii="Arial" w:cs="Arial" w:eastAsia="Arial" w:hAnsi="Arial"/>
          <w:b/>
          <w:bCs/>
          <w:color w:val="1B2F5C"/>
          <w:sz w:val="52"/>
          <w:szCs w:val="52"/>
        </w:rPr>
        <w:t xml:space="preserve">AI Agent Security</w:t>
      </w:r>
    </w:p>
    <w:p>
      <w:pPr>
        <w:spacing w:before="0" w:after="200"/>
      </w:pPr>
      <w:r>
        <w:rPr>
          <w:rFonts w:ascii="Arial" w:cs="Arial" w:eastAsia="Arial" w:hAnsi="Arial"/>
          <w:color w:val="1E4F8C"/>
          <w:sz w:val="24"/>
          <w:szCs w:val="24"/>
        </w:rPr>
        <w:t xml:space="preserve">NIST Center for AI Standards and Innovation (CAISI)</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Submitted By:</w:t>
            </w:r>
          </w:p>
        </w:tc>
        <w:tc>
          <w:tcPr>
            <w:tcW w:type="dxa" w:w="732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Thomas Scola, Founder &amp; Principal Consultant, Bluefly.io
Customer Success Architect, GitLab</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Organization:</w:t>
            </w:r>
          </w:p>
        </w:tc>
        <w:tc>
          <w:tcPr>
            <w:tcW w:type="dxa" w:w="732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Bluefly.io | Open Standard Agents Organization (OSSA)</w:t>
            </w:r>
          </w:p>
        </w:tc>
      </w:tr>
      <w:tr>
        <w:tc>
          <w:tcPr>
            <w:tcW w:type="dxa" w:w="24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Submission Date:</w:t>
            </w:r>
          </w:p>
        </w:tc>
        <w:tc>
          <w:tcPr>
            <w:tcW w:type="dxa" w:w="732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March 2026</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RFI Reference:</w:t>
            </w:r>
          </w:p>
        </w:tc>
        <w:tc>
          <w:tcPr>
            <w:tcW w:type="dxa" w:w="732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NIST CAISI — Request for Information on AI Agent Security</w:t>
            </w:r>
          </w:p>
        </w:tc>
      </w:tr>
      <w:tr>
        <w:tc>
          <w:tcPr>
            <w:tcW w:type="dxa" w:w="24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Contact:</w:t>
            </w:r>
          </w:p>
        </w:tc>
        <w:tc>
          <w:tcPr>
            <w:tcW w:type="dxa" w:w="732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thomas@bluefly.io | https://bluefly.io | https://openstandardagents.org</w:t>
            </w:r>
          </w:p>
        </w:tc>
      </w:tr>
    </w:tbl>
    <w:p>
      <w:pPr>
        <w:spacing w:before="240" w:after="0"/>
      </w:pPr>
      <w:r>
        <w:t xml:space="preserve"/>
      </w:r>
    </w:p>
    <w:p>
      <w:pPr>
        <w:pBdr>
          <w:bottom w:val="single" w:color="D8DDE6" w:sz="6" w:space="1"/>
        </w:pBdr>
        <w:spacing w:before="160" w:after="160"/>
      </w:pPr>
    </w:p>
    <w:p>
      <w:pPr>
        <w:spacing w:before="80" w:after="0"/>
      </w:pPr>
      <w:r>
        <w:t xml:space="preserve"/>
      </w:r>
    </w:p>
    <w:p>
      <w:pPr>
        <w:pStyle w:val="Heading1"/>
        <w:pBdr>
          <w:bottom w:val="single" w:color="2E6DA4" w:sz="8" w:space="4"/>
        </w:pBdr>
        <w:spacing w:before="360" w:after="120"/>
      </w:pPr>
      <w:r>
        <w:rPr>
          <w:rFonts w:ascii="Arial" w:cs="Arial" w:eastAsia="Arial" w:hAnsi="Arial"/>
          <w:b/>
          <w:bCs/>
          <w:color w:val="1B2F5C"/>
          <w:sz w:val="28"/>
          <w:szCs w:val="28"/>
        </w:rPr>
        <w:t xml:space="preserve">Executive Summary</w:t>
      </w:r>
    </w:p>
    <w:p>
      <w:pPr>
        <w:spacing w:before="60" w:after="80"/>
        <w:jc w:val="both"/>
      </w:pPr>
      <w:r>
        <w:rPr>
          <w:rFonts w:ascii="Arial" w:cs="Arial" w:eastAsia="Arial" w:hAnsi="Arial"/>
          <w:color w:val="1A1A1A"/>
          <w:sz w:val="22"/>
          <w:szCs w:val="22"/>
        </w:rPr>
        <w:t xml:space="preserve">Bluefly.io and the Open Standard Agents Organization (OSSA) respectfully submit this response to NIST CAISI's Request for Information on AI Agent Security. We are a practitioner-led organization with direct, production-scale experience designing, deploying, and governing AI agent systems for government, public sector, and enterprise clients. Our perspective bridges the gap between theoretical frameworks and operational reality.</w:t>
      </w:r>
    </w:p>
    <w:p>
      <w:pPr>
        <w:spacing w:before="60" w:after="80"/>
        <w:jc w:val="both"/>
      </w:pPr>
      <w:r>
        <w:rPr>
          <w:rFonts w:ascii="Arial" w:cs="Arial" w:eastAsia="Arial" w:hAnsi="Arial"/>
          <w:color w:val="1A1A1A"/>
          <w:sz w:val="22"/>
          <w:szCs w:val="22"/>
        </w:rPr>
        <w:t xml:space="preserve">The central finding of this submission is that the most consequential security gap in today's AI agent ecosystem is the absence of a portable, verifiable agent identity contract — a machine-readable declaration of what an agent is, what it is authorized to do, and under what governance constraints it operates. Current protocols (MCP, A2A) address tool connectivity and agent communication but leave the agent's identity, authorization scope, compliance posture, and lifecycle policy undefined and unverifiable.</w:t>
      </w:r>
    </w:p>
    <w:p>
      <w:pPr>
        <w:spacing w:before="60" w:after="80"/>
        <w:jc w:val="both"/>
      </w:pPr>
      <w:r>
        <w:rPr>
          <w:rFonts w:ascii="Arial" w:cs="Arial" w:eastAsia="Arial" w:hAnsi="Arial"/>
          <w:color w:val="1A1A1A"/>
          <w:sz w:val="22"/>
          <w:szCs w:val="22"/>
        </w:rPr>
        <w:t xml:space="preserve">To address this gap, Bluefly.io has developed </w:t>
      </w:r>
      <w:r>
        <w:rPr>
          <w:rFonts w:ascii="Arial" w:cs="Arial" w:eastAsia="Arial" w:hAnsi="Arial"/>
          <w:b/>
          <w:bCs/>
          <w:color w:val="1A1A1A"/>
          <w:sz w:val="22"/>
          <w:szCs w:val="22"/>
        </w:rPr>
        <w:t xml:space="preserve">OSSA (Open Standard Agents)</w:t>
      </w:r>
      <w:r>
        <w:rPr>
          <w:rFonts w:ascii="Arial" w:cs="Arial" w:eastAsia="Arial" w:hAnsi="Arial"/>
          <w:color w:val="1A1A1A"/>
          <w:sz w:val="22"/>
          <w:szCs w:val="22"/>
        </w:rPr>
        <w:t xml:space="preserve"> — an Apache 2.0-licensed specification and CLI toolchain that provides a portable YAML manifest layer serving as the definitive agent contract. OSSA is not a competing protocol; it is the governance and portability layer that sits above MCP and A2A, referencing both. We believe OSSA's manifest model aligns directly with CAISI's three strategic pillars and provides a concrete, deployable foundation for the standards work the Initiative seeks to catalyze.</w:t>
      </w:r>
    </w:p>
    <w:p>
      <w:pPr>
        <w:spacing w:before="60" w:after="0"/>
      </w:pPr>
      <w:r>
        <w:t xml:space="preserve"/>
      </w:r>
    </w:p>
    <w:p>
      <w:pPr>
        <w:pBdr>
          <w:bottom w:val="single" w:color="D8DDE6" w:sz="6" w:space="1"/>
        </w:pBdr>
        <w:spacing w:before="160" w:after="160"/>
      </w:pPr>
    </w:p>
    <w:p>
      <w:pPr>
        <w:pStyle w:val="Heading1"/>
        <w:pBdr>
          <w:bottom w:val="single" w:color="2E6DA4" w:sz="8" w:space="4"/>
        </w:pBdr>
        <w:spacing w:before="360" w:after="120"/>
      </w:pPr>
      <w:r>
        <w:rPr>
          <w:rFonts w:ascii="Arial" w:cs="Arial" w:eastAsia="Arial" w:hAnsi="Arial"/>
          <w:b/>
          <w:bCs/>
          <w:color w:val="1B2F5C"/>
          <w:sz w:val="28"/>
          <w:szCs w:val="28"/>
        </w:rPr>
        <w:t xml:space="preserve">1. Submitting Organization Profile</w:t>
      </w:r>
    </w:p>
    <w:p>
      <w:pPr>
        <w:pStyle w:val="Heading2"/>
        <w:spacing w:before="280" w:after="80"/>
      </w:pPr>
      <w:r>
        <w:rPr>
          <w:rFonts w:ascii="Arial" w:cs="Arial" w:eastAsia="Arial" w:hAnsi="Arial"/>
          <w:b/>
          <w:bCs/>
          <w:color w:val="1E4F8C"/>
          <w:sz w:val="24"/>
          <w:szCs w:val="24"/>
        </w:rPr>
        <w:t xml:space="preserve">1.1 Bluefly.io</w:t>
      </w:r>
    </w:p>
    <w:p>
      <w:pPr>
        <w:spacing w:before="60" w:after="80"/>
        <w:jc w:val="both"/>
      </w:pPr>
      <w:r>
        <w:rPr>
          <w:rFonts w:ascii="Arial" w:cs="Arial" w:eastAsia="Arial" w:hAnsi="Arial"/>
          <w:color w:val="1A1A1A"/>
          <w:sz w:val="22"/>
          <w:szCs w:val="22"/>
        </w:rPr>
        <w:t xml:space="preserve">Bluefly.io is a GitLab-native, open-source consultancy specializing in secure, scalable digital platforms for public sector, higher education, healthcare, and enterprise clients. Founded by Thomas Scola — a 23-year technology veteran with 22 years of Drupal ecosystem expertise and 7 years as Senior Technical Manager at Acquia — the firm operates as a modular collective of senior-only practitioners.</w:t>
      </w:r>
    </w:p>
    <w:p>
      <w:pPr>
        <w:spacing w:before="60" w:after="80"/>
        <w:jc w:val="both"/>
      </w:pPr>
      <w:r>
        <w:rPr>
          <w:rFonts w:ascii="Arial" w:cs="Arial" w:eastAsia="Arial" w:hAnsi="Arial"/>
          <w:color w:val="1A1A1A"/>
          <w:sz w:val="22"/>
          <w:szCs w:val="22"/>
        </w:rPr>
        <w:t xml:space="preserve">Core delivery capabilities include Drupal 10/11 platform engineering, Acquia Cloud and AWS hybrid architecture, GitLab CI/CD pipeline design, FedRAMP/NIST-aligned security implementations, and — most relevant to this RFI — AI strategy, agent-based orchestration, and open-source LLM integration. Bluefly.io has delivered 50+ custom Drupal modules, 10+ large-scale platform migrations, and rescued multiple failed government technology programs.</w:t>
      </w:r>
    </w:p>
    <w:p>
      <w:pPr>
        <w:pStyle w:val="Heading2"/>
        <w:spacing w:before="280" w:after="80"/>
      </w:pPr>
      <w:r>
        <w:rPr>
          <w:rFonts w:ascii="Arial" w:cs="Arial" w:eastAsia="Arial" w:hAnsi="Arial"/>
          <w:b/>
          <w:bCs/>
          <w:color w:val="1E4F8C"/>
          <w:sz w:val="24"/>
          <w:szCs w:val="24"/>
        </w:rPr>
        <w:t xml:space="preserve">1.2 Open Standard Agents Organization (OSSA)</w:t>
      </w:r>
    </w:p>
    <w:p>
      <w:pPr>
        <w:spacing w:before="60" w:after="80"/>
        <w:jc w:val="both"/>
      </w:pPr>
      <w:r>
        <w:rPr>
          <w:rFonts w:ascii="Arial" w:cs="Arial" w:eastAsia="Arial" w:hAnsi="Arial"/>
          <w:color w:val="1A1A1A"/>
          <w:sz w:val="22"/>
          <w:szCs w:val="22"/>
        </w:rPr>
        <w:t xml:space="preserve">The Open Standard Agents Organization is the governing body for the OSSA specification — an open, vendor-neutral standard for AI agent portability, governance, and interoperability. Created by Thomas Scola and licensed under Apache 2.0, OSSA v0.4.5 is in active production use, with 9 export targets (Docker, Kubernetes, LangChain, CrewAI, GitLab, and others), 50+ example manifests, and a published CLI available via npm.</w:t>
      </w:r>
    </w:p>
    <w:p>
      <w:pPr>
        <w:spacing w:before="60" w:after="80"/>
        <w:jc w:val="both"/>
      </w:pPr>
      <w:r>
        <w:rPr>
          <w:rFonts w:ascii="Arial" w:cs="Arial" w:eastAsia="Arial" w:hAnsi="Arial"/>
          <w:color w:val="1A1A1A"/>
          <w:sz w:val="22"/>
          <w:szCs w:val="22"/>
        </w:rPr>
        <w:t xml:space="preserve">OSSA was designed explicitly to solve the problem CAISI's initiative targets: a fragmented, insecure, non-interoperable agent ecosystem. It provides the portable manifest layer that defines what an agent IS — its identity, capabilities, compliance posture, trust metadata, cost controls, and lifecycle policies — independent of any specific deployment platform or protocol stack.</w:t>
      </w:r>
    </w:p>
    <w:p>
      <w:pPr>
        <w:spacing w:before="60" w:after="0"/>
      </w:pPr>
      <w:r>
        <w:t xml:space="preserve"/>
      </w:r>
    </w:p>
    <w:p>
      <w:pPr>
        <w:pBdr>
          <w:bottom w:val="single" w:color="D8DDE6" w:sz="6" w:space="1"/>
        </w:pBdr>
        <w:spacing w:before="160" w:after="160"/>
      </w:pPr>
    </w:p>
    <w:p>
      <w:pPr>
        <w:pStyle w:val="Heading1"/>
        <w:pBdr>
          <w:bottom w:val="single" w:color="2E6DA4" w:sz="8" w:space="4"/>
        </w:pBdr>
        <w:spacing w:before="360" w:after="120"/>
      </w:pPr>
      <w:r>
        <w:rPr>
          <w:rFonts w:ascii="Arial" w:cs="Arial" w:eastAsia="Arial" w:hAnsi="Arial"/>
          <w:b/>
          <w:bCs/>
          <w:color w:val="1B2F5C"/>
          <w:sz w:val="28"/>
          <w:szCs w:val="28"/>
        </w:rPr>
        <w:t xml:space="preserve">2. The Threat Landscape: A Practitioner Assessment</w:t>
      </w:r>
    </w:p>
    <w:p>
      <w:pPr>
        <w:pStyle w:val="Heading2"/>
        <w:spacing w:before="280" w:after="80"/>
      </w:pPr>
      <w:r>
        <w:rPr>
          <w:rFonts w:ascii="Arial" w:cs="Arial" w:eastAsia="Arial" w:hAnsi="Arial"/>
          <w:b/>
          <w:bCs/>
          <w:color w:val="1E4F8C"/>
          <w:sz w:val="24"/>
          <w:szCs w:val="24"/>
        </w:rPr>
        <w:t xml:space="preserve">2.1 The Root Vulnerability: The Missing Agent Contract</w:t>
      </w:r>
    </w:p>
    <w:p>
      <w:pPr>
        <w:spacing w:before="60" w:after="80"/>
        <w:jc w:val="both"/>
      </w:pPr>
      <w:r>
        <w:rPr>
          <w:rFonts w:ascii="Arial" w:cs="Arial" w:eastAsia="Arial" w:hAnsi="Arial"/>
          <w:color w:val="1A1A1A"/>
          <w:sz w:val="22"/>
          <w:szCs w:val="22"/>
        </w:rPr>
        <w:t xml:space="preserve">Current AI agent architectures exhibit a foundational security gap: agents have no standardized, verifiable identity contract. When an agent is invoked, calling systems have no reliable mechanism to answer the following questions:</w:t>
      </w:r>
    </w:p>
    <w:p>
      <w:pPr>
        <w:pStyle w:val="ListParagraph"/>
        <w:numPr>
          <w:ilvl w:val="0"/>
          <w:numId w:val="2"/>
        </w:numPr>
        <w:spacing w:before="40" w:after="60"/>
      </w:pPr>
      <w:r>
        <w:rPr>
          <w:rFonts w:ascii="Arial" w:cs="Arial" w:eastAsia="Arial" w:hAnsi="Arial"/>
          <w:color w:val="1A1A1A"/>
          <w:sz w:val="22"/>
          <w:szCs w:val="22"/>
        </w:rPr>
        <w:t xml:space="preserve">What is this agent authorized to do, and by whom?</w:t>
      </w:r>
    </w:p>
    <w:p>
      <w:pPr>
        <w:pStyle w:val="ListParagraph"/>
        <w:numPr>
          <w:ilvl w:val="0"/>
          <w:numId w:val="2"/>
        </w:numPr>
        <w:spacing w:before="40" w:after="60"/>
      </w:pPr>
      <w:r>
        <w:rPr>
          <w:rFonts w:ascii="Arial" w:cs="Arial" w:eastAsia="Arial" w:hAnsi="Arial"/>
          <w:color w:val="1A1A1A"/>
          <w:sz w:val="22"/>
          <w:szCs w:val="22"/>
        </w:rPr>
        <w:t xml:space="preserve">What data can it access, and under what classification constraints?</w:t>
      </w:r>
    </w:p>
    <w:p>
      <w:pPr>
        <w:pStyle w:val="ListParagraph"/>
        <w:numPr>
          <w:ilvl w:val="0"/>
          <w:numId w:val="2"/>
        </w:numPr>
        <w:spacing w:before="40" w:after="60"/>
      </w:pPr>
      <w:r>
        <w:rPr>
          <w:rFonts w:ascii="Arial" w:cs="Arial" w:eastAsia="Arial" w:hAnsi="Arial"/>
          <w:color w:val="1A1A1A"/>
          <w:sz w:val="22"/>
          <w:szCs w:val="22"/>
        </w:rPr>
        <w:t xml:space="preserve">What compliance framework governs its operation?</w:t>
      </w:r>
    </w:p>
    <w:p>
      <w:pPr>
        <w:pStyle w:val="ListParagraph"/>
        <w:numPr>
          <w:ilvl w:val="0"/>
          <w:numId w:val="2"/>
        </w:numPr>
        <w:spacing w:before="40" w:after="60"/>
      </w:pPr>
      <w:r>
        <w:rPr>
          <w:rFonts w:ascii="Arial" w:cs="Arial" w:eastAsia="Arial" w:hAnsi="Arial"/>
          <w:color w:val="1A1A1A"/>
          <w:sz w:val="22"/>
          <w:szCs w:val="22"/>
        </w:rPr>
        <w:t xml:space="preserve">What are its cost and resource consumption limits?</w:t>
      </w:r>
    </w:p>
    <w:p>
      <w:pPr>
        <w:pStyle w:val="ListParagraph"/>
        <w:numPr>
          <w:ilvl w:val="0"/>
          <w:numId w:val="2"/>
        </w:numPr>
        <w:spacing w:before="40" w:after="60"/>
      </w:pPr>
      <w:r>
        <w:rPr>
          <w:rFonts w:ascii="Arial" w:cs="Arial" w:eastAsia="Arial" w:hAnsi="Arial"/>
          <w:color w:val="1A1A1A"/>
          <w:sz w:val="22"/>
          <w:szCs w:val="22"/>
        </w:rPr>
        <w:t xml:space="preserve">What human oversight or approval requirements apply to its actions?</w:t>
      </w:r>
    </w:p>
    <w:p>
      <w:pPr>
        <w:pStyle w:val="ListParagraph"/>
        <w:numPr>
          <w:ilvl w:val="0"/>
          <w:numId w:val="2"/>
        </w:numPr>
        <w:spacing w:before="40" w:after="60"/>
      </w:pPr>
      <w:r>
        <w:rPr>
          <w:rFonts w:ascii="Arial" w:cs="Arial" w:eastAsia="Arial" w:hAnsi="Arial"/>
          <w:color w:val="1A1A1A"/>
          <w:sz w:val="22"/>
          <w:szCs w:val="22"/>
        </w:rPr>
        <w:t xml:space="preserve">How was it built, and by whom? Is its provenance verifiable?</w:t>
      </w:r>
    </w:p>
    <w:p>
      <w:pPr>
        <w:spacing w:before="40" w:after="0"/>
      </w:pPr>
      <w:r>
        <w:t xml:space="preserve"/>
      </w:r>
    </w:p>
    <w:p>
      <w:pPr>
        <w:spacing w:before="60" w:after="80"/>
        <w:jc w:val="both"/>
      </w:pPr>
      <w:r>
        <w:rPr>
          <w:rFonts w:ascii="Arial" w:cs="Arial" w:eastAsia="Arial" w:hAnsi="Arial"/>
          <w:color w:val="1A1A1A"/>
          <w:sz w:val="22"/>
          <w:szCs w:val="22"/>
        </w:rPr>
        <w:t xml:space="preserve">Without these answers being cryptographically anchored or at minimum structurally declared, every agent interaction is a trust leap. This single gap underlies the majority of the threat categories we observe in practice.</w:t>
      </w:r>
    </w:p>
    <w:p>
      <w:pPr>
        <w:pStyle w:val="Heading2"/>
        <w:spacing w:before="280" w:after="80"/>
      </w:pPr>
      <w:r>
        <w:rPr>
          <w:rFonts w:ascii="Arial" w:cs="Arial" w:eastAsia="Arial" w:hAnsi="Arial"/>
          <w:b/>
          <w:bCs/>
          <w:color w:val="1E4F8C"/>
          <w:sz w:val="24"/>
          <w:szCs w:val="24"/>
        </w:rPr>
        <w:t xml:space="preserve">2.2 Categorized Threat Assessment</w:t>
      </w:r>
    </w:p>
    <w:p>
      <w:pPr>
        <w:spacing w:before="4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760"/>
      </w:tblGrid>
      <w:tr>
        <w:tc>
          <w:tcPr>
            <w:tcW w:type="dxa" w:w="2200"/>
            <w:tcBorders>
              <w:top w:val="single" w:color="D8DDE6" w:sz="1"/>
              <w:left w:val="single" w:color="D8DDE6" w:sz="1"/>
              <w:bottom w:val="single" w:color="D8DDE6" w:sz="1"/>
              <w:right w:val="single" w:color="D8DDE6" w:sz="1"/>
            </w:tcBorders>
            <w:shd w:fill="2E6DA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Threat Category</w:t>
            </w:r>
          </w:p>
        </w:tc>
        <w:tc>
          <w:tcPr>
            <w:tcW w:type="dxa" w:w="3760"/>
            <w:tcBorders>
              <w:top w:val="single" w:color="D8DDE6" w:sz="1"/>
              <w:left w:val="single" w:color="D8DDE6" w:sz="1"/>
              <w:bottom w:val="single" w:color="D8DDE6" w:sz="1"/>
              <w:right w:val="single" w:color="D8DDE6" w:sz="1"/>
            </w:tcBorders>
            <w:shd w:fill="2E6DA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 &amp; Attack Vector</w:t>
            </w:r>
          </w:p>
        </w:tc>
        <w:tc>
          <w:tcPr>
            <w:tcW w:type="dxa" w:w="3760"/>
            <w:tcBorders>
              <w:top w:val="single" w:color="D8DDE6" w:sz="1"/>
              <w:left w:val="single" w:color="D8DDE6" w:sz="1"/>
              <w:bottom w:val="single" w:color="D8DDE6" w:sz="1"/>
              <w:right w:val="single" w:color="D8DDE6" w:sz="1"/>
            </w:tcBorders>
            <w:shd w:fill="2E6DA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Bluefly/OSSA Field Observations</w:t>
            </w:r>
          </w:p>
        </w:tc>
      </w:tr>
      <w:tr>
        <w:tc>
          <w:tcPr>
            <w:tcW w:type="dxa" w:w="22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Tool Poisoning / MCP Injection</w:t>
            </w:r>
          </w:p>
        </w:tc>
        <w:tc>
          <w:tcPr>
            <w:tcW w:type="dxa" w:w="3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Malicious actors modify MCP tool descriptions to manipulate agent behavior. No native signing or verification in MCP v1.</w:t>
            </w:r>
          </w:p>
        </w:tc>
        <w:tc>
          <w:tcPr>
            <w:tcW w:type="dxa" w:w="3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Observed in prototype deployments: agents returned unexpected tool results when tool descriptions were altered at runtime. No audit trail captured the change.</w:t>
            </w:r>
          </w:p>
        </w:tc>
      </w:tr>
      <w:tr>
        <w:tc>
          <w:tcPr>
            <w:tcW w:type="dxa" w:w="220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Agent Identity Spoofing</w:t>
            </w:r>
          </w:p>
        </w:tc>
        <w:tc>
          <w:tcPr>
            <w:tcW w:type="dxa" w:w="37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Agents impersonate other agents or services in multi-agent pipelines. A2A agent cards are endpoint-specific and lack cross-system verification.</w:t>
            </w:r>
          </w:p>
        </w:tc>
        <w:tc>
          <w:tcPr>
            <w:tcW w:type="dxa" w:w="37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Multi-agent GitLab pipelines cannot verify that a downstream agent is the declared agent vs. a compromised or substituted instance.</w:t>
            </w:r>
          </w:p>
        </w:tc>
      </w:tr>
      <w:tr>
        <w:tc>
          <w:tcPr>
            <w:tcW w:type="dxa" w:w="22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Authorization Scope Creep</w:t>
            </w:r>
          </w:p>
        </w:tc>
        <w:tc>
          <w:tcPr>
            <w:tcW w:type="dxa" w:w="3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Agents accumulate permissions beyond their declared scope as they chain tool calls. No runtime constraint enforcement layer exists in standard frameworks.</w:t>
            </w:r>
          </w:p>
        </w:tc>
        <w:tc>
          <w:tcPr>
            <w:tcW w:type="dxa" w:w="3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Agents given broad tool access in LangChain/CrewAI deployments routinely exceeded intended operational boundaries in development testing.</w:t>
            </w:r>
          </w:p>
        </w:tc>
      </w:tr>
      <w:tr>
        <w:tc>
          <w:tcPr>
            <w:tcW w:type="dxa" w:w="220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Prompt Injection via External Content</w:t>
            </w:r>
          </w:p>
        </w:tc>
        <w:tc>
          <w:tcPr>
            <w:tcW w:type="dxa" w:w="37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Agents processing external documents or web content are vulnerable to embedded instructions that hijack agent execution flow.</w:t>
            </w:r>
          </w:p>
        </w:tc>
        <w:tc>
          <w:tcPr>
            <w:tcW w:type="dxa" w:w="37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Documented in public research (Hou et al., 2503.23278): 16 distinct threat scenarios in MCP alone. We have reproduced 7 of these in sandbox environments.</w:t>
            </w:r>
          </w:p>
        </w:tc>
      </w:tr>
      <w:tr>
        <w:tc>
          <w:tcPr>
            <w:tcW w:type="dxa" w:w="22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Supply Chain / Provenance Attacks</w:t>
            </w:r>
          </w:p>
        </w:tc>
        <w:tc>
          <w:tcPr>
            <w:tcW w:type="dxa" w:w="3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Agents sourced from registries or repositories lack provenance verification. A compromised agent module can be substituted without detection.</w:t>
            </w:r>
          </w:p>
        </w:tc>
        <w:tc>
          <w:tcPr>
            <w:tcW w:type="dxa" w:w="3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npm and PyPI ecosystem agent packages frequently lack signing. No current standard for agent manifest signing analogous to container image signing (Sigstore/Cosign).</w:t>
            </w:r>
          </w:p>
        </w:tc>
      </w:tr>
      <w:tr>
        <w:tc>
          <w:tcPr>
            <w:tcW w:type="dxa" w:w="220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Compliance and Data Classification Violations</w:t>
            </w:r>
          </w:p>
        </w:tc>
        <w:tc>
          <w:tcPr>
            <w:tcW w:type="dxa" w:w="37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Agents operating in regulated environments (healthcare, government) may process, transmit, or store data beyond their authorized classification level.</w:t>
            </w:r>
          </w:p>
        </w:tc>
        <w:tc>
          <w:tcPr>
            <w:tcW w:type="dxa" w:w="37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FedRAMP/NIST-aligned government deployments require explicit data handling declarations that no current agent framework provides natively.</w:t>
            </w:r>
          </w:p>
        </w:tc>
      </w:tr>
      <w:tr>
        <w:tc>
          <w:tcPr>
            <w:tcW w:type="dxa" w:w="22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Runaway Resource Consumption</w:t>
            </w:r>
          </w:p>
        </w:tc>
        <w:tc>
          <w:tcPr>
            <w:tcW w:type="dxa" w:w="3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Autonomous agents executing long-horizon tasks can consume unbounded compute, token, or API resources, creating denial-of-service conditions or cost exposure.</w:t>
            </w:r>
          </w:p>
        </w:tc>
        <w:tc>
          <w:tcPr>
            <w:tcW w:type="dxa" w:w="3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OSSA has implemented cost controls (daily token budgets, spend limits) in its manifest spec precisely because this was observed in early production deployments.</w:t>
            </w:r>
          </w:p>
        </w:tc>
      </w:tr>
    </w:tbl>
    <w:p>
      <w:pPr>
        <w:spacing w:before="60" w:after="0"/>
      </w:pPr>
      <w:r>
        <w:t xml:space="preserve"/>
      </w:r>
    </w:p>
    <w:p>
      <w:pPr>
        <w:pBdr>
          <w:bottom w:val="single" w:color="D8DDE6" w:sz="6" w:space="1"/>
        </w:pBdr>
        <w:spacing w:before="160" w:after="160"/>
      </w:pPr>
    </w:p>
    <w:p>
      <w:pPr>
        <w:pStyle w:val="Heading1"/>
        <w:pBdr>
          <w:bottom w:val="single" w:color="2E6DA4" w:sz="8" w:space="4"/>
        </w:pBdr>
        <w:spacing w:before="360" w:after="120"/>
      </w:pPr>
      <w:r>
        <w:rPr>
          <w:rFonts w:ascii="Arial" w:cs="Arial" w:eastAsia="Arial" w:hAnsi="Arial"/>
          <w:b/>
          <w:bCs/>
          <w:color w:val="1B2F5C"/>
          <w:sz w:val="28"/>
          <w:szCs w:val="28"/>
        </w:rPr>
        <w:t xml:space="preserve">3. The OSSA Solution Architecture</w:t>
      </w:r>
    </w:p>
    <w:p>
      <w:pPr>
        <w:pStyle w:val="Heading2"/>
        <w:spacing w:before="280" w:after="80"/>
      </w:pPr>
      <w:r>
        <w:rPr>
          <w:rFonts w:ascii="Arial" w:cs="Arial" w:eastAsia="Arial" w:hAnsi="Arial"/>
          <w:b/>
          <w:bCs/>
          <w:color w:val="1E4F8C"/>
          <w:sz w:val="24"/>
          <w:szCs w:val="24"/>
        </w:rPr>
        <w:t xml:space="preserve">3.1 Design Philosophy: Security as a First-Class Manifest Property</w:t>
      </w:r>
    </w:p>
    <w:p>
      <w:pPr>
        <w:spacing w:before="60" w:after="80"/>
        <w:jc w:val="both"/>
      </w:pPr>
      <w:r>
        <w:rPr>
          <w:rFonts w:ascii="Arial" w:cs="Arial" w:eastAsia="Arial" w:hAnsi="Arial"/>
          <w:color w:val="1A1A1A"/>
          <w:sz w:val="22"/>
          <w:szCs w:val="22"/>
        </w:rPr>
        <w:t xml:space="preserve">OSSA was designed from the outset with the conviction that agent security cannot be bolted on after deployment — it must be declared, structured, and verifiable at the manifest level before an agent is instantiated. This philosophy directly informs every section of the OSSA specification.</w:t>
      </w:r>
    </w:p>
    <w:p>
      <w:pPr>
        <w:spacing w:before="60" w:after="80"/>
        <w:jc w:val="both"/>
      </w:pPr>
      <w:r>
        <w:rPr>
          <w:rFonts w:ascii="Arial" w:cs="Arial" w:eastAsia="Arial" w:hAnsi="Arial"/>
          <w:color w:val="1A1A1A"/>
          <w:sz w:val="22"/>
          <w:szCs w:val="22"/>
        </w:rPr>
        <w:t xml:space="preserve">The OSSA manifest is a portable YAML document — the </w:t>
      </w:r>
      <w:r>
        <w:rPr>
          <w:rFonts w:ascii="Arial" w:cs="Arial" w:eastAsia="Arial" w:hAnsi="Arial"/>
          <w:b/>
          <w:bCs/>
          <w:color w:val="1A1A1A"/>
          <w:sz w:val="22"/>
          <w:szCs w:val="22"/>
        </w:rPr>
        <w:t xml:space="preserve">agent contract</w:t>
      </w:r>
      <w:r>
        <w:rPr>
          <w:rFonts w:ascii="Arial" w:cs="Arial" w:eastAsia="Arial" w:hAnsi="Arial"/>
          <w:color w:val="1A1A1A"/>
          <w:sz w:val="22"/>
          <w:szCs w:val="22"/>
        </w:rPr>
        <w:t xml:space="preserve"> — that defines the complete identity, capability, governance, and operational profile of an AI agent. It sits above protocol layers (MCP, A2A) and deployment platforms (Docker, Kubernetes, GitLab, LangChain), serving as the single source of truth that can be validated, signed, and audited independent of any runtime environment.</w:t>
      </w:r>
    </w:p>
    <w:p>
      <w:pPr>
        <w:pStyle w:val="Heading2"/>
        <w:spacing w:before="280" w:after="80"/>
      </w:pPr>
      <w:r>
        <w:rPr>
          <w:rFonts w:ascii="Arial" w:cs="Arial" w:eastAsia="Arial" w:hAnsi="Arial"/>
          <w:b/>
          <w:bCs/>
          <w:color w:val="1E4F8C"/>
          <w:sz w:val="24"/>
          <w:szCs w:val="24"/>
        </w:rPr>
        <w:t xml:space="preserve">3.2 Security-Relevant Manifest Capabilities</w:t>
      </w:r>
    </w:p>
    <w:p>
      <w:pPr>
        <w:pStyle w:val="Heading3"/>
        <w:spacing w:before="200" w:after="60"/>
      </w:pPr>
      <w:r>
        <w:rPr>
          <w:rFonts w:ascii="Arial" w:cs="Arial" w:eastAsia="Arial" w:hAnsi="Arial"/>
          <w:b/>
          <w:bCs/>
          <w:color w:val="2E6DA4"/>
          <w:sz w:val="22"/>
          <w:szCs w:val="22"/>
        </w:rPr>
        <w:t xml:space="preserve">Agent Identity and Provenance</w:t>
      </w:r>
    </w:p>
    <w:p>
      <w:pPr>
        <w:pStyle w:val="ListParagraph"/>
        <w:numPr>
          <w:ilvl w:val="0"/>
          <w:numId w:val="2"/>
        </w:numPr>
        <w:spacing w:before="40" w:after="60"/>
      </w:pPr>
      <w:r>
        <w:rPr>
          <w:rFonts w:ascii="Arial" w:cs="Arial" w:eastAsia="Arial" w:hAnsi="Arial"/>
          <w:color w:val="1A1A1A"/>
          <w:sz w:val="22"/>
          <w:szCs w:val="22"/>
        </w:rPr>
        <w:t xml:space="preserve">Structured namespace, name, and version fields provide stable, unique agent identity</w:t>
      </w:r>
    </w:p>
    <w:p>
      <w:pPr>
        <w:pStyle w:val="ListParagraph"/>
        <w:numPr>
          <w:ilvl w:val="0"/>
          <w:numId w:val="2"/>
        </w:numPr>
        <w:spacing w:before="40" w:after="60"/>
      </w:pPr>
      <w:r>
        <w:rPr>
          <w:rFonts w:ascii="Arial" w:cs="Arial" w:eastAsia="Arial" w:hAnsi="Arial"/>
          <w:color w:val="1A1A1A"/>
          <w:sz w:val="22"/>
          <w:szCs w:val="22"/>
        </w:rPr>
        <w:t xml:space="preserve">Manifest version-pinning enables reproducible deployments and change auditing</w:t>
      </w:r>
    </w:p>
    <w:p>
      <w:pPr>
        <w:pStyle w:val="ListParagraph"/>
        <w:numPr>
          <w:ilvl w:val="0"/>
          <w:numId w:val="2"/>
        </w:numPr>
        <w:spacing w:before="40" w:after="60"/>
      </w:pPr>
      <w:r>
        <w:rPr>
          <w:rFonts w:ascii="Arial" w:cs="Arial" w:eastAsia="Arial" w:hAnsi="Arial"/>
          <w:color w:val="1A1A1A"/>
          <w:sz w:val="22"/>
          <w:szCs w:val="22"/>
        </w:rPr>
        <w:t xml:space="preserve">Publisher metadata supports supply-chain provenance declaration</w:t>
      </w:r>
    </w:p>
    <w:p>
      <w:pPr>
        <w:pStyle w:val="ListParagraph"/>
        <w:numPr>
          <w:ilvl w:val="0"/>
          <w:numId w:val="2"/>
        </w:numPr>
        <w:spacing w:before="40" w:after="60"/>
      </w:pPr>
      <w:r>
        <w:rPr>
          <w:rFonts w:ascii="Arial" w:cs="Arial" w:eastAsia="Arial" w:hAnsi="Arial"/>
          <w:color w:val="1A1A1A"/>
          <w:sz w:val="22"/>
          <w:szCs w:val="22"/>
        </w:rPr>
        <w:t xml:space="preserve">Integration path for cryptographic signing (Sigstore/Cosign compatibility roadmap)</w:t>
      </w:r>
    </w:p>
    <w:p>
      <w:pPr>
        <w:pStyle w:val="Heading3"/>
        <w:spacing w:before="200" w:after="60"/>
      </w:pPr>
      <w:r>
        <w:rPr>
          <w:rFonts w:ascii="Arial" w:cs="Arial" w:eastAsia="Arial" w:hAnsi="Arial"/>
          <w:b/>
          <w:bCs/>
          <w:color w:val="2E6DA4"/>
          <w:sz w:val="22"/>
          <w:szCs w:val="22"/>
        </w:rPr>
        <w:t xml:space="preserve">Authorization and Capability Declaration</w:t>
      </w:r>
    </w:p>
    <w:p>
      <w:pPr>
        <w:pStyle w:val="ListParagraph"/>
        <w:numPr>
          <w:ilvl w:val="0"/>
          <w:numId w:val="2"/>
        </w:numPr>
        <w:spacing w:before="40" w:after="60"/>
      </w:pPr>
      <w:r>
        <w:rPr>
          <w:rFonts w:ascii="Arial" w:cs="Arial" w:eastAsia="Arial" w:hAnsi="Arial"/>
          <w:color w:val="1A1A1A"/>
          <w:sz w:val="22"/>
          <w:szCs w:val="22"/>
        </w:rPr>
        <w:t xml:space="preserve">Explicit tool inventory: every MCP server, API endpoint, and built-in capability must be declared</w:t>
      </w:r>
    </w:p>
    <w:p>
      <w:pPr>
        <w:pStyle w:val="ListParagraph"/>
        <w:numPr>
          <w:ilvl w:val="0"/>
          <w:numId w:val="2"/>
        </w:numPr>
        <w:spacing w:before="40" w:after="60"/>
      </w:pPr>
      <w:r>
        <w:rPr>
          <w:rFonts w:ascii="Arial" w:cs="Arial" w:eastAsia="Arial" w:hAnsi="Arial"/>
          <w:color w:val="1A1A1A"/>
          <w:sz w:val="22"/>
          <w:szCs w:val="22"/>
        </w:rPr>
        <w:t xml:space="preserve">Autonomy level specification: supervised, semi-autonomous, or autonomous modes with defined approval workflows</w:t>
      </w:r>
    </w:p>
    <w:p>
      <w:pPr>
        <w:pStyle w:val="ListParagraph"/>
        <w:numPr>
          <w:ilvl w:val="0"/>
          <w:numId w:val="2"/>
        </w:numPr>
        <w:spacing w:before="40" w:after="60"/>
      </w:pPr>
      <w:r>
        <w:rPr>
          <w:rFonts w:ascii="Arial" w:cs="Arial" w:eastAsia="Arial" w:hAnsi="Arial"/>
          <w:color w:val="1A1A1A"/>
          <w:sz w:val="22"/>
          <w:szCs w:val="22"/>
        </w:rPr>
        <w:t xml:space="preserve">Action allow/block lists: explicit enumeration of permitted and prohibited agent actions</w:t>
      </w:r>
    </w:p>
    <w:p>
      <w:pPr>
        <w:pStyle w:val="ListParagraph"/>
        <w:numPr>
          <w:ilvl w:val="0"/>
          <w:numId w:val="2"/>
        </w:numPr>
        <w:spacing w:before="40" w:after="60"/>
      </w:pPr>
      <w:r>
        <w:rPr>
          <w:rFonts w:ascii="Arial" w:cs="Arial" w:eastAsia="Arial" w:hAnsi="Arial"/>
          <w:color w:val="1A1A1A"/>
          <w:sz w:val="22"/>
          <w:szCs w:val="22"/>
        </w:rPr>
        <w:t xml:space="preserve">Human-in-the-loop configuration: intervention points, escalation policies, and approval requirements</w:t>
      </w:r>
    </w:p>
    <w:p>
      <w:pPr>
        <w:pStyle w:val="Heading3"/>
        <w:spacing w:before="200" w:after="60"/>
      </w:pPr>
      <w:r>
        <w:rPr>
          <w:rFonts w:ascii="Arial" w:cs="Arial" w:eastAsia="Arial" w:hAnsi="Arial"/>
          <w:b/>
          <w:bCs/>
          <w:color w:val="2E6DA4"/>
          <w:sz w:val="22"/>
          <w:szCs w:val="22"/>
        </w:rPr>
        <w:t xml:space="preserve">Compliance Metadata</w:t>
      </w:r>
    </w:p>
    <w:p>
      <w:pPr>
        <w:pStyle w:val="ListParagraph"/>
        <w:numPr>
          <w:ilvl w:val="0"/>
          <w:numId w:val="2"/>
        </w:numPr>
        <w:spacing w:before="40" w:after="60"/>
      </w:pPr>
      <w:r>
        <w:rPr>
          <w:rFonts w:ascii="Arial" w:cs="Arial" w:eastAsia="Arial" w:hAnsi="Arial"/>
          <w:color w:val="1A1A1A"/>
          <w:sz w:val="22"/>
          <w:szCs w:val="22"/>
        </w:rPr>
        <w:t xml:space="preserve">SOC2, HIPAA, GDPR, and FedRAMP compliance declarations as structured manifest metadata</w:t>
      </w:r>
    </w:p>
    <w:p>
      <w:pPr>
        <w:pStyle w:val="ListParagraph"/>
        <w:numPr>
          <w:ilvl w:val="0"/>
          <w:numId w:val="2"/>
        </w:numPr>
        <w:spacing w:before="40" w:after="60"/>
      </w:pPr>
      <w:r>
        <w:rPr>
          <w:rFonts w:ascii="Arial" w:cs="Arial" w:eastAsia="Arial" w:hAnsi="Arial"/>
          <w:color w:val="1A1A1A"/>
          <w:sz w:val="22"/>
          <w:szCs w:val="22"/>
        </w:rPr>
        <w:t xml:space="preserve">Data classification handling specifications (not yet standardized — see Section 5 recommendations)</w:t>
      </w:r>
    </w:p>
    <w:p>
      <w:pPr>
        <w:pStyle w:val="ListParagraph"/>
        <w:numPr>
          <w:ilvl w:val="0"/>
          <w:numId w:val="2"/>
        </w:numPr>
        <w:spacing w:before="40" w:after="60"/>
      </w:pPr>
      <w:r>
        <w:rPr>
          <w:rFonts w:ascii="Arial" w:cs="Arial" w:eastAsia="Arial" w:hAnsi="Arial"/>
          <w:color w:val="1A1A1A"/>
          <w:sz w:val="22"/>
          <w:szCs w:val="22"/>
        </w:rPr>
        <w:t xml:space="preserve">Audit trail configuration: what the agent logs, to where, and in what format</w:t>
      </w:r>
    </w:p>
    <w:p>
      <w:pPr>
        <w:pStyle w:val="ListParagraph"/>
        <w:numPr>
          <w:ilvl w:val="0"/>
          <w:numId w:val="2"/>
        </w:numPr>
        <w:spacing w:before="40" w:after="60"/>
      </w:pPr>
      <w:r>
        <w:rPr>
          <w:rFonts w:ascii="Arial" w:cs="Arial" w:eastAsia="Arial" w:hAnsi="Arial"/>
          <w:color w:val="1A1A1A"/>
          <w:sz w:val="22"/>
          <w:szCs w:val="22"/>
        </w:rPr>
        <w:t xml:space="preserve">Governance as first-class metadata, not a post-deployment annotation</w:t>
      </w:r>
    </w:p>
    <w:p>
      <w:pPr>
        <w:pStyle w:val="Heading3"/>
        <w:spacing w:before="200" w:after="60"/>
      </w:pPr>
      <w:r>
        <w:rPr>
          <w:rFonts w:ascii="Arial" w:cs="Arial" w:eastAsia="Arial" w:hAnsi="Arial"/>
          <w:b/>
          <w:bCs/>
          <w:color w:val="2E6DA4"/>
          <w:sz w:val="22"/>
          <w:szCs w:val="22"/>
        </w:rPr>
        <w:t xml:space="preserve">Cost and Resource Controls</w:t>
      </w:r>
    </w:p>
    <w:p>
      <w:pPr>
        <w:pStyle w:val="ListParagraph"/>
        <w:numPr>
          <w:ilvl w:val="0"/>
          <w:numId w:val="2"/>
        </w:numPr>
        <w:spacing w:before="40" w:after="60"/>
      </w:pPr>
      <w:r>
        <w:rPr>
          <w:rFonts w:ascii="Arial" w:cs="Arial" w:eastAsia="Arial" w:hAnsi="Arial"/>
          <w:color w:val="1A1A1A"/>
          <w:sz w:val="22"/>
          <w:szCs w:val="22"/>
        </w:rPr>
        <w:t xml:space="preserve">Daily token budget limits and per-request token caps</w:t>
      </w:r>
    </w:p>
    <w:p>
      <w:pPr>
        <w:pStyle w:val="ListParagraph"/>
        <w:numPr>
          <w:ilvl w:val="0"/>
          <w:numId w:val="2"/>
        </w:numPr>
        <w:spacing w:before="40" w:after="60"/>
      </w:pPr>
      <w:r>
        <w:rPr>
          <w:rFonts w:ascii="Arial" w:cs="Arial" w:eastAsia="Arial" w:hAnsi="Arial"/>
          <w:color w:val="1A1A1A"/>
          <w:sz w:val="22"/>
          <w:szCs w:val="22"/>
        </w:rPr>
        <w:t xml:space="preserve">API spend limits with configurable enforcement actions (warn, throttle, halt)</w:t>
      </w:r>
    </w:p>
    <w:p>
      <w:pPr>
        <w:pStyle w:val="ListParagraph"/>
        <w:numPr>
          <w:ilvl w:val="0"/>
          <w:numId w:val="2"/>
        </w:numPr>
        <w:spacing w:before="40" w:after="60"/>
      </w:pPr>
      <w:r>
        <w:rPr>
          <w:rFonts w:ascii="Arial" w:cs="Arial" w:eastAsia="Arial" w:hAnsi="Arial"/>
          <w:color w:val="1A1A1A"/>
          <w:sz w:val="22"/>
          <w:szCs w:val="22"/>
        </w:rPr>
        <w:t xml:space="preserve">Resource consumption contracts that can be enforced at the platform layer</w:t>
      </w:r>
    </w:p>
    <w:p>
      <w:pPr>
        <w:pStyle w:val="Heading3"/>
        <w:spacing w:before="200" w:after="60"/>
      </w:pPr>
      <w:r>
        <w:rPr>
          <w:rFonts w:ascii="Arial" w:cs="Arial" w:eastAsia="Arial" w:hAnsi="Arial"/>
          <w:b/>
          <w:bCs/>
          <w:color w:val="2E6DA4"/>
          <w:sz w:val="22"/>
          <w:szCs w:val="22"/>
        </w:rPr>
        <w:t xml:space="preserve">Observability and Trust Transparency</w:t>
      </w:r>
    </w:p>
    <w:p>
      <w:pPr>
        <w:pStyle w:val="ListParagraph"/>
        <w:numPr>
          <w:ilvl w:val="0"/>
          <w:numId w:val="2"/>
        </w:numPr>
        <w:spacing w:before="40" w:after="60"/>
      </w:pPr>
      <w:r>
        <w:rPr>
          <w:rFonts w:ascii="Arial" w:cs="Arial" w:eastAsia="Arial" w:hAnsi="Arial"/>
          <w:color w:val="1A1A1A"/>
          <w:sz w:val="22"/>
          <w:szCs w:val="22"/>
        </w:rPr>
        <w:t xml:space="preserve">OpenTelemetry tracing configuration built into the manifest</w:t>
      </w:r>
    </w:p>
    <w:p>
      <w:pPr>
        <w:pStyle w:val="ListParagraph"/>
        <w:numPr>
          <w:ilvl w:val="0"/>
          <w:numId w:val="2"/>
        </w:numPr>
        <w:spacing w:before="40" w:after="60"/>
      </w:pPr>
      <w:r>
        <w:rPr>
          <w:rFonts w:ascii="Arial" w:cs="Arial" w:eastAsia="Arial" w:hAnsi="Arial"/>
          <w:color w:val="1A1A1A"/>
          <w:sz w:val="22"/>
          <w:szCs w:val="22"/>
        </w:rPr>
        <w:t xml:space="preserve">Prometheus metrics declarations for operational monitoring</w:t>
      </w:r>
    </w:p>
    <w:p>
      <w:pPr>
        <w:pStyle w:val="ListParagraph"/>
        <w:numPr>
          <w:ilvl w:val="0"/>
          <w:numId w:val="2"/>
        </w:numPr>
        <w:spacing w:before="40" w:after="60"/>
      </w:pPr>
      <w:r>
        <w:rPr>
          <w:rFonts w:ascii="Arial" w:cs="Arial" w:eastAsia="Arial" w:hAnsi="Arial"/>
          <w:color w:val="1A1A1A"/>
          <w:sz w:val="22"/>
          <w:szCs w:val="22"/>
        </w:rPr>
        <w:t xml:space="preserve">Structured logging with configurable verbosity and destination</w:t>
      </w:r>
    </w:p>
    <w:p>
      <w:pPr>
        <w:pStyle w:val="ListParagraph"/>
        <w:numPr>
          <w:ilvl w:val="0"/>
          <w:numId w:val="2"/>
        </w:numPr>
        <w:spacing w:before="40" w:after="60"/>
      </w:pPr>
      <w:r>
        <w:rPr>
          <w:rFonts w:ascii="Arial" w:cs="Arial" w:eastAsia="Arial" w:hAnsi="Arial"/>
          <w:color w:val="1A1A1A"/>
          <w:sz w:val="22"/>
          <w:szCs w:val="22"/>
        </w:rPr>
        <w:t xml:space="preserve">Capability attestation: what the agent claims to do vs. what it is permitted to do</w:t>
      </w:r>
    </w:p>
    <w:p>
      <w:pPr>
        <w:pStyle w:val="Heading2"/>
        <w:spacing w:before="280" w:after="80"/>
      </w:pPr>
      <w:r>
        <w:rPr>
          <w:rFonts w:ascii="Arial" w:cs="Arial" w:eastAsia="Arial" w:hAnsi="Arial"/>
          <w:b/>
          <w:bCs/>
          <w:color w:val="1E4F8C"/>
          <w:sz w:val="24"/>
          <w:szCs w:val="24"/>
        </w:rPr>
        <w:t xml:space="preserve">3.3 The M×N Fragmentation Problem and Security Implications</w:t>
      </w:r>
    </w:p>
    <w:p>
      <w:pPr>
        <w:spacing w:before="60" w:after="80"/>
        <w:jc w:val="both"/>
      </w:pPr>
      <w:r>
        <w:rPr>
          <w:rFonts w:ascii="Arial" w:cs="Arial" w:eastAsia="Arial" w:hAnsi="Arial"/>
          <w:color w:val="1A1A1A"/>
          <w:sz w:val="22"/>
          <w:szCs w:val="22"/>
        </w:rPr>
        <w:t xml:space="preserve">A critical but underappreciated security consequence of the current fragmented ecosystem is what OSSA terms the </w:t>
      </w:r>
      <w:r>
        <w:rPr>
          <w:rFonts w:ascii="Arial" w:cs="Arial" w:eastAsia="Arial" w:hAnsi="Arial"/>
          <w:b/>
          <w:bCs/>
          <w:color w:val="1A1A1A"/>
          <w:sz w:val="22"/>
          <w:szCs w:val="22"/>
        </w:rPr>
        <w:t xml:space="preserve">M×N configuration problem</w:t>
      </w:r>
      <w:r>
        <w:rPr>
          <w:rFonts w:ascii="Arial" w:cs="Arial" w:eastAsia="Arial" w:hAnsi="Arial"/>
          <w:color w:val="1A1A1A"/>
          <w:sz w:val="22"/>
          <w:szCs w:val="22"/>
        </w:rPr>
        <w:t xml:space="preserve">. When M agent types must be deployed across N platforms, teams maintain M×N configuration files. Each configuration is a potential drift point — a vector for security misconfiguration, compliance gap, and governance inconsistency.</w:t>
      </w:r>
    </w:p>
    <w:p>
      <w:pPr>
        <w:spacing w:before="60" w:after="80"/>
        <w:jc w:val="both"/>
      </w:pPr>
      <w:r>
        <w:rPr>
          <w:rFonts w:ascii="Arial" w:cs="Arial" w:eastAsia="Arial" w:hAnsi="Arial"/>
          <w:color w:val="1A1A1A"/>
          <w:sz w:val="22"/>
          <w:szCs w:val="22"/>
        </w:rPr>
        <w:t xml:space="preserve">OSSA eliminates this attack surface by collapsing M×N configurations to M single-source manifests that export to any platform. Security policy is declared once, validated against the OSSA schema, and propagated consistently to every target environment. A compliance declaration in the manifest cannot be accidentally omitted in the Docker export if it drives the export generator.</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DE6" w:sz="1"/>
              <w:left w:val="single" w:color="D8DDE6" w:sz="1"/>
              <w:bottom w:val="single" w:color="D8DDE6" w:sz="1"/>
              <w:right w:val="single" w:color="D8DDE6" w:sz="1"/>
            </w:tcBorders>
            <w:shd w:fill="F0F4FA" w:val="clear"/>
            <w:tcMar>
              <w:top w:type="dxa" w:w="120"/>
              <w:left w:type="dxa" w:w="200"/>
              <w:bottom w:type="dxa" w:w="120"/>
              <w:right w:type="dxa" w:w="200"/>
            </w:tcMar>
          </w:tcPr>
          <w:p>
            <w:pPr>
              <w:spacing w:before="0" w:after="80"/>
            </w:pPr>
            <w:r>
              <w:rPr>
                <w:rFonts w:ascii="Courier New" w:cs="Courier New" w:eastAsia="Courier New" w:hAnsi="Courier New"/>
                <w:b/>
                <w:bCs/>
                <w:color w:val="1B2F5C"/>
                <w:sz w:val="18"/>
                <w:szCs w:val="18"/>
              </w:rPr>
              <w:t xml:space="preserve">OSSA Manifest — Security Fields Example (v0.4.5)</w:t>
            </w:r>
          </w:p>
          <w:p>
            <w:pPr>
              <w:spacing w:before="0" w:after="0"/>
            </w:pPr>
            <w:r>
              <w:rPr>
                <w:rFonts w:ascii="Courier New" w:cs="Courier New" w:eastAsia="Courier New" w:hAnsi="Courier New"/>
                <w:color w:val="1E4F8C"/>
                <w:sz w:val="18"/>
                <w:szCs w:val="18"/>
              </w:rPr>
              <w:t xml:space="preserve">autonomy:</w:t>
            </w:r>
          </w:p>
          <w:p>
            <w:pPr>
              <w:spacing w:before="0" w:after="0"/>
            </w:pPr>
            <w:r>
              <w:rPr>
                <w:rFonts w:ascii="Courier New" w:cs="Courier New" w:eastAsia="Courier New" w:hAnsi="Courier New"/>
                <w:color w:val="1A1A1A"/>
                <w:sz w:val="18"/>
                <w:szCs w:val="18"/>
              </w:rPr>
              <w:t xml:space="preserve">  mode: supervised   # supervised | semi-autonomous | autonomous</w:t>
            </w:r>
          </w:p>
          <w:p>
            <w:pPr>
              <w:spacing w:before="0" w:after="0"/>
            </w:pPr>
            <w:r>
              <w:rPr>
                <w:rFonts w:ascii="Courier New" w:cs="Courier New" w:eastAsia="Courier New" w:hAnsi="Courier New"/>
                <w:color w:val="1A1A1A"/>
                <w:sz w:val="18"/>
                <w:szCs w:val="18"/>
              </w:rPr>
              <w:t xml:space="preserve">  allowed_actions: [read_code, post_comment, create_mr]</w:t>
            </w:r>
          </w:p>
          <w:p>
            <w:pPr>
              <w:spacing w:before="0" w:after="0"/>
            </w:pPr>
            <w:r>
              <w:rPr>
                <w:rFonts w:ascii="Courier New" w:cs="Courier New" w:eastAsia="Courier New" w:hAnsi="Courier New"/>
                <w:color w:val="1A1A1A"/>
                <w:sz w:val="18"/>
                <w:szCs w:val="18"/>
              </w:rPr>
              <w:t xml:space="preserve">  blocked_actions: [delete_branch, force_push, modify_ci]</w:t>
            </w:r>
          </w:p>
          <w:p>
            <w:pPr>
              <w:spacing w:before="0" w:after="60"/>
            </w:pPr>
            <w:r>
              <w:rPr>
                <w:rFonts w:ascii="Courier New" w:cs="Courier New" w:eastAsia="Courier New" w:hAnsi="Courier New"/>
                <w:color w:val="1A1A1A"/>
                <w:sz w:val="18"/>
                <w:szCs w:val="18"/>
              </w:rPr>
              <w:t xml:space="preserve">  human_approval_required: [create_mr, post_comment]</w:t>
            </w:r>
          </w:p>
          <w:p>
            <w:pPr>
              <w:spacing w:before="0" w:after="0"/>
            </w:pPr>
            <w:r>
              <w:rPr>
                <w:rFonts w:ascii="Courier New" w:cs="Courier New" w:eastAsia="Courier New" w:hAnsi="Courier New"/>
                <w:color w:val="1E4F8C"/>
                <w:sz w:val="18"/>
                <w:szCs w:val="18"/>
              </w:rPr>
              <w:t xml:space="preserve">compliance:</w:t>
            </w:r>
          </w:p>
          <w:p>
            <w:pPr>
              <w:spacing w:before="0" w:after="0"/>
            </w:pPr>
            <w:r>
              <w:rPr>
                <w:rFonts w:ascii="Courier New" w:cs="Courier New" w:eastAsia="Courier New" w:hAnsi="Courier New"/>
                <w:color w:val="1A1A1A"/>
                <w:sz w:val="18"/>
                <w:szCs w:val="18"/>
              </w:rPr>
              <w:t xml:space="preserve">  frameworks: [FedRAMP_Moderate, NIST_800-53, SOC2_Type2]</w:t>
            </w:r>
          </w:p>
          <w:p>
            <w:pPr>
              <w:spacing w:before="0" w:after="60"/>
            </w:pPr>
            <w:r>
              <w:rPr>
                <w:rFonts w:ascii="Courier New" w:cs="Courier New" w:eastAsia="Courier New" w:hAnsi="Courier New"/>
                <w:color w:val="1A1A1A"/>
                <w:sz w:val="18"/>
                <w:szCs w:val="18"/>
              </w:rPr>
              <w:t xml:space="preserve">  data_classification: CUI   # Controlled Unclassified Information</w:t>
            </w:r>
          </w:p>
          <w:p>
            <w:pPr>
              <w:spacing w:before="0" w:after="0"/>
            </w:pPr>
            <w:r>
              <w:rPr>
                <w:rFonts w:ascii="Courier New" w:cs="Courier New" w:eastAsia="Courier New" w:hAnsi="Courier New"/>
                <w:color w:val="1E4F8C"/>
                <w:sz w:val="18"/>
                <w:szCs w:val="18"/>
              </w:rPr>
              <w:t xml:space="preserve">safety:</w:t>
            </w:r>
          </w:p>
          <w:p>
            <w:pPr>
              <w:spacing w:before="0" w:after="0"/>
            </w:pPr>
            <w:r>
              <w:rPr>
                <w:rFonts w:ascii="Courier New" w:cs="Courier New" w:eastAsia="Courier New" w:hAnsi="Courier New"/>
                <w:color w:val="1A1A1A"/>
                <w:sz w:val="18"/>
                <w:szCs w:val="18"/>
              </w:rPr>
              <w:t xml:space="preserve">  content_filtering: true</w:t>
            </w:r>
          </w:p>
          <w:p>
            <w:pPr>
              <w:spacing w:before="0" w:after="60"/>
            </w:pPr>
            <w:r>
              <w:rPr>
                <w:rFonts w:ascii="Courier New" w:cs="Courier New" w:eastAsia="Courier New" w:hAnsi="Courier New"/>
                <w:color w:val="1A1A1A"/>
                <w:sz w:val="18"/>
                <w:szCs w:val="18"/>
              </w:rPr>
              <w:t xml:space="preserve">  guardrails: [no_pii_exfiltration, no_credential_logging]</w:t>
            </w:r>
          </w:p>
          <w:p>
            <w:pPr>
              <w:spacing w:before="0" w:after="0"/>
            </w:pPr>
            <w:r>
              <w:rPr>
                <w:rFonts w:ascii="Courier New" w:cs="Courier New" w:eastAsia="Courier New" w:hAnsi="Courier New"/>
                <w:color w:val="1E4F8C"/>
                <w:sz w:val="18"/>
                <w:szCs w:val="18"/>
              </w:rPr>
              <w:t xml:space="preserve">constraints:</w:t>
            </w:r>
          </w:p>
          <w:p>
            <w:pPr>
              <w:spacing w:before="0" w:after="0"/>
            </w:pPr>
            <w:r>
              <w:rPr>
                <w:rFonts w:ascii="Courier New" w:cs="Courier New" w:eastAsia="Courier New" w:hAnsi="Courier New"/>
                <w:color w:val="1A1A1A"/>
                <w:sz w:val="18"/>
                <w:szCs w:val="18"/>
              </w:rPr>
              <w:t xml:space="preserve">  cost: { daily_token_limit: 500000, max_daily_spend_usd: 50 }</w:t>
            </w:r>
          </w:p>
        </w:tc>
      </w:tr>
    </w:tbl>
    <w:p>
      <w:pPr>
        <w:spacing w:before="60" w:after="0"/>
      </w:pPr>
      <w:r>
        <w:t xml:space="preserve"/>
      </w:r>
    </w:p>
    <w:p>
      <w:pPr>
        <w:pBdr>
          <w:bottom w:val="single" w:color="D8DDE6" w:sz="6" w:space="1"/>
        </w:pBdr>
        <w:spacing w:before="160" w:after="160"/>
      </w:pPr>
    </w:p>
    <w:p>
      <w:pPr>
        <w:pStyle w:val="Heading1"/>
        <w:pBdr>
          <w:bottom w:val="single" w:color="2E6DA4" w:sz="8" w:space="4"/>
        </w:pBdr>
        <w:spacing w:before="360" w:after="120"/>
      </w:pPr>
      <w:r>
        <w:rPr>
          <w:rFonts w:ascii="Arial" w:cs="Arial" w:eastAsia="Arial" w:hAnsi="Arial"/>
          <w:b/>
          <w:bCs/>
          <w:color w:val="1B2F5C"/>
          <w:sz w:val="28"/>
          <w:szCs w:val="28"/>
        </w:rPr>
        <w:t xml:space="preserve">4. Specific Responses to RFI Topic Areas</w:t>
      </w:r>
    </w:p>
    <w:p>
      <w:pPr>
        <w:pStyle w:val="Heading2"/>
        <w:spacing w:before="280" w:after="80"/>
      </w:pPr>
      <w:r>
        <w:rPr>
          <w:rFonts w:ascii="Arial" w:cs="Arial" w:eastAsia="Arial" w:hAnsi="Arial"/>
          <w:b/>
          <w:bCs/>
          <w:color w:val="1E4F8C"/>
          <w:sz w:val="24"/>
          <w:szCs w:val="24"/>
        </w:rPr>
        <w:t xml:space="preserve">4.1 Current Threats in Agent Systems</w:t>
      </w:r>
    </w:p>
    <w:p>
      <w:pPr>
        <w:spacing w:before="60" w:after="80"/>
        <w:jc w:val="both"/>
      </w:pPr>
      <w:r>
        <w:rPr>
          <w:rFonts w:ascii="Arial" w:cs="Arial" w:eastAsia="Arial" w:hAnsi="Arial"/>
          <w:color w:val="1A1A1A"/>
          <w:sz w:val="22"/>
          <w:szCs w:val="22"/>
        </w:rPr>
        <w:t xml:space="preserve">Based on our production deployment experience and security research review, we identify the following as the highest-priority threat categories requiring immediate standards attention:</w:t>
      </w:r>
    </w:p>
    <w:p>
      <w:pPr>
        <w:spacing w:before="60" w:after="80"/>
        <w:jc w:val="both"/>
      </w:pPr>
      <w:r>
        <w:rPr>
          <w:rFonts w:ascii="Arial" w:cs="Arial" w:eastAsia="Arial" w:hAnsi="Arial"/>
          <w:b/>
          <w:bCs/>
          <w:color w:val="1A1A1A"/>
          <w:sz w:val="22"/>
          <w:szCs w:val="22"/>
        </w:rPr>
        <w:t xml:space="preserve">Priority 1 — Identity and Impersonation: </w:t>
      </w:r>
      <w:r>
        <w:rPr>
          <w:rFonts w:ascii="Arial" w:cs="Arial" w:eastAsia="Arial" w:hAnsi="Arial"/>
          <w:color w:val="1A1A1A"/>
          <w:sz w:val="22"/>
          <w:szCs w:val="22"/>
        </w:rPr>
        <w:t xml:space="preserve">Agents lack cryptographically verifiable identities. In multi-agent pipelines, there is no reliable mechanism to confirm that the agent being invoked is the declared agent. This is the foundational gap from which most other vulnerabilities flow.</w:t>
      </w:r>
    </w:p>
    <w:p>
      <w:pPr>
        <w:spacing w:before="40" w:after="0"/>
      </w:pPr>
      <w:r>
        <w:t xml:space="preserve"/>
      </w:r>
    </w:p>
    <w:p>
      <w:pPr>
        <w:spacing w:before="60" w:after="80"/>
        <w:jc w:val="both"/>
      </w:pPr>
      <w:r>
        <w:rPr>
          <w:rFonts w:ascii="Arial" w:cs="Arial" w:eastAsia="Arial" w:hAnsi="Arial"/>
          <w:b/>
          <w:bCs/>
          <w:color w:val="1A1A1A"/>
          <w:sz w:val="22"/>
          <w:szCs w:val="22"/>
        </w:rPr>
        <w:t xml:space="preserve">Priority 2 — Authorization Drift: </w:t>
      </w:r>
      <w:r>
        <w:rPr>
          <w:rFonts w:ascii="Arial" w:cs="Arial" w:eastAsia="Arial" w:hAnsi="Arial"/>
          <w:color w:val="1A1A1A"/>
          <w:sz w:val="22"/>
          <w:szCs w:val="22"/>
        </w:rPr>
        <w:t xml:space="preserve">The absence of declared, enforced capability boundaries allows agents to accumulate and exercise permissions beyond their intended scope. This is especially acute in tool-chaining scenarios where each step potentially expands the agent's effective access.</w:t>
      </w:r>
    </w:p>
    <w:p>
      <w:pPr>
        <w:spacing w:before="40" w:after="0"/>
      </w:pPr>
      <w:r>
        <w:t xml:space="preserve"/>
      </w:r>
    </w:p>
    <w:p>
      <w:pPr>
        <w:spacing w:before="60" w:after="80"/>
        <w:jc w:val="both"/>
      </w:pPr>
      <w:r>
        <w:rPr>
          <w:rFonts w:ascii="Arial" w:cs="Arial" w:eastAsia="Arial" w:hAnsi="Arial"/>
          <w:b/>
          <w:bCs/>
          <w:color w:val="1A1A1A"/>
          <w:sz w:val="22"/>
          <w:szCs w:val="22"/>
        </w:rPr>
        <w:t xml:space="preserve">Priority 3 — Supply Chain Integrity: </w:t>
      </w:r>
      <w:r>
        <w:rPr>
          <w:rFonts w:ascii="Arial" w:cs="Arial" w:eastAsia="Arial" w:hAnsi="Arial"/>
          <w:color w:val="1A1A1A"/>
          <w:sz w:val="22"/>
          <w:szCs w:val="22"/>
        </w:rPr>
        <w:t xml:space="preserve">Agent manifests, modules, and tool definitions are distributed through package registries and version control systems without signing or provenance verification standards. A compromised agent component may be indistinguishable from its legitimate counterpart.</w:t>
      </w:r>
    </w:p>
    <w:p>
      <w:pPr>
        <w:spacing w:before="40" w:after="0"/>
      </w:pPr>
      <w:r>
        <w:t xml:space="preserve"/>
      </w:r>
    </w:p>
    <w:p>
      <w:pPr>
        <w:spacing w:before="60" w:after="80"/>
        <w:jc w:val="both"/>
      </w:pPr>
      <w:r>
        <w:rPr>
          <w:rFonts w:ascii="Arial" w:cs="Arial" w:eastAsia="Arial" w:hAnsi="Arial"/>
          <w:b/>
          <w:bCs/>
          <w:color w:val="1A1A1A"/>
          <w:sz w:val="22"/>
          <w:szCs w:val="22"/>
        </w:rPr>
        <w:t xml:space="preserve">Priority 4 — Prompt Injection at Scale: </w:t>
      </w:r>
      <w:r>
        <w:rPr>
          <w:rFonts w:ascii="Arial" w:cs="Arial" w:eastAsia="Arial" w:hAnsi="Arial"/>
          <w:color w:val="1A1A1A"/>
          <w:sz w:val="22"/>
          <w:szCs w:val="22"/>
        </w:rPr>
        <w:t xml:space="preserve">As agents process increasingly large and varied inputs from external sources, the attack surface for prompt injection expands dramatically. Current frameworks provide no structural defense at the protocol or manifest level.</w:t>
      </w:r>
    </w:p>
    <w:p>
      <w:pPr>
        <w:spacing w:before="40" w:after="0"/>
      </w:pPr>
      <w:r>
        <w:t xml:space="preserve"/>
      </w:r>
    </w:p>
    <w:p>
      <w:pPr>
        <w:spacing w:before="60" w:after="80"/>
        <w:jc w:val="both"/>
      </w:pPr>
      <w:r>
        <w:rPr>
          <w:rFonts w:ascii="Arial" w:cs="Arial" w:eastAsia="Arial" w:hAnsi="Arial"/>
          <w:b/>
          <w:bCs/>
          <w:color w:val="1A1A1A"/>
          <w:sz w:val="22"/>
          <w:szCs w:val="22"/>
        </w:rPr>
        <w:t xml:space="preserve">Priority 5 — Compliance Opacity: </w:t>
      </w:r>
      <w:r>
        <w:rPr>
          <w:rFonts w:ascii="Arial" w:cs="Arial" w:eastAsia="Arial" w:hAnsi="Arial"/>
          <w:color w:val="1A1A1A"/>
          <w:sz w:val="22"/>
          <w:szCs w:val="22"/>
        </w:rPr>
        <w:t xml:space="preserve">In regulated sectors, agents operating without declared data handling constraints, compliance framework affiliations, or audit trail configurations create unquantifiable compliance risk. This is the primary barrier to public sector AI agent adoption.</w:t>
      </w:r>
    </w:p>
    <w:p>
      <w:pPr>
        <w:pStyle w:val="Heading2"/>
        <w:spacing w:before="280" w:after="80"/>
      </w:pPr>
      <w:r>
        <w:rPr>
          <w:rFonts w:ascii="Arial" w:cs="Arial" w:eastAsia="Arial" w:hAnsi="Arial"/>
          <w:b/>
          <w:bCs/>
          <w:color w:val="1E4F8C"/>
          <w:sz w:val="24"/>
          <w:szCs w:val="24"/>
        </w:rPr>
        <w:t xml:space="preserve">4.2 Current Mitigations and Their Limitations</w:t>
      </w:r>
    </w:p>
    <w:p>
      <w:pPr>
        <w:spacing w:before="60" w:after="80"/>
        <w:jc w:val="both"/>
      </w:pPr>
      <w:r>
        <w:rPr>
          <w:rFonts w:ascii="Arial" w:cs="Arial" w:eastAsia="Arial" w:hAnsi="Arial"/>
          <w:color w:val="1A1A1A"/>
          <w:sz w:val="22"/>
          <w:szCs w:val="22"/>
        </w:rPr>
        <w:t xml:space="preserve">The ecosystem has produced several partial mitigations. We assess each candidly: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D8DDE6" w:sz="1"/>
              <w:left w:val="single" w:color="D8DDE6" w:sz="1"/>
              <w:bottom w:val="single" w:color="D8DDE6" w:sz="1"/>
              <w:right w:val="single" w:color="D8DDE6" w:sz="1"/>
            </w:tcBorders>
            <w:shd w:fill="2E6DA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Mitigation</w:t>
            </w:r>
          </w:p>
        </w:tc>
        <w:tc>
          <w:tcPr>
            <w:tcW w:type="dxa" w:w="3660"/>
            <w:tcBorders>
              <w:top w:val="single" w:color="D8DDE6" w:sz="1"/>
              <w:left w:val="single" w:color="D8DDE6" w:sz="1"/>
              <w:bottom w:val="single" w:color="D8DDE6" w:sz="1"/>
              <w:right w:val="single" w:color="D8DDE6" w:sz="1"/>
            </w:tcBorders>
            <w:shd w:fill="2E6DA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Addresses</w:t>
            </w:r>
          </w:p>
        </w:tc>
        <w:tc>
          <w:tcPr>
            <w:tcW w:type="dxa" w:w="3660"/>
            <w:tcBorders>
              <w:top w:val="single" w:color="D8DDE6" w:sz="1"/>
              <w:left w:val="single" w:color="D8DDE6" w:sz="1"/>
              <w:bottom w:val="single" w:color="D8DDE6" w:sz="1"/>
              <w:right w:val="single" w:color="D8DDE6" w:sz="1"/>
            </w:tcBorders>
            <w:shd w:fill="2E6DA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Misses</w:t>
            </w:r>
          </w:p>
        </w:tc>
      </w:tr>
      <w:tr>
        <w:tc>
          <w:tcPr>
            <w:tcW w:type="dxa" w:w="24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OAuth 2.0 / OIDC</w:t>
            </w:r>
          </w:p>
        </w:tc>
        <w:tc>
          <w:tcPr>
            <w:tcW w:type="dxa" w:w="36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Human and service authentication; token-based authorization for API access</w:t>
            </w:r>
          </w:p>
        </w:tc>
        <w:tc>
          <w:tcPr>
            <w:tcW w:type="dxa" w:w="36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Does not address agent-to-agent trust, capability declaration, or compliance posture. Assumes a human identity model that breaks in autonomous agent contexts.</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MCP Authorization (Draft)</w:t>
            </w:r>
          </w:p>
        </w:tc>
        <w:tc>
          <w:tcPr>
            <w:tcW w:type="dxa" w:w="36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Resource-level authorization within the MCP tool connection layer</w:t>
            </w:r>
          </w:p>
        </w:tc>
        <w:tc>
          <w:tcPr>
            <w:tcW w:type="dxa" w:w="36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Scoped to tool access only. Does not address agent identity, cross-system authorization, or compliance metadata. Still a draft standard.</w:t>
            </w:r>
          </w:p>
        </w:tc>
      </w:tr>
      <w:tr>
        <w:tc>
          <w:tcPr>
            <w:tcW w:type="dxa" w:w="24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A2A Agent Cards</w:t>
            </w:r>
          </w:p>
        </w:tc>
        <w:tc>
          <w:tcPr>
            <w:tcW w:type="dxa" w:w="36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Per-endpoint agent capability declarations; enables basic agent discovery</w:t>
            </w:r>
          </w:p>
        </w:tc>
        <w:tc>
          <w:tcPr>
            <w:tcW w:type="dxa" w:w="36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Not portable across platforms. No governance metadata, compliance fields, or lifecycle policy. Endpoint-local by design.</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Container Image Signing (Sigstore)</w:t>
            </w:r>
          </w:p>
        </w:tc>
        <w:tc>
          <w:tcPr>
            <w:tcW w:type="dxa" w:w="36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Provenance verification for containerized workloads; supply chain integrity at the infrastructure layer</w:t>
            </w:r>
          </w:p>
        </w:tc>
        <w:tc>
          <w:tcPr>
            <w:tcW w:type="dxa" w:w="36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Does not address agent-layer identity or capability verification. An agent running in a signed container can still be misconfigured or impersonating.</w:t>
            </w:r>
          </w:p>
        </w:tc>
      </w:tr>
      <w:tr>
        <w:tc>
          <w:tcPr>
            <w:tcW w:type="dxa" w:w="24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OSSA Manifest (Bluefly.io)</w:t>
            </w:r>
          </w:p>
        </w:tc>
        <w:tc>
          <w:tcPr>
            <w:tcW w:type="dxa" w:w="36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Portable agent identity, capability declaration, compliance metadata, cost controls, autonomy constraints, and observability configuration</w:t>
            </w:r>
          </w:p>
        </w:tc>
        <w:tc>
          <w:tcPr>
            <w:tcW w:type="dxa" w:w="36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Does not yet include cryptographic signing (on roadmap). Schema adoption requires ecosystem buy-in. Verification tooling is nascent.</w:t>
            </w:r>
          </w:p>
        </w:tc>
      </w:tr>
    </w:tbl>
    <w:p>
      <w:pPr>
        <w:spacing w:before="60" w:after="0"/>
      </w:pPr>
      <w:r>
        <w:t xml:space="preserve"/>
      </w:r>
    </w:p>
    <w:p>
      <w:pPr>
        <w:pStyle w:val="Heading2"/>
        <w:spacing w:before="280" w:after="80"/>
      </w:pPr>
      <w:r>
        <w:rPr>
          <w:rFonts w:ascii="Arial" w:cs="Arial" w:eastAsia="Arial" w:hAnsi="Arial"/>
          <w:b/>
          <w:bCs/>
          <w:color w:val="1E4F8C"/>
          <w:sz w:val="24"/>
          <w:szCs w:val="24"/>
        </w:rPr>
        <w:t xml:space="preserve">4.3 Measures and Metrics for Agent Security</w:t>
      </w:r>
    </w:p>
    <w:p>
      <w:pPr>
        <w:spacing w:before="60" w:after="80"/>
        <w:jc w:val="both"/>
      </w:pPr>
      <w:r>
        <w:rPr>
          <w:rFonts w:ascii="Arial" w:cs="Arial" w:eastAsia="Arial" w:hAnsi="Arial"/>
          <w:color w:val="1A1A1A"/>
          <w:sz w:val="22"/>
          <w:szCs w:val="22"/>
        </w:rPr>
        <w:t xml:space="preserve">NIST should develop standardized measures for agent security maturity. We propose the following framework, drawing on our OSSA specification experience:</w:t>
      </w:r>
    </w:p>
    <w:p>
      <w:pPr>
        <w:pStyle w:val="Heading3"/>
        <w:spacing w:before="200" w:after="60"/>
      </w:pPr>
      <w:r>
        <w:rPr>
          <w:rFonts w:ascii="Arial" w:cs="Arial" w:eastAsia="Arial" w:hAnsi="Arial"/>
          <w:b/>
          <w:bCs/>
          <w:color w:val="2E6DA4"/>
          <w:sz w:val="22"/>
          <w:szCs w:val="22"/>
        </w:rPr>
        <w:t xml:space="preserve">Level 1 — Identity Declared</w:t>
      </w:r>
    </w:p>
    <w:p>
      <w:pPr>
        <w:pStyle w:val="ListParagraph"/>
        <w:numPr>
          <w:ilvl w:val="0"/>
          <w:numId w:val="2"/>
        </w:numPr>
        <w:spacing w:before="40" w:after="60"/>
      </w:pPr>
      <w:r>
        <w:rPr>
          <w:rFonts w:ascii="Arial" w:cs="Arial" w:eastAsia="Arial" w:hAnsi="Arial"/>
          <w:color w:val="1A1A1A"/>
          <w:sz w:val="22"/>
          <w:szCs w:val="22"/>
        </w:rPr>
        <w:t xml:space="preserve">Agent has a stable, unique identifier (namespace + name + version)</w:t>
      </w:r>
    </w:p>
    <w:p>
      <w:pPr>
        <w:pStyle w:val="ListParagraph"/>
        <w:numPr>
          <w:ilvl w:val="0"/>
          <w:numId w:val="2"/>
        </w:numPr>
        <w:spacing w:before="40" w:after="60"/>
      </w:pPr>
      <w:r>
        <w:rPr>
          <w:rFonts w:ascii="Arial" w:cs="Arial" w:eastAsia="Arial" w:hAnsi="Arial"/>
          <w:color w:val="1A1A1A"/>
          <w:sz w:val="22"/>
          <w:szCs w:val="22"/>
        </w:rPr>
        <w:t xml:space="preserve">Publisher metadata is present and human-readable</w:t>
      </w:r>
    </w:p>
    <w:p>
      <w:pPr>
        <w:pStyle w:val="ListParagraph"/>
        <w:numPr>
          <w:ilvl w:val="0"/>
          <w:numId w:val="2"/>
        </w:numPr>
        <w:spacing w:before="40" w:after="60"/>
      </w:pPr>
      <w:r>
        <w:rPr>
          <w:rFonts w:ascii="Arial" w:cs="Arial" w:eastAsia="Arial" w:hAnsi="Arial"/>
          <w:color w:val="1A1A1A"/>
          <w:sz w:val="22"/>
          <w:szCs w:val="22"/>
        </w:rPr>
        <w:t xml:space="preserve">Capabilities are enumerated in a machine-readable format</w:t>
      </w:r>
    </w:p>
    <w:p>
      <w:pPr>
        <w:pStyle w:val="Heading3"/>
        <w:spacing w:before="200" w:after="60"/>
      </w:pPr>
      <w:r>
        <w:rPr>
          <w:rFonts w:ascii="Arial" w:cs="Arial" w:eastAsia="Arial" w:hAnsi="Arial"/>
          <w:b/>
          <w:bCs/>
          <w:color w:val="2E6DA4"/>
          <w:sz w:val="22"/>
          <w:szCs w:val="22"/>
        </w:rPr>
        <w:t xml:space="preserve">Level 2 — Authorization Constrained</w:t>
      </w:r>
    </w:p>
    <w:p>
      <w:pPr>
        <w:pStyle w:val="ListParagraph"/>
        <w:numPr>
          <w:ilvl w:val="0"/>
          <w:numId w:val="2"/>
        </w:numPr>
        <w:spacing w:before="40" w:after="60"/>
      </w:pPr>
      <w:r>
        <w:rPr>
          <w:rFonts w:ascii="Arial" w:cs="Arial" w:eastAsia="Arial" w:hAnsi="Arial"/>
          <w:color w:val="1A1A1A"/>
          <w:sz w:val="22"/>
          <w:szCs w:val="22"/>
        </w:rPr>
        <w:t xml:space="preserve">Permitted and blocked actions are explicitly declared</w:t>
      </w:r>
    </w:p>
    <w:p>
      <w:pPr>
        <w:pStyle w:val="ListParagraph"/>
        <w:numPr>
          <w:ilvl w:val="0"/>
          <w:numId w:val="2"/>
        </w:numPr>
        <w:spacing w:before="40" w:after="60"/>
      </w:pPr>
      <w:r>
        <w:rPr>
          <w:rFonts w:ascii="Arial" w:cs="Arial" w:eastAsia="Arial" w:hAnsi="Arial"/>
          <w:color w:val="1A1A1A"/>
          <w:sz w:val="22"/>
          <w:szCs w:val="22"/>
        </w:rPr>
        <w:t xml:space="preserve">Data access scope is defined (what data sources, at what classification level)</w:t>
      </w:r>
    </w:p>
    <w:p>
      <w:pPr>
        <w:pStyle w:val="ListParagraph"/>
        <w:numPr>
          <w:ilvl w:val="0"/>
          <w:numId w:val="2"/>
        </w:numPr>
        <w:spacing w:before="40" w:after="60"/>
      </w:pPr>
      <w:r>
        <w:rPr>
          <w:rFonts w:ascii="Arial" w:cs="Arial" w:eastAsia="Arial" w:hAnsi="Arial"/>
          <w:color w:val="1A1A1A"/>
          <w:sz w:val="22"/>
          <w:szCs w:val="22"/>
        </w:rPr>
        <w:t xml:space="preserve">Autonomy mode is specified with human oversight requirements</w:t>
      </w:r>
    </w:p>
    <w:p>
      <w:pPr>
        <w:pStyle w:val="ListParagraph"/>
        <w:numPr>
          <w:ilvl w:val="0"/>
          <w:numId w:val="2"/>
        </w:numPr>
        <w:spacing w:before="40" w:after="60"/>
      </w:pPr>
      <w:r>
        <w:rPr>
          <w:rFonts w:ascii="Arial" w:cs="Arial" w:eastAsia="Arial" w:hAnsi="Arial"/>
          <w:color w:val="1A1A1A"/>
          <w:sz w:val="22"/>
          <w:szCs w:val="22"/>
        </w:rPr>
        <w:t xml:space="preserve">Cost and resource limits are configured</w:t>
      </w:r>
    </w:p>
    <w:p>
      <w:pPr>
        <w:pStyle w:val="Heading3"/>
        <w:spacing w:before="200" w:after="60"/>
      </w:pPr>
      <w:r>
        <w:rPr>
          <w:rFonts w:ascii="Arial" w:cs="Arial" w:eastAsia="Arial" w:hAnsi="Arial"/>
          <w:b/>
          <w:bCs/>
          <w:color w:val="2E6DA4"/>
          <w:sz w:val="22"/>
          <w:szCs w:val="22"/>
        </w:rPr>
        <w:t xml:space="preserve">Level 3 — Compliance Anchored</w:t>
      </w:r>
    </w:p>
    <w:p>
      <w:pPr>
        <w:pStyle w:val="ListParagraph"/>
        <w:numPr>
          <w:ilvl w:val="0"/>
          <w:numId w:val="2"/>
        </w:numPr>
        <w:spacing w:before="40" w:after="60"/>
      </w:pPr>
      <w:r>
        <w:rPr>
          <w:rFonts w:ascii="Arial" w:cs="Arial" w:eastAsia="Arial" w:hAnsi="Arial"/>
          <w:color w:val="1A1A1A"/>
          <w:sz w:val="22"/>
          <w:szCs w:val="22"/>
        </w:rPr>
        <w:t xml:space="preserve">Applicable compliance frameworks are declared (FedRAMP, HIPAA, SOC2, etc.)</w:t>
      </w:r>
    </w:p>
    <w:p>
      <w:pPr>
        <w:pStyle w:val="ListParagraph"/>
        <w:numPr>
          <w:ilvl w:val="0"/>
          <w:numId w:val="2"/>
        </w:numPr>
        <w:spacing w:before="40" w:after="60"/>
      </w:pPr>
      <w:r>
        <w:rPr>
          <w:rFonts w:ascii="Arial" w:cs="Arial" w:eastAsia="Arial" w:hAnsi="Arial"/>
          <w:color w:val="1A1A1A"/>
          <w:sz w:val="22"/>
          <w:szCs w:val="22"/>
        </w:rPr>
        <w:t xml:space="preserve">Audit trail configuration is present and validated</w:t>
      </w:r>
    </w:p>
    <w:p>
      <w:pPr>
        <w:pStyle w:val="ListParagraph"/>
        <w:numPr>
          <w:ilvl w:val="0"/>
          <w:numId w:val="2"/>
        </w:numPr>
        <w:spacing w:before="40" w:after="60"/>
      </w:pPr>
      <w:r>
        <w:rPr>
          <w:rFonts w:ascii="Arial" w:cs="Arial" w:eastAsia="Arial" w:hAnsi="Arial"/>
          <w:color w:val="1A1A1A"/>
          <w:sz w:val="22"/>
          <w:szCs w:val="22"/>
        </w:rPr>
        <w:t xml:space="preserve">Data handling constraints align with declared compliance requirements</w:t>
      </w:r>
    </w:p>
    <w:p>
      <w:pPr>
        <w:pStyle w:val="ListParagraph"/>
        <w:numPr>
          <w:ilvl w:val="0"/>
          <w:numId w:val="2"/>
        </w:numPr>
        <w:spacing w:before="40" w:after="60"/>
      </w:pPr>
      <w:r>
        <w:rPr>
          <w:rFonts w:ascii="Arial" w:cs="Arial" w:eastAsia="Arial" w:hAnsi="Arial"/>
          <w:color w:val="1A1A1A"/>
          <w:sz w:val="22"/>
          <w:szCs w:val="22"/>
        </w:rPr>
        <w:t xml:space="preserve">Human approval workflow requirements are machine-enforceable</w:t>
      </w:r>
    </w:p>
    <w:p>
      <w:pPr>
        <w:pStyle w:val="Heading3"/>
        <w:spacing w:before="200" w:after="60"/>
      </w:pPr>
      <w:r>
        <w:rPr>
          <w:rFonts w:ascii="Arial" w:cs="Arial" w:eastAsia="Arial" w:hAnsi="Arial"/>
          <w:b/>
          <w:bCs/>
          <w:color w:val="2E6DA4"/>
          <w:sz w:val="22"/>
          <w:szCs w:val="22"/>
        </w:rPr>
        <w:t xml:space="preserve">Level 4 — Verified and Signed</w:t>
      </w:r>
    </w:p>
    <w:p>
      <w:pPr>
        <w:pStyle w:val="ListParagraph"/>
        <w:numPr>
          <w:ilvl w:val="0"/>
          <w:numId w:val="2"/>
        </w:numPr>
        <w:spacing w:before="40" w:after="60"/>
      </w:pPr>
      <w:r>
        <w:rPr>
          <w:rFonts w:ascii="Arial" w:cs="Arial" w:eastAsia="Arial" w:hAnsi="Arial"/>
          <w:color w:val="1A1A1A"/>
          <w:sz w:val="22"/>
          <w:szCs w:val="22"/>
        </w:rPr>
        <w:t xml:space="preserve">Manifest is cryptographically signed by the publisher</w:t>
      </w:r>
    </w:p>
    <w:p>
      <w:pPr>
        <w:pStyle w:val="ListParagraph"/>
        <w:numPr>
          <w:ilvl w:val="0"/>
          <w:numId w:val="2"/>
        </w:numPr>
        <w:spacing w:before="40" w:after="60"/>
      </w:pPr>
      <w:r>
        <w:rPr>
          <w:rFonts w:ascii="Arial" w:cs="Arial" w:eastAsia="Arial" w:hAnsi="Arial"/>
          <w:color w:val="1A1A1A"/>
          <w:sz w:val="22"/>
          <w:szCs w:val="22"/>
        </w:rPr>
        <w:t xml:space="preserve">Signature is verifiable against a trusted key registry</w:t>
      </w:r>
    </w:p>
    <w:p>
      <w:pPr>
        <w:pStyle w:val="ListParagraph"/>
        <w:numPr>
          <w:ilvl w:val="0"/>
          <w:numId w:val="2"/>
        </w:numPr>
        <w:spacing w:before="40" w:after="60"/>
      </w:pPr>
      <w:r>
        <w:rPr>
          <w:rFonts w:ascii="Arial" w:cs="Arial" w:eastAsia="Arial" w:hAnsi="Arial"/>
          <w:color w:val="1A1A1A"/>
          <w:sz w:val="22"/>
          <w:szCs w:val="22"/>
        </w:rPr>
        <w:t xml:space="preserve">Runtime behavior can be validated against manifest declarations</w:t>
      </w:r>
    </w:p>
    <w:p>
      <w:pPr>
        <w:pStyle w:val="ListParagraph"/>
        <w:numPr>
          <w:ilvl w:val="0"/>
          <w:numId w:val="2"/>
        </w:numPr>
        <w:spacing w:before="40" w:after="60"/>
      </w:pPr>
      <w:r>
        <w:rPr>
          <w:rFonts w:ascii="Arial" w:cs="Arial" w:eastAsia="Arial" w:hAnsi="Arial"/>
          <w:color w:val="1A1A1A"/>
          <w:sz w:val="22"/>
          <w:szCs w:val="22"/>
        </w:rPr>
        <w:t xml:space="preserve">Supply chain provenance of all components is traceable</w:t>
      </w:r>
    </w:p>
    <w:p>
      <w:pPr>
        <w:spacing w:before="60" w:after="0"/>
      </w:pPr>
      <w:r>
        <w:t xml:space="preserve"/>
      </w:r>
    </w:p>
    <w:p>
      <w:pPr>
        <w:pBdr>
          <w:bottom w:val="single" w:color="D8DDE6" w:sz="6" w:space="1"/>
        </w:pBdr>
        <w:spacing w:before="160" w:after="160"/>
      </w:pPr>
    </w:p>
    <w:p>
      <w:pPr>
        <w:pStyle w:val="Heading1"/>
        <w:pBdr>
          <w:bottom w:val="single" w:color="2E6DA4" w:sz="8" w:space="4"/>
        </w:pBdr>
        <w:spacing w:before="360" w:after="120"/>
      </w:pPr>
      <w:r>
        <w:rPr>
          <w:rFonts w:ascii="Arial" w:cs="Arial" w:eastAsia="Arial" w:hAnsi="Arial"/>
          <w:b/>
          <w:bCs/>
          <w:color w:val="1B2F5C"/>
          <w:sz w:val="28"/>
          <w:szCs w:val="28"/>
        </w:rPr>
        <w:t xml:space="preserve">5. Recommendations to NIST CAISI</w:t>
      </w:r>
    </w:p>
    <w:p>
      <w:pPr>
        <w:pStyle w:val="Heading2"/>
        <w:spacing w:before="280" w:after="80"/>
      </w:pPr>
      <w:r>
        <w:rPr>
          <w:rFonts w:ascii="Arial" w:cs="Arial" w:eastAsia="Arial" w:hAnsi="Arial"/>
          <w:b/>
          <w:bCs/>
          <w:color w:val="1E4F8C"/>
          <w:sz w:val="24"/>
          <w:szCs w:val="24"/>
        </w:rPr>
        <w:t xml:space="preserve">5.1 Standards Development Priorities</w:t>
      </w:r>
    </w:p>
    <w:p>
      <w:pPr>
        <w:spacing w:before="60" w:after="80"/>
        <w:jc w:val="both"/>
      </w:pPr>
      <w:r>
        <w:rPr>
          <w:rFonts w:ascii="Arial" w:cs="Arial" w:eastAsia="Arial" w:hAnsi="Arial"/>
          <w:b/>
          <w:bCs/>
          <w:color w:val="1A1A1A"/>
          <w:sz w:val="22"/>
          <w:szCs w:val="22"/>
        </w:rPr>
        <w:t xml:space="preserve">Recommendation 1: Standardize the Agent Identity Contract Schema. </w:t>
      </w:r>
      <w:r>
        <w:rPr>
          <w:rFonts w:ascii="Arial" w:cs="Arial" w:eastAsia="Arial" w:hAnsi="Arial"/>
          <w:color w:val="1A1A1A"/>
          <w:sz w:val="22"/>
          <w:szCs w:val="22"/>
        </w:rPr>
        <w:t xml:space="preserve">NIST should develop or adopt a standard schema for agent identity manifests — analogous to OpenAPI for APIs or OCI for containers. This schema must include: stable identifier structure, capability declaration vocabulary, compliance metadata fields, autonomy and authorization constraint syntax, and lifecycle policy hooks. OSSA offers an Apache 2.0-licensed working implementation that could serve as a reference or starting point for this work.</w:t>
      </w:r>
    </w:p>
    <w:p>
      <w:pPr>
        <w:spacing w:before="60" w:after="0"/>
      </w:pPr>
      <w:r>
        <w:t xml:space="preserve"/>
      </w:r>
    </w:p>
    <w:p>
      <w:pPr>
        <w:spacing w:before="60" w:after="80"/>
        <w:jc w:val="both"/>
      </w:pPr>
      <w:r>
        <w:rPr>
          <w:rFonts w:ascii="Arial" w:cs="Arial" w:eastAsia="Arial" w:hAnsi="Arial"/>
          <w:b/>
          <w:bCs/>
          <w:color w:val="1A1A1A"/>
          <w:sz w:val="22"/>
          <w:szCs w:val="22"/>
        </w:rPr>
        <w:t xml:space="preserve">Recommendation 2: Establish Agent Signing Standards. </w:t>
      </w:r>
      <w:r>
        <w:rPr>
          <w:rFonts w:ascii="Arial" w:cs="Arial" w:eastAsia="Arial" w:hAnsi="Arial"/>
          <w:color w:val="1A1A1A"/>
          <w:sz w:val="22"/>
          <w:szCs w:val="22"/>
        </w:rPr>
        <w:t xml:space="preserve">NIST should develop guidance for agent manifest signing, building on existing supply chain security work (e.g., SLSA, Sigstore). Agent signatures should cover: the manifest itself, referenced tool configurations, and the build provenance of agent components. This directly addresses supply chain and impersonation threats.</w:t>
      </w:r>
    </w:p>
    <w:p>
      <w:pPr>
        <w:spacing w:before="60" w:after="0"/>
      </w:pPr>
      <w:r>
        <w:t xml:space="preserve"/>
      </w:r>
    </w:p>
    <w:p>
      <w:pPr>
        <w:spacing w:before="60" w:after="80"/>
        <w:jc w:val="both"/>
      </w:pPr>
      <w:r>
        <w:rPr>
          <w:rFonts w:ascii="Arial" w:cs="Arial" w:eastAsia="Arial" w:hAnsi="Arial"/>
          <w:b/>
          <w:bCs/>
          <w:color w:val="1A1A1A"/>
          <w:sz w:val="22"/>
          <w:szCs w:val="22"/>
        </w:rPr>
        <w:t xml:space="preserve">Recommendation 3: Define Compliance Metadata Vocabulary for Agents. </w:t>
      </w:r>
      <w:r>
        <w:rPr>
          <w:rFonts w:ascii="Arial" w:cs="Arial" w:eastAsia="Arial" w:hAnsi="Arial"/>
          <w:color w:val="1A1A1A"/>
          <w:sz w:val="22"/>
          <w:szCs w:val="22"/>
        </w:rPr>
        <w:t xml:space="preserve">Current frameworks lack a standardized vocabulary for expressing compliance constraints within agent configurations. NIST should define a structured compliance metadata vocabulary that maps to existing frameworks (NIST 800-53, FedRAMP, HIPAA) and can be embedded in agent manifests, enabling automated compliance validation.</w:t>
      </w:r>
    </w:p>
    <w:p>
      <w:pPr>
        <w:spacing w:before="60" w:after="0"/>
      </w:pPr>
      <w:r>
        <w:t xml:space="preserve"/>
      </w:r>
    </w:p>
    <w:p>
      <w:pPr>
        <w:spacing w:before="60" w:after="80"/>
        <w:jc w:val="both"/>
      </w:pPr>
      <w:r>
        <w:rPr>
          <w:rFonts w:ascii="Arial" w:cs="Arial" w:eastAsia="Arial" w:hAnsi="Arial"/>
          <w:b/>
          <w:bCs/>
          <w:color w:val="1A1A1A"/>
          <w:sz w:val="22"/>
          <w:szCs w:val="22"/>
        </w:rPr>
        <w:t xml:space="preserve">Recommendation 4: Develop Agent Security Maturity Model. </w:t>
      </w:r>
      <w:r>
        <w:rPr>
          <w:rFonts w:ascii="Arial" w:cs="Arial" w:eastAsia="Arial" w:hAnsi="Arial"/>
          <w:color w:val="1A1A1A"/>
          <w:sz w:val="22"/>
          <w:szCs w:val="22"/>
        </w:rPr>
        <w:t xml:space="preserve">NIST should publish a tiered agent security maturity model (along the lines of the four levels proposed in Section 4.3) that organizations can use to assess, communicate, and improve their agent security posture. This model should be adoptable incrementally — not all deployments require Level 4 immediately.</w:t>
      </w:r>
    </w:p>
    <w:p>
      <w:pPr>
        <w:pStyle w:val="Heading2"/>
        <w:spacing w:before="280" w:after="80"/>
      </w:pPr>
      <w:r>
        <w:rPr>
          <w:rFonts w:ascii="Arial" w:cs="Arial" w:eastAsia="Arial" w:hAnsi="Arial"/>
          <w:b/>
          <w:bCs/>
          <w:color w:val="1E4F8C"/>
          <w:sz w:val="24"/>
          <w:szCs w:val="24"/>
        </w:rPr>
        <w:t xml:space="preserve">5.2 Protocol and Ecosystem Engagement</w:t>
      </w:r>
    </w:p>
    <w:p>
      <w:pPr>
        <w:spacing w:before="60" w:after="80"/>
        <w:jc w:val="both"/>
      </w:pPr>
      <w:r>
        <w:rPr>
          <w:rFonts w:ascii="Arial" w:cs="Arial" w:eastAsia="Arial" w:hAnsi="Arial"/>
          <w:b/>
          <w:bCs/>
          <w:color w:val="1A1A1A"/>
          <w:sz w:val="22"/>
          <w:szCs w:val="22"/>
        </w:rPr>
        <w:t xml:space="preserve">Recommendation 5: Engage MCP and A2A Governance Bodies. </w:t>
      </w:r>
      <w:r>
        <w:rPr>
          <w:rFonts w:ascii="Arial" w:cs="Arial" w:eastAsia="Arial" w:hAnsi="Arial"/>
          <w:color w:val="1A1A1A"/>
          <w:sz w:val="22"/>
          <w:szCs w:val="22"/>
        </w:rPr>
        <w:t xml:space="preserve">NIST should formally engage with the MCP and A2A protocol governance bodies to introduce security-relevant requirements into those specifications. Specifically: mandatory capability declaration hooks in MCP, cross-system identity anchoring in A2A, and explicit interfaces for manifest-layer governance integration.</w:t>
      </w:r>
    </w:p>
    <w:p>
      <w:pPr>
        <w:spacing w:before="60" w:after="0"/>
      </w:pPr>
      <w:r>
        <w:t xml:space="preserve"/>
      </w:r>
    </w:p>
    <w:p>
      <w:pPr>
        <w:spacing w:before="60" w:after="80"/>
        <w:jc w:val="both"/>
      </w:pPr>
      <w:r>
        <w:rPr>
          <w:rFonts w:ascii="Arial" w:cs="Arial" w:eastAsia="Arial" w:hAnsi="Arial"/>
          <w:b/>
          <w:bCs/>
          <w:color w:val="1A1A1A"/>
          <w:sz w:val="22"/>
          <w:szCs w:val="22"/>
        </w:rPr>
        <w:t xml:space="preserve">Recommendation 6: Support Open-Source Reference Implementations. </w:t>
      </w:r>
      <w:r>
        <w:rPr>
          <w:rFonts w:ascii="Arial" w:cs="Arial" w:eastAsia="Arial" w:hAnsi="Arial"/>
          <w:color w:val="1A1A1A"/>
          <w:sz w:val="22"/>
          <w:szCs w:val="22"/>
        </w:rPr>
        <w:t xml:space="preserve">CAISI should identify and support open-source projects that implement agent security standards through the NSF Pathways to Enable Open Source Ecosystems program and similar mechanisms. Reference implementations are essential for driving adoption — standards without tooling remain academic. OSSA represents exactly this type of community-led, production-ready reference implementation.</w:t>
      </w:r>
    </w:p>
    <w:p>
      <w:pPr>
        <w:pStyle w:val="Heading2"/>
        <w:spacing w:before="280" w:after="80"/>
      </w:pPr>
      <w:r>
        <w:rPr>
          <w:rFonts w:ascii="Arial" w:cs="Arial" w:eastAsia="Arial" w:hAnsi="Arial"/>
          <w:b/>
          <w:bCs/>
          <w:color w:val="1E4F8C"/>
          <w:sz w:val="24"/>
          <w:szCs w:val="24"/>
        </w:rPr>
        <w:t xml:space="preserve">5.3 Government-Specific Considerations</w:t>
      </w:r>
    </w:p>
    <w:p>
      <w:pPr>
        <w:spacing w:before="60" w:after="80"/>
        <w:jc w:val="both"/>
      </w:pPr>
      <w:r>
        <w:rPr>
          <w:rFonts w:ascii="Arial" w:cs="Arial" w:eastAsia="Arial" w:hAnsi="Arial"/>
          <w:b/>
          <w:bCs/>
          <w:color w:val="1A1A1A"/>
          <w:sz w:val="22"/>
          <w:szCs w:val="22"/>
        </w:rPr>
        <w:t xml:space="preserve">Recommendation 7: Mandate Agent Manifests for Federal Deployments. </w:t>
      </w:r>
      <w:r>
        <w:rPr>
          <w:rFonts w:ascii="Arial" w:cs="Arial" w:eastAsia="Arial" w:hAnsi="Arial"/>
          <w:color w:val="1A1A1A"/>
          <w:sz w:val="22"/>
          <w:szCs w:val="22"/>
        </w:rPr>
        <w:t xml:space="preserve">For AI agents deployed in federal systems, OMB and NIST should require structured agent manifests as part of ATO (Authority to Operate) documentation. This creates immediate, concrete demand for standardized manifests and establishes government as a pull force for ecosystem security improvement.</w:t>
      </w:r>
    </w:p>
    <w:p>
      <w:pPr>
        <w:spacing w:before="60" w:after="0"/>
      </w:pPr>
      <w:r>
        <w:t xml:space="preserve"/>
      </w:r>
    </w:p>
    <w:p>
      <w:pPr>
        <w:spacing w:before="60" w:after="80"/>
        <w:jc w:val="both"/>
      </w:pPr>
      <w:r>
        <w:rPr>
          <w:rFonts w:ascii="Arial" w:cs="Arial" w:eastAsia="Arial" w:hAnsi="Arial"/>
          <w:b/>
          <w:bCs/>
          <w:color w:val="1A1A1A"/>
          <w:sz w:val="22"/>
          <w:szCs w:val="22"/>
        </w:rPr>
        <w:t xml:space="preserve">Recommendation 8: Extend FedRAMP to Agent Workloads. </w:t>
      </w:r>
      <w:r>
        <w:rPr>
          <w:rFonts w:ascii="Arial" w:cs="Arial" w:eastAsia="Arial" w:hAnsi="Arial"/>
          <w:color w:val="1A1A1A"/>
          <w:sz w:val="22"/>
          <w:szCs w:val="22"/>
        </w:rPr>
        <w:t xml:space="preserve">FedRAMP's current authorization framework was not designed for autonomous agent systems. NIST should work with FedRAMP to develop agent-specific authorization controls, particularly addressing: dynamic tool access patterns, multi-agent trust chains, and agentic system audit requirements.</w:t>
      </w:r>
    </w:p>
    <w:p>
      <w:pPr>
        <w:spacing w:before="60" w:after="0"/>
      </w:pPr>
      <w:r>
        <w:t xml:space="preserve"/>
      </w:r>
    </w:p>
    <w:p>
      <w:pPr>
        <w:pBdr>
          <w:bottom w:val="single" w:color="D8DDE6" w:sz="6" w:space="1"/>
        </w:pBdr>
        <w:spacing w:before="160" w:after="160"/>
      </w:pPr>
    </w:p>
    <w:p>
      <w:pPr>
        <w:pStyle w:val="Heading1"/>
        <w:pBdr>
          <w:bottom w:val="single" w:color="2E6DA4" w:sz="8" w:space="4"/>
        </w:pBdr>
        <w:spacing w:before="360" w:after="120"/>
      </w:pPr>
      <w:r>
        <w:rPr>
          <w:rFonts w:ascii="Arial" w:cs="Arial" w:eastAsia="Arial" w:hAnsi="Arial"/>
          <w:b/>
          <w:bCs/>
          <w:color w:val="1B2F5C"/>
          <w:sz w:val="28"/>
          <w:szCs w:val="28"/>
        </w:rPr>
        <w:t xml:space="preserve">6. Barriers to Adoption in Regulated Sectors</w:t>
      </w:r>
    </w:p>
    <w:p>
      <w:pPr>
        <w:spacing w:before="60" w:after="80"/>
        <w:jc w:val="both"/>
      </w:pPr>
      <w:r>
        <w:rPr>
          <w:rFonts w:ascii="Arial" w:cs="Arial" w:eastAsia="Arial" w:hAnsi="Arial"/>
          <w:color w:val="1A1A1A"/>
          <w:sz w:val="22"/>
          <w:szCs w:val="22"/>
        </w:rPr>
        <w:t xml:space="preserve">In anticipation of the CAISI listening sessions, we offer sector-specific observations from our client work:</w:t>
      </w:r>
    </w:p>
    <w:p>
      <w:pPr>
        <w:pStyle w:val="Heading2"/>
        <w:spacing w:before="280" w:after="80"/>
      </w:pPr>
      <w:r>
        <w:rPr>
          <w:rFonts w:ascii="Arial" w:cs="Arial" w:eastAsia="Arial" w:hAnsi="Arial"/>
          <w:b/>
          <w:bCs/>
          <w:color w:val="1E4F8C"/>
          <w:sz w:val="24"/>
          <w:szCs w:val="24"/>
        </w:rPr>
        <w:t xml:space="preserve">6.1 Healthcare</w:t>
      </w:r>
    </w:p>
    <w:p>
      <w:pPr>
        <w:pStyle w:val="ListParagraph"/>
        <w:numPr>
          <w:ilvl w:val="0"/>
          <w:numId w:val="2"/>
        </w:numPr>
        <w:spacing w:before="40" w:after="60"/>
      </w:pPr>
      <w:r>
        <w:rPr>
          <w:rFonts w:ascii="Arial" w:cs="Arial" w:eastAsia="Arial" w:hAnsi="Arial"/>
          <w:color w:val="1A1A1A"/>
          <w:sz w:val="22"/>
          <w:szCs w:val="22"/>
        </w:rPr>
        <w:t xml:space="preserve">HIPAA's minimum necessary standard conflicts with the broad tool-access patterns typical of current agent frameworks — no mechanism exists to formally declare and enforce minimum-necessary tool access at the agent level</w:t>
      </w:r>
    </w:p>
    <w:p>
      <w:pPr>
        <w:pStyle w:val="ListParagraph"/>
        <w:numPr>
          <w:ilvl w:val="0"/>
          <w:numId w:val="2"/>
        </w:numPr>
        <w:spacing w:before="40" w:after="60"/>
      </w:pPr>
      <w:r>
        <w:rPr>
          <w:rFonts w:ascii="Arial" w:cs="Arial" w:eastAsia="Arial" w:hAnsi="Arial"/>
          <w:color w:val="1A1A1A"/>
          <w:sz w:val="22"/>
          <w:szCs w:val="22"/>
        </w:rPr>
        <w:t xml:space="preserve">Lack of audit trail standards for agent actions creates documentation gaps that compliance officers cannot accept</w:t>
      </w:r>
    </w:p>
    <w:p>
      <w:pPr>
        <w:pStyle w:val="ListParagraph"/>
        <w:numPr>
          <w:ilvl w:val="0"/>
          <w:numId w:val="2"/>
        </w:numPr>
        <w:spacing w:before="40" w:after="60"/>
      </w:pPr>
      <w:r>
        <w:rPr>
          <w:rFonts w:ascii="Arial" w:cs="Arial" w:eastAsia="Arial" w:hAnsi="Arial"/>
          <w:color w:val="1A1A1A"/>
          <w:sz w:val="22"/>
          <w:szCs w:val="22"/>
        </w:rPr>
        <w:t xml:space="preserve">No clear guidance on whether an AI agent constitutes a covered entity's 'business associate' for data handling purposes</w:t>
      </w:r>
    </w:p>
    <w:p>
      <w:pPr>
        <w:pStyle w:val="ListParagraph"/>
        <w:numPr>
          <w:ilvl w:val="0"/>
          <w:numId w:val="2"/>
        </w:numPr>
        <w:spacing w:before="40" w:after="60"/>
      </w:pPr>
      <w:r>
        <w:rPr>
          <w:rFonts w:ascii="Arial" w:cs="Arial" w:eastAsia="Arial" w:hAnsi="Arial"/>
          <w:color w:val="1A1A1A"/>
          <w:sz w:val="22"/>
          <w:szCs w:val="22"/>
        </w:rPr>
        <w:t xml:space="preserve">Clinical decision support agents face heightened scrutiny but lack the governance metadata infrastructure to support the required oversight documentation</w:t>
      </w:r>
    </w:p>
    <w:p>
      <w:pPr>
        <w:pStyle w:val="Heading2"/>
        <w:spacing w:before="280" w:after="80"/>
      </w:pPr>
      <w:r>
        <w:rPr>
          <w:rFonts w:ascii="Arial" w:cs="Arial" w:eastAsia="Arial" w:hAnsi="Arial"/>
          <w:b/>
          <w:bCs/>
          <w:color w:val="1E4F8C"/>
          <w:sz w:val="24"/>
          <w:szCs w:val="24"/>
        </w:rPr>
        <w:t xml:space="preserve">6.2 Finance</w:t>
      </w:r>
    </w:p>
    <w:p>
      <w:pPr>
        <w:pStyle w:val="ListParagraph"/>
        <w:numPr>
          <w:ilvl w:val="0"/>
          <w:numId w:val="2"/>
        </w:numPr>
        <w:spacing w:before="40" w:after="60"/>
      </w:pPr>
      <w:r>
        <w:rPr>
          <w:rFonts w:ascii="Arial" w:cs="Arial" w:eastAsia="Arial" w:hAnsi="Arial"/>
          <w:color w:val="1A1A1A"/>
          <w:sz w:val="22"/>
          <w:szCs w:val="22"/>
        </w:rPr>
        <w:t xml:space="preserve">SEC and FINRA explainability requirements are incompatible with the opacity of current agent execution chains — there is no standard mechanism for an agent to produce a regulatorily sufficient audit trace</w:t>
      </w:r>
    </w:p>
    <w:p>
      <w:pPr>
        <w:pStyle w:val="ListParagraph"/>
        <w:numPr>
          <w:ilvl w:val="0"/>
          <w:numId w:val="2"/>
        </w:numPr>
        <w:spacing w:before="40" w:after="60"/>
      </w:pPr>
      <w:r>
        <w:rPr>
          <w:rFonts w:ascii="Arial" w:cs="Arial" w:eastAsia="Arial" w:hAnsi="Arial"/>
          <w:color w:val="1A1A1A"/>
          <w:sz w:val="22"/>
          <w:szCs w:val="22"/>
        </w:rPr>
        <w:t xml:space="preserve">Trading and advisory agents require hard authorization boundaries that current frameworks cannot enforce at the agent layer</w:t>
      </w:r>
    </w:p>
    <w:p>
      <w:pPr>
        <w:pStyle w:val="ListParagraph"/>
        <w:numPr>
          <w:ilvl w:val="0"/>
          <w:numId w:val="2"/>
        </w:numPr>
        <w:spacing w:before="40" w:after="60"/>
      </w:pPr>
      <w:r>
        <w:rPr>
          <w:rFonts w:ascii="Arial" w:cs="Arial" w:eastAsia="Arial" w:hAnsi="Arial"/>
          <w:color w:val="1A1A1A"/>
          <w:sz w:val="22"/>
          <w:szCs w:val="22"/>
        </w:rPr>
        <w:t xml:space="preserve">SOC2 compliance documentation cannot incorporate agent systems that lack structured governance declarations</w:t>
      </w:r>
    </w:p>
    <w:p>
      <w:pPr>
        <w:pStyle w:val="Heading2"/>
        <w:spacing w:before="280" w:after="80"/>
      </w:pPr>
      <w:r>
        <w:rPr>
          <w:rFonts w:ascii="Arial" w:cs="Arial" w:eastAsia="Arial" w:hAnsi="Arial"/>
          <w:b/>
          <w:bCs/>
          <w:color w:val="1E4F8C"/>
          <w:sz w:val="24"/>
          <w:szCs w:val="24"/>
        </w:rPr>
        <w:t xml:space="preserve">6.3 Public Sector / Government</w:t>
      </w:r>
    </w:p>
    <w:p>
      <w:pPr>
        <w:pStyle w:val="ListParagraph"/>
        <w:numPr>
          <w:ilvl w:val="0"/>
          <w:numId w:val="2"/>
        </w:numPr>
        <w:spacing w:before="40" w:after="60"/>
      </w:pPr>
      <w:r>
        <w:rPr>
          <w:rFonts w:ascii="Arial" w:cs="Arial" w:eastAsia="Arial" w:hAnsi="Arial"/>
          <w:color w:val="1A1A1A"/>
          <w:sz w:val="22"/>
          <w:szCs w:val="22"/>
        </w:rPr>
        <w:t xml:space="preserve">The absence of FedRAMP-recognized authorization patterns for agentic systems is the single largest barrier to federal AI agent adoption</w:t>
      </w:r>
    </w:p>
    <w:p>
      <w:pPr>
        <w:pStyle w:val="ListParagraph"/>
        <w:numPr>
          <w:ilvl w:val="0"/>
          <w:numId w:val="2"/>
        </w:numPr>
        <w:spacing w:before="40" w:after="60"/>
      </w:pPr>
      <w:r>
        <w:rPr>
          <w:rFonts w:ascii="Arial" w:cs="Arial" w:eastAsia="Arial" w:hAnsi="Arial"/>
          <w:color w:val="1A1A1A"/>
          <w:sz w:val="22"/>
          <w:szCs w:val="22"/>
        </w:rPr>
        <w:t xml:space="preserve">Classified and CUI handling requirements have no agent-layer analogs — there is no structured way to declare and enforce data classification constraints in agent manifests</w:t>
      </w:r>
    </w:p>
    <w:p>
      <w:pPr>
        <w:pStyle w:val="ListParagraph"/>
        <w:numPr>
          <w:ilvl w:val="0"/>
          <w:numId w:val="2"/>
        </w:numPr>
        <w:spacing w:before="40" w:after="60"/>
      </w:pPr>
      <w:r>
        <w:rPr>
          <w:rFonts w:ascii="Arial" w:cs="Arial" w:eastAsia="Arial" w:hAnsi="Arial"/>
          <w:color w:val="1A1A1A"/>
          <w:sz w:val="22"/>
          <w:szCs w:val="22"/>
        </w:rPr>
        <w:t xml:space="preserve">Procurement vehicles (GSA Schedules, BPAs) have not evolved to address agent systems, creating acquisition uncertainty that stalls adoption</w:t>
      </w:r>
    </w:p>
    <w:p>
      <w:pPr>
        <w:pStyle w:val="ListParagraph"/>
        <w:numPr>
          <w:ilvl w:val="0"/>
          <w:numId w:val="2"/>
        </w:numPr>
        <w:spacing w:before="40" w:after="60"/>
      </w:pPr>
      <w:r>
        <w:rPr>
          <w:rFonts w:ascii="Arial" w:cs="Arial" w:eastAsia="Arial" w:hAnsi="Arial"/>
          <w:color w:val="1A1A1A"/>
          <w:sz w:val="22"/>
          <w:szCs w:val="22"/>
        </w:rPr>
        <w:t xml:space="preserve">Existing government IT security review processes (RMF, ATO) have 12-24 month timelines that are incompatible with the pace of agentic AI development — streamlined paths for agent authorization are needed</w:t>
      </w:r>
    </w:p>
    <w:p>
      <w:pPr>
        <w:spacing w:before="60" w:after="0"/>
      </w:pPr>
      <w:r>
        <w:t xml:space="preserve"/>
      </w:r>
    </w:p>
    <w:p>
      <w:pPr>
        <w:pBdr>
          <w:bottom w:val="single" w:color="D8DDE6" w:sz="6" w:space="1"/>
        </w:pBdr>
        <w:spacing w:before="160" w:after="160"/>
      </w:pPr>
    </w:p>
    <w:p>
      <w:pPr>
        <w:pStyle w:val="Heading1"/>
        <w:pBdr>
          <w:bottom w:val="single" w:color="2E6DA4" w:sz="8" w:space="4"/>
        </w:pBdr>
        <w:spacing w:before="360" w:after="120"/>
      </w:pPr>
      <w:r>
        <w:rPr>
          <w:rFonts w:ascii="Arial" w:cs="Arial" w:eastAsia="Arial" w:hAnsi="Arial"/>
          <w:b/>
          <w:bCs/>
          <w:color w:val="1B2F5C"/>
          <w:sz w:val="28"/>
          <w:szCs w:val="28"/>
        </w:rPr>
        <w:t xml:space="preserve">7. OSSA and CAISI: A Partnership Opportunity</w:t>
      </w:r>
    </w:p>
    <w:p>
      <w:pPr>
        <w:spacing w:before="60" w:after="80"/>
        <w:jc w:val="both"/>
      </w:pPr>
      <w:r>
        <w:rPr>
          <w:rFonts w:ascii="Arial" w:cs="Arial" w:eastAsia="Arial" w:hAnsi="Arial"/>
          <w:color w:val="1A1A1A"/>
          <w:sz w:val="22"/>
          <w:szCs w:val="22"/>
        </w:rPr>
        <w:t xml:space="preserve">Bluefly.io and the Open Standard Agents Organization are committed to supporting CAISI's mission through open, collaborative engagement. We offer the following concrete contributions: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D8DDE6" w:sz="1"/>
              <w:left w:val="single" w:color="D8DDE6" w:sz="1"/>
              <w:bottom w:val="single" w:color="D8DDE6" w:sz="1"/>
              <w:right w:val="single" w:color="D8DDE6" w:sz="1"/>
            </w:tcBorders>
            <w:shd w:fill="2E6DA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Contribution</w:t>
            </w:r>
          </w:p>
        </w:tc>
        <w:tc>
          <w:tcPr>
            <w:tcW w:type="dxa" w:w="6480"/>
            <w:tcBorders>
              <w:top w:val="single" w:color="D8DDE6" w:sz="1"/>
              <w:left w:val="single" w:color="D8DDE6" w:sz="1"/>
              <w:bottom w:val="single" w:color="D8DDE6" w:sz="1"/>
              <w:right w:val="single" w:color="D8DDE6" w:sz="1"/>
            </w:tcBorders>
            <w:shd w:fill="2E6DA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324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OSSA Specification Reference</w:t>
            </w:r>
          </w:p>
        </w:tc>
        <w:tc>
          <w:tcPr>
            <w:tcW w:type="dxa" w:w="648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The complete OSSA v0.4.5 specification (Apache 2.0) is available as a reference implementation for the agent identity contract schema NIST seeks to standardize. We welcome technical review, gap analysis, and collaborative extension.</w:t>
            </w:r>
          </w:p>
        </w:tc>
      </w:tr>
      <w:tr>
        <w:tc>
          <w:tcPr>
            <w:tcW w:type="dxa" w:w="324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Working Group Participation</w:t>
            </w:r>
          </w:p>
        </w:tc>
        <w:tc>
          <w:tcPr>
            <w:tcW w:type="dxa" w:w="648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Thomas Scola and Bluefly.io are available to participate in CAISI technical convenings, working groups, and standards drafting processes. We bring both practitioner perspective and specification authorship experience.</w:t>
            </w:r>
          </w:p>
        </w:tc>
      </w:tr>
      <w:tr>
        <w:tc>
          <w:tcPr>
            <w:tcW w:type="dxa" w:w="324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Pilot Deployment Collaboration</w:t>
            </w:r>
          </w:p>
        </w:tc>
        <w:tc>
          <w:tcPr>
            <w:tcW w:type="dxa" w:w="648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We can provide documented case studies and, where appropriate, live demonstration environments showing OSSA manifest-governed agent deployments in government-adjacent contexts (Drupal CMS platforms, GitLab CI/CD pipelines, Kubernetes clusters).</w:t>
            </w:r>
          </w:p>
        </w:tc>
      </w:tr>
      <w:tr>
        <w:tc>
          <w:tcPr>
            <w:tcW w:type="dxa" w:w="324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Listening Session Testimony</w:t>
            </w:r>
          </w:p>
        </w:tc>
        <w:tc>
          <w:tcPr>
            <w:tcW w:type="dxa" w:w="648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Bluefly.io registers interest in participating in CAISI's sector-specific listening sessions, particularly for the public sector / government track, where our direct client experience is most directly relevant.</w:t>
            </w:r>
          </w:p>
        </w:tc>
      </w:tr>
      <w:tr>
        <w:tc>
          <w:tcPr>
            <w:tcW w:type="dxa" w:w="324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Community Coordination</w:t>
            </w:r>
          </w:p>
        </w:tc>
        <w:tc>
          <w:tcPr>
            <w:tcW w:type="dxa" w:w="648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OSSA maintains an active Discord community and open GitLab repository. We can serve as a community engagement channel for practitioner perspectives on standards development, amplifying NIST's outreach to the open-source agent ecosystem.</w:t>
            </w:r>
          </w:p>
        </w:tc>
      </w:tr>
    </w:tbl>
    <w:p>
      <w:pPr>
        <w:spacing w:before="60" w:after="0"/>
      </w:pPr>
      <w:r>
        <w:t xml:space="preserve"/>
      </w:r>
    </w:p>
    <w:p>
      <w:pPr>
        <w:pBdr>
          <w:bottom w:val="single" w:color="D8DDE6" w:sz="6" w:space="1"/>
        </w:pBdr>
        <w:spacing w:before="160" w:after="160"/>
      </w:pPr>
    </w:p>
    <w:p>
      <w:pPr>
        <w:pStyle w:val="Heading1"/>
        <w:pBdr>
          <w:bottom w:val="single" w:color="2E6DA4" w:sz="8" w:space="4"/>
        </w:pBdr>
        <w:spacing w:before="360" w:after="120"/>
      </w:pPr>
      <w:r>
        <w:rPr>
          <w:rFonts w:ascii="Arial" w:cs="Arial" w:eastAsia="Arial" w:hAnsi="Arial"/>
          <w:b/>
          <w:bCs/>
          <w:color w:val="1B2F5C"/>
          <w:sz w:val="28"/>
          <w:szCs w:val="28"/>
        </w:rPr>
        <w:t xml:space="preserve">8. Conclusion</w:t>
      </w:r>
    </w:p>
    <w:p>
      <w:pPr>
        <w:spacing w:before="60" w:after="80"/>
        <w:jc w:val="both"/>
      </w:pPr>
      <w:r>
        <w:rPr>
          <w:rFonts w:ascii="Arial" w:cs="Arial" w:eastAsia="Arial" w:hAnsi="Arial"/>
          <w:color w:val="1A1A1A"/>
          <w:sz w:val="22"/>
          <w:szCs w:val="22"/>
        </w:rPr>
        <w:t xml:space="preserve">The NIST CAISI AI Agent Standards Initiative is timely, necessary, and well-positioned to shape a pivotal moment in the development of AI agent ecosystems. The threats are real, the fragmentation is measurable, and the absence of a portable agent identity contract is the root cause of the majority of security, compliance, and interoperability challenges the ecosystem faces.</w:t>
      </w:r>
    </w:p>
    <w:p>
      <w:pPr>
        <w:spacing w:before="60" w:after="80"/>
        <w:jc w:val="both"/>
      </w:pPr>
      <w:r>
        <w:rPr>
          <w:rFonts w:ascii="Arial" w:cs="Arial" w:eastAsia="Arial" w:hAnsi="Arial"/>
          <w:color w:val="1A1A1A"/>
          <w:sz w:val="22"/>
          <w:szCs w:val="22"/>
        </w:rPr>
        <w:t xml:space="preserve">Bluefly.io and the Open Standard Agents Organization have invested directly in solving this problem. OSSA is not a vision document — it is production software, actively used, Apache-licensed, and designed to be extended and standardized. We submit this response not merely as stakeholder comment, but as an offer of active partnership in the work CAISI is undertaking.</w:t>
      </w:r>
    </w:p>
    <w:p>
      <w:pPr>
        <w:spacing w:before="60" w:after="80"/>
        <w:jc w:val="both"/>
      </w:pPr>
      <w:r>
        <w:rPr>
          <w:rFonts w:ascii="Arial" w:cs="Arial" w:eastAsia="Arial" w:hAnsi="Arial"/>
          <w:color w:val="1A1A1A"/>
          <w:sz w:val="22"/>
          <w:szCs w:val="22"/>
        </w:rPr>
        <w:t xml:space="preserve">We believe the path forward is clear: standardize the agent contract, build the signing infrastructure, define the compliance vocabulary, and create the government-specific authorization pathways. NIST is the right institution to lead this work. OSSA is ready to support it.</w:t>
      </w:r>
    </w:p>
    <w:p>
      <w:pPr>
        <w:spacing w:before="4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DE6" w:sz="1"/>
              <w:left w:val="single" w:color="D8DDE6" w:sz="1"/>
              <w:bottom w:val="single" w:color="D8DDE6" w:sz="1"/>
              <w:right w:val="single" w:color="D8DDE6" w:sz="1"/>
            </w:tcBorders>
            <w:shd w:fill="EAF0F9" w:val="clear"/>
            <w:tcMar>
              <w:top w:type="dxa" w:w="160"/>
              <w:left w:type="dxa" w:w="240"/>
              <w:bottom w:type="dxa" w:w="160"/>
              <w:right w:type="dxa" w:w="240"/>
            </w:tcMar>
          </w:tcPr>
          <w:p>
            <w:pPr>
              <w:spacing w:before="0" w:after="80"/>
            </w:pPr>
            <w:r>
              <w:rPr>
                <w:rFonts w:ascii="Arial" w:cs="Arial" w:eastAsia="Arial" w:hAnsi="Arial"/>
                <w:b/>
                <w:bCs/>
                <w:color w:val="1B2F5C"/>
                <w:sz w:val="22"/>
                <w:szCs w:val="22"/>
              </w:rPr>
              <w:t xml:space="preserve">Contact Information</w:t>
            </w:r>
          </w:p>
          <w:p>
            <w:pPr>
              <w:spacing w:before="0" w:after="40"/>
            </w:pPr>
            <w:r>
              <w:rPr>
                <w:rFonts w:ascii="Arial" w:cs="Arial" w:eastAsia="Arial" w:hAnsi="Arial"/>
                <w:color w:val="1A1A1A"/>
                <w:sz w:val="20"/>
                <w:szCs w:val="20"/>
              </w:rPr>
              <w:t xml:space="preserve">Thomas Scola | Founder &amp; Principal Consultant, Bluefly.io</w:t>
            </w:r>
          </w:p>
          <w:p>
            <w:pPr>
              <w:spacing w:before="0" w:after="40"/>
            </w:pPr>
            <w:r>
              <w:rPr>
                <w:rFonts w:ascii="Arial" w:cs="Arial" w:eastAsia="Arial" w:hAnsi="Arial"/>
                <w:color w:val="1A1A1A"/>
                <w:sz w:val="20"/>
                <w:szCs w:val="20"/>
              </w:rPr>
              <w:t xml:space="preserve">Customer Success Architect, GitLab</w:t>
            </w:r>
          </w:p>
          <w:p>
            <w:pPr>
              <w:spacing w:before="0" w:after="40"/>
            </w:pPr>
            <w:r>
              <w:rPr>
                <w:rFonts w:ascii="Arial" w:cs="Arial" w:eastAsia="Arial" w:hAnsi="Arial"/>
                <w:color w:val="2E6DA4"/>
                <w:sz w:val="20"/>
                <w:szCs w:val="20"/>
              </w:rPr>
              <w:t xml:space="preserve">thomas@bluefly.io  |  https://bluefly.io  |  https://openstandardagents.org</w:t>
            </w:r>
          </w:p>
          <w:p>
            <w:pPr>
              <w:spacing w:before="0" w:after="0"/>
            </w:pPr>
            <w:r>
              <w:rPr>
                <w:rFonts w:ascii="Courier New" w:cs="Courier New" w:eastAsia="Courier New" w:hAnsi="Courier New"/>
                <w:color w:val="555555"/>
                <w:sz w:val="18"/>
                <w:szCs w:val="18"/>
              </w:rPr>
              <w:t xml:space="preserve">OSSA CLI: npm install -g @bluefly/openstandardagents  |  Apache 2.0  |  v0.4.5</w:t>
            </w:r>
          </w:p>
        </w:tc>
      </w:tr>
    </w:tbl>
    <w:p>
      <w:pPr>
        <w:spacing w:before="160" w:after="0"/>
      </w:pPr>
      <w:r>
        <w:t xml:space="preserve"/>
      </w:r>
    </w:p>
    <w:p>
      <w:pPr>
        <w:pBdr>
          <w:bottom w:val="single" w:color="D8DDE6" w:sz="6" w:space="1"/>
        </w:pBdr>
        <w:spacing w:before="160" w:after="160"/>
      </w:pPr>
    </w:p>
    <w:p>
      <w:pPr>
        <w:pStyle w:val="Heading1"/>
        <w:pBdr>
          <w:bottom w:val="single" w:color="2E6DA4" w:sz="8" w:space="4"/>
        </w:pBdr>
        <w:spacing w:before="360" w:after="120"/>
      </w:pPr>
      <w:r>
        <w:rPr>
          <w:rFonts w:ascii="Arial" w:cs="Arial" w:eastAsia="Arial" w:hAnsi="Arial"/>
          <w:b/>
          <w:bCs/>
          <w:color w:val="1B2F5C"/>
          <w:sz w:val="28"/>
          <w:szCs w:val="28"/>
        </w:rPr>
        <w:t xml:space="preserve">Appendix: OSSA Specification Summary</w:t>
      </w:r>
    </w:p>
    <w:p>
      <w:pPr>
        <w:pStyle w:val="Heading2"/>
        <w:spacing w:before="280" w:after="80"/>
      </w:pPr>
      <w:r>
        <w:rPr>
          <w:rFonts w:ascii="Arial" w:cs="Arial" w:eastAsia="Arial" w:hAnsi="Arial"/>
          <w:b/>
          <w:bCs/>
          <w:color w:val="1E4F8C"/>
          <w:sz w:val="24"/>
          <w:szCs w:val="24"/>
        </w:rPr>
        <w:t xml:space="preserve">A.1 Manifest Structure Overview</w:t>
      </w:r>
    </w:p>
    <w:p>
      <w:pPr>
        <w:spacing w:before="60" w:after="80"/>
        <w:jc w:val="both"/>
      </w:pPr>
      <w:r>
        <w:rPr>
          <w:rFonts w:ascii="Arial" w:cs="Arial" w:eastAsia="Arial" w:hAnsi="Arial"/>
          <w:color w:val="1A1A1A"/>
          <w:sz w:val="22"/>
          <w:szCs w:val="22"/>
        </w:rPr>
        <w:t xml:space="preserve">An OSSA manifest is a YAML document with the following top-level sections. Each section maps directly to a security or governance concern: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760"/>
      </w:tblGrid>
      <w:tr>
        <w:tc>
          <w:tcPr>
            <w:tcW w:type="dxa" w:w="2200"/>
            <w:tcBorders>
              <w:top w:val="single" w:color="D8DDE6" w:sz="1"/>
              <w:left w:val="single" w:color="D8DDE6" w:sz="1"/>
              <w:bottom w:val="single" w:color="D8DDE6" w:sz="1"/>
              <w:right w:val="single" w:color="D8DDE6" w:sz="1"/>
            </w:tcBorders>
            <w:shd w:fill="2E6DA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Section</w:t>
            </w:r>
          </w:p>
        </w:tc>
        <w:tc>
          <w:tcPr>
            <w:tcW w:type="dxa" w:w="4760"/>
            <w:tcBorders>
              <w:top w:val="single" w:color="D8DDE6" w:sz="1"/>
              <w:left w:val="single" w:color="D8DDE6" w:sz="1"/>
              <w:bottom w:val="single" w:color="D8DDE6" w:sz="1"/>
              <w:right w:val="single" w:color="D8DDE6" w:sz="1"/>
            </w:tcBorders>
            <w:shd w:fill="2E6DA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Security / Governance Purpose</w:t>
            </w:r>
          </w:p>
        </w:tc>
        <w:tc>
          <w:tcPr>
            <w:tcW w:type="dxa" w:w="2760"/>
            <w:tcBorders>
              <w:top w:val="single" w:color="D8DDE6" w:sz="1"/>
              <w:left w:val="single" w:color="D8DDE6" w:sz="1"/>
              <w:bottom w:val="single" w:color="D8DDE6" w:sz="1"/>
              <w:right w:val="single" w:color="D8DDE6" w:sz="1"/>
            </w:tcBorders>
            <w:shd w:fill="2E6DA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CAISI Pillar</w:t>
            </w:r>
          </w:p>
        </w:tc>
      </w:tr>
      <w:tr>
        <w:tc>
          <w:tcPr>
            <w:tcW w:type="dxa" w:w="22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metadata</w:t>
            </w:r>
          </w:p>
        </w:tc>
        <w:tc>
          <w:tcPr>
            <w:tcW w:type="dxa" w:w="4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Agent identity: namespace, name, version, labels, publisher. Stable identifier for provenance tracking.</w:t>
            </w:r>
          </w:p>
        </w:tc>
        <w:tc>
          <w:tcPr>
            <w:tcW w:type="dxa" w:w="2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Standards (Pillar 1)</w:t>
            </w:r>
          </w:p>
        </w:tc>
      </w:tr>
      <w:tr>
        <w:tc>
          <w:tcPr>
            <w:tcW w:type="dxa" w:w="220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spec</w:t>
            </w:r>
          </w:p>
        </w:tc>
        <w:tc>
          <w:tcPr>
            <w:tcW w:type="dxa" w:w="47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Capability declaration: role, LLM configuration, behavioral parameters.</w:t>
            </w:r>
          </w:p>
        </w:tc>
        <w:tc>
          <w:tcPr>
            <w:tcW w:type="dxa" w:w="27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Standards (Pillar 1)</w:t>
            </w:r>
          </w:p>
        </w:tc>
      </w:tr>
      <w:tr>
        <w:tc>
          <w:tcPr>
            <w:tcW w:type="dxa" w:w="22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tools</w:t>
            </w:r>
          </w:p>
        </w:tc>
        <w:tc>
          <w:tcPr>
            <w:tcW w:type="dxa" w:w="4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Complete tool inventory: MCP server connections, built-in capabilities, API endpoints. Every tool must be declared.</w:t>
            </w:r>
          </w:p>
        </w:tc>
        <w:tc>
          <w:tcPr>
            <w:tcW w:type="dxa" w:w="2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Protocols (Pillar 2)</w:t>
            </w:r>
          </w:p>
        </w:tc>
      </w:tr>
      <w:tr>
        <w:tc>
          <w:tcPr>
            <w:tcW w:type="dxa" w:w="220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autonomy</w:t>
            </w:r>
          </w:p>
        </w:tc>
        <w:tc>
          <w:tcPr>
            <w:tcW w:type="dxa" w:w="47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Authorization constraints: mode (supervised/autonomous), allowed/blocked actions, human approval requirements.</w:t>
            </w:r>
          </w:p>
        </w:tc>
        <w:tc>
          <w:tcPr>
            <w:tcW w:type="dxa" w:w="27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Standards (Pillar 1)</w:t>
            </w:r>
          </w:p>
        </w:tc>
      </w:tr>
      <w:tr>
        <w:tc>
          <w:tcPr>
            <w:tcW w:type="dxa" w:w="22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safety</w:t>
            </w:r>
          </w:p>
        </w:tc>
        <w:tc>
          <w:tcPr>
            <w:tcW w:type="dxa" w:w="4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Content filtering, guardrails, injection defense configurations.</w:t>
            </w:r>
          </w:p>
        </w:tc>
        <w:tc>
          <w:tcPr>
            <w:tcW w:type="dxa" w:w="2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Research (Pillar 3)</w:t>
            </w:r>
          </w:p>
        </w:tc>
      </w:tr>
      <w:tr>
        <w:tc>
          <w:tcPr>
            <w:tcW w:type="dxa" w:w="220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compliance</w:t>
            </w:r>
          </w:p>
        </w:tc>
        <w:tc>
          <w:tcPr>
            <w:tcW w:type="dxa" w:w="47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Framework declarations: FedRAMP, HIPAA, SOC2, GDPR, NIST 800-53. Data classification. Audit requirements.</w:t>
            </w:r>
          </w:p>
        </w:tc>
        <w:tc>
          <w:tcPr>
            <w:tcW w:type="dxa" w:w="27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Standards (Pillar 1)</w:t>
            </w:r>
          </w:p>
        </w:tc>
      </w:tr>
      <w:tr>
        <w:tc>
          <w:tcPr>
            <w:tcW w:type="dxa" w:w="22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observability</w:t>
            </w:r>
          </w:p>
        </w:tc>
        <w:tc>
          <w:tcPr>
            <w:tcW w:type="dxa" w:w="4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OpenTelemetry tracing, Prometheus metrics, structured logging. Audit trail configuration.</w:t>
            </w:r>
          </w:p>
        </w:tc>
        <w:tc>
          <w:tcPr>
            <w:tcW w:type="dxa" w:w="2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Research (Pillar 3)</w:t>
            </w:r>
          </w:p>
        </w:tc>
      </w:tr>
      <w:tr>
        <w:tc>
          <w:tcPr>
            <w:tcW w:type="dxa" w:w="220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constraints</w:t>
            </w:r>
          </w:p>
        </w:tc>
        <w:tc>
          <w:tcPr>
            <w:tcW w:type="dxa" w:w="47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Cost controls: token budgets, daily spend limits. Resource consumption caps.</w:t>
            </w:r>
          </w:p>
        </w:tc>
        <w:tc>
          <w:tcPr>
            <w:tcW w:type="dxa" w:w="2760"/>
            <w:tcBorders>
              <w:top w:val="single" w:color="D8DDE6" w:sz="1"/>
              <w:left w:val="single" w:color="D8DDE6" w:sz="1"/>
              <w:bottom w:val="single" w:color="D8DDE6" w:sz="1"/>
              <w:right w:val="single" w:color="D8DDE6" w:sz="1"/>
            </w:tcBorders>
            <w:shd w:fill="FFFFFF"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Standards (Pillar 1)</w:t>
            </w:r>
          </w:p>
        </w:tc>
      </w:tr>
      <w:tr>
        <w:tc>
          <w:tcPr>
            <w:tcW w:type="dxa" w:w="220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b/>
                <w:bCs/>
                <w:color w:val="1A1A1A"/>
                <w:sz w:val="20"/>
                <w:szCs w:val="20"/>
              </w:rPr>
              <w:t xml:space="preserve">triggers</w:t>
            </w:r>
          </w:p>
        </w:tc>
        <w:tc>
          <w:tcPr>
            <w:tcW w:type="dxa" w:w="4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Event-driven invocation configuration: webhooks, scheduled triggers, pipeline events.</w:t>
            </w:r>
          </w:p>
        </w:tc>
        <w:tc>
          <w:tcPr>
            <w:tcW w:type="dxa" w:w="2760"/>
            <w:tcBorders>
              <w:top w:val="single" w:color="D8DDE6" w:sz="1"/>
              <w:left w:val="single" w:color="D8DDE6" w:sz="1"/>
              <w:bottom w:val="single" w:color="D8DDE6" w:sz="1"/>
              <w:right w:val="single" w:color="D8DDE6" w:sz="1"/>
            </w:tcBorders>
            <w:shd w:fill="F2F4F7" w:val="clear"/>
            <w:tcMar>
              <w:top w:type="dxa" w:w="80"/>
              <w:left w:type="dxa" w:w="140"/>
              <w:bottom w:type="dxa" w:w="80"/>
              <w:right w:type="dxa" w:w="140"/>
            </w:tcMar>
          </w:tcPr>
          <w:p>
            <w:pPr>
              <w:spacing w:before="20" w:after="20"/>
            </w:pPr>
            <w:r>
              <w:rPr>
                <w:rFonts w:ascii="Arial" w:cs="Arial" w:eastAsia="Arial" w:hAnsi="Arial"/>
                <w:color w:val="1A1A1A"/>
                <w:sz w:val="20"/>
                <w:szCs w:val="20"/>
              </w:rPr>
              <w:t xml:space="preserve">Protocols (Pillar 2)</w:t>
            </w:r>
          </w:p>
        </w:tc>
      </w:tr>
    </w:tbl>
    <w:p>
      <w:pPr>
        <w:spacing w:before="60" w:after="0"/>
      </w:pPr>
      <w:r>
        <w:t xml:space="preserve"/>
      </w:r>
    </w:p>
    <w:p>
      <w:pPr>
        <w:pStyle w:val="Heading2"/>
        <w:spacing w:before="280" w:after="80"/>
      </w:pPr>
      <w:r>
        <w:rPr>
          <w:rFonts w:ascii="Arial" w:cs="Arial" w:eastAsia="Arial" w:hAnsi="Arial"/>
          <w:b/>
          <w:bCs/>
          <w:color w:val="1E4F8C"/>
          <w:sz w:val="24"/>
          <w:szCs w:val="24"/>
        </w:rPr>
        <w:t xml:space="preserve">A.2 Production Export Targets</w:t>
      </w:r>
    </w:p>
    <w:p>
      <w:pPr>
        <w:spacing w:before="60" w:after="80"/>
        <w:jc w:val="both"/>
      </w:pPr>
      <w:r>
        <w:rPr>
          <w:rFonts w:ascii="Arial" w:cs="Arial" w:eastAsia="Arial" w:hAnsi="Arial"/>
          <w:color w:val="1A1A1A"/>
          <w:sz w:val="22"/>
          <w:szCs w:val="22"/>
        </w:rPr>
        <w:t xml:space="preserve">OSSA v0.4.5 supports the following export targets, each producing platform-ready deployment artifacts from a single manifest:</w:t>
      </w:r>
    </w:p>
    <w:p>
      <w:pPr>
        <w:pStyle w:val="ListParagraph"/>
        <w:numPr>
          <w:ilvl w:val="0"/>
          <w:numId w:val="2"/>
        </w:numPr>
        <w:spacing w:before="40" w:after="60"/>
      </w:pPr>
      <w:r>
        <w:rPr>
          <w:rFonts w:ascii="Arial" w:cs="Arial" w:eastAsia="Arial" w:hAnsi="Arial"/>
          <w:color w:val="1A1A1A"/>
          <w:sz w:val="22"/>
          <w:szCs w:val="22"/>
        </w:rPr>
        <w:t xml:space="preserve">Docker (14 files: Dockerfile, compose, entrypoint, nginx config, TypeScript runtime)</w:t>
      </w:r>
    </w:p>
    <w:p>
      <w:pPr>
        <w:pStyle w:val="ListParagraph"/>
        <w:numPr>
          <w:ilvl w:val="0"/>
          <w:numId w:val="2"/>
        </w:numPr>
        <w:spacing w:before="40" w:after="60"/>
      </w:pPr>
      <w:r>
        <w:rPr>
          <w:rFonts w:ascii="Arial" w:cs="Arial" w:eastAsia="Arial" w:hAnsi="Arial"/>
          <w:color w:val="1A1A1A"/>
          <w:sz w:val="22"/>
          <w:szCs w:val="22"/>
        </w:rPr>
        <w:t xml:space="preserve">Kubernetes (~25 files: Deployment, Service, ConfigMap, RBAC, HPA, NetworkPolicy)</w:t>
      </w:r>
    </w:p>
    <w:p>
      <w:pPr>
        <w:pStyle w:val="ListParagraph"/>
        <w:numPr>
          <w:ilvl w:val="0"/>
          <w:numId w:val="2"/>
        </w:numPr>
        <w:spacing w:before="40" w:after="60"/>
      </w:pPr>
      <w:r>
        <w:rPr>
          <w:rFonts w:ascii="Arial" w:cs="Arial" w:eastAsia="Arial" w:hAnsi="Arial"/>
          <w:color w:val="1A1A1A"/>
          <w:sz w:val="22"/>
          <w:szCs w:val="22"/>
        </w:rPr>
        <w:t xml:space="preserve">GitLab Agent (30+ files: GitLab CI/CD pipeline, agent config, MR automation)</w:t>
      </w:r>
    </w:p>
    <w:p>
      <w:pPr>
        <w:pStyle w:val="ListParagraph"/>
        <w:numPr>
          <w:ilvl w:val="0"/>
          <w:numId w:val="2"/>
        </w:numPr>
        <w:spacing w:before="40" w:after="60"/>
      </w:pPr>
      <w:r>
        <w:rPr>
          <w:rFonts w:ascii="Arial" w:cs="Arial" w:eastAsia="Arial" w:hAnsi="Arial"/>
          <w:color w:val="1A1A1A"/>
          <w:sz w:val="22"/>
          <w:szCs w:val="22"/>
        </w:rPr>
        <w:t xml:space="preserve">LangChain (6 files: Python agent, tool definitions, memory config)</w:t>
      </w:r>
    </w:p>
    <w:p>
      <w:pPr>
        <w:pStyle w:val="ListParagraph"/>
        <w:numPr>
          <w:ilvl w:val="0"/>
          <w:numId w:val="2"/>
        </w:numPr>
        <w:spacing w:before="40" w:after="60"/>
      </w:pPr>
      <w:r>
        <w:rPr>
          <w:rFonts w:ascii="Arial" w:cs="Arial" w:eastAsia="Arial" w:hAnsi="Arial"/>
          <w:color w:val="1A1A1A"/>
          <w:sz w:val="22"/>
          <w:szCs w:val="22"/>
        </w:rPr>
        <w:t xml:space="preserve">CrewAI (18 files: crew definition, agents, tasks, tools)</w:t>
      </w:r>
    </w:p>
    <w:p>
      <w:pPr>
        <w:pStyle w:val="ListParagraph"/>
        <w:numPr>
          <w:ilvl w:val="0"/>
          <w:numId w:val="2"/>
        </w:numPr>
        <w:spacing w:before="40" w:after="60"/>
      </w:pPr>
      <w:r>
        <w:rPr>
          <w:rFonts w:ascii="Arial" w:cs="Arial" w:eastAsia="Arial" w:hAnsi="Arial"/>
          <w:color w:val="1A1A1A"/>
          <w:sz w:val="22"/>
          <w:szCs w:val="22"/>
        </w:rPr>
        <w:t xml:space="preserve">kAgent CRD (10 files: Kubernetes Custom Resource Definition)</w:t>
      </w:r>
    </w:p>
    <w:p>
      <w:pPr>
        <w:pStyle w:val="ListParagraph"/>
        <w:numPr>
          <w:ilvl w:val="0"/>
          <w:numId w:val="2"/>
        </w:numPr>
        <w:spacing w:before="40" w:after="60"/>
      </w:pPr>
      <w:r>
        <w:rPr>
          <w:rFonts w:ascii="Arial" w:cs="Arial" w:eastAsia="Arial" w:hAnsi="Arial"/>
          <w:color w:val="1A1A1A"/>
          <w:sz w:val="22"/>
          <w:szCs w:val="22"/>
        </w:rPr>
        <w:t xml:space="preserve">npm (6 files: Node.js package with agent runtime)</w:t>
      </w:r>
    </w:p>
    <w:p>
      <w:pPr>
        <w:pStyle w:val="ListParagraph"/>
        <w:numPr>
          <w:ilvl w:val="0"/>
          <w:numId w:val="2"/>
        </w:numPr>
        <w:spacing w:before="40" w:after="60"/>
      </w:pPr>
      <w:r>
        <w:rPr>
          <w:rFonts w:ascii="Arial" w:cs="Arial" w:eastAsia="Arial" w:hAnsi="Arial"/>
          <w:color w:val="1A1A1A"/>
          <w:sz w:val="22"/>
          <w:szCs w:val="22"/>
        </w:rPr>
        <w:t xml:space="preserve">Drupal (3-4 files: Drupal module scaffold with MCP client integration)</w:t>
      </w:r>
    </w:p>
    <w:p>
      <w:pPr>
        <w:pStyle w:val="ListParagraph"/>
        <w:numPr>
          <w:ilvl w:val="0"/>
          <w:numId w:val="2"/>
        </w:numPr>
        <w:spacing w:before="40" w:after="60"/>
      </w:pPr>
      <w:r>
        <w:rPr>
          <w:rFonts w:ascii="Arial" w:cs="Arial" w:eastAsia="Arial" w:hAnsi="Arial"/>
          <w:color w:val="1A1A1A"/>
          <w:sz w:val="22"/>
          <w:szCs w:val="22"/>
        </w:rPr>
        <w:t xml:space="preserve">Agent Skills (3 files: composable skill definitions)</w:t>
      </w:r>
    </w:p>
    <w:p>
      <w:pPr>
        <w:spacing w:before="60" w:after="0"/>
      </w:pPr>
      <w:r>
        <w:t xml:space="preserve"/>
      </w:r>
    </w:p>
    <w:p>
      <w:pPr>
        <w:pStyle w:val="Heading2"/>
        <w:spacing w:before="280" w:after="80"/>
      </w:pPr>
      <w:r>
        <w:rPr>
          <w:rFonts w:ascii="Arial" w:cs="Arial" w:eastAsia="Arial" w:hAnsi="Arial"/>
          <w:b/>
          <w:bCs/>
          <w:color w:val="1E4F8C"/>
          <w:sz w:val="24"/>
          <w:szCs w:val="24"/>
        </w:rPr>
        <w:t xml:space="preserve">A.3 Key Resources</w:t>
      </w:r>
    </w:p>
    <w:p>
      <w:pPr>
        <w:pStyle w:val="ListParagraph"/>
        <w:numPr>
          <w:ilvl w:val="0"/>
          <w:numId w:val="2"/>
        </w:numPr>
        <w:spacing w:before="40" w:after="60"/>
      </w:pPr>
      <w:r>
        <w:rPr>
          <w:rFonts w:ascii="Arial" w:cs="Arial" w:eastAsia="Arial" w:hAnsi="Arial"/>
          <w:color w:val="1A1A1A"/>
          <w:sz w:val="22"/>
          <w:szCs w:val="22"/>
        </w:rPr>
        <w:t xml:space="preserve">Specification: https://openstandardagents.org/specification/</w:t>
      </w:r>
    </w:p>
    <w:p>
      <w:pPr>
        <w:pStyle w:val="ListParagraph"/>
        <w:numPr>
          <w:ilvl w:val="0"/>
          <w:numId w:val="2"/>
        </w:numPr>
        <w:spacing w:before="40" w:after="60"/>
      </w:pPr>
      <w:r>
        <w:rPr>
          <w:rFonts w:ascii="Arial" w:cs="Arial" w:eastAsia="Arial" w:hAnsi="Arial"/>
          <w:color w:val="1A1A1A"/>
          <w:sz w:val="22"/>
          <w:szCs w:val="22"/>
        </w:rPr>
        <w:t xml:space="preserve">Documentation: https://openstandardagents.org/docs/</w:t>
      </w:r>
    </w:p>
    <w:p>
      <w:pPr>
        <w:pStyle w:val="ListParagraph"/>
        <w:numPr>
          <w:ilvl w:val="0"/>
          <w:numId w:val="2"/>
        </w:numPr>
        <w:spacing w:before="40" w:after="60"/>
      </w:pPr>
      <w:r>
        <w:rPr>
          <w:rFonts w:ascii="Arial" w:cs="Arial" w:eastAsia="Arial" w:hAnsi="Arial"/>
          <w:color w:val="1A1A1A"/>
          <w:sz w:val="22"/>
          <w:szCs w:val="22"/>
        </w:rPr>
        <w:t xml:space="preserve">GitLab Repository: https://gitlab.com/blueflyio/ossa/openstandardagents.org</w:t>
      </w:r>
    </w:p>
    <w:p>
      <w:pPr>
        <w:pStyle w:val="ListParagraph"/>
        <w:numPr>
          <w:ilvl w:val="0"/>
          <w:numId w:val="2"/>
        </w:numPr>
        <w:spacing w:before="40" w:after="60"/>
      </w:pPr>
      <w:r>
        <w:rPr>
          <w:rFonts w:ascii="Arial" w:cs="Arial" w:eastAsia="Arial" w:hAnsi="Arial"/>
          <w:color w:val="1A1A1A"/>
          <w:sz w:val="22"/>
          <w:szCs w:val="22"/>
        </w:rPr>
        <w:t xml:space="preserve">npm Package: @bluefly/openstandardagents (Apache 2.0)</w:t>
      </w:r>
    </w:p>
    <w:p>
      <w:pPr>
        <w:pStyle w:val="ListParagraph"/>
        <w:numPr>
          <w:ilvl w:val="0"/>
          <w:numId w:val="2"/>
        </w:numPr>
        <w:spacing w:before="40" w:after="60"/>
      </w:pPr>
      <w:r>
        <w:rPr>
          <w:rFonts w:ascii="Arial" w:cs="Arial" w:eastAsia="Arial" w:hAnsi="Arial"/>
          <w:color w:val="1A1A1A"/>
          <w:sz w:val="22"/>
          <w:szCs w:val="22"/>
        </w:rPr>
        <w:t xml:space="preserve">Discord Community: https://discord.gg/ZZqad3v4</w:t>
      </w:r>
    </w:p>
    <w:p>
      <w:pPr>
        <w:pStyle w:val="ListParagraph"/>
        <w:numPr>
          <w:ilvl w:val="0"/>
          <w:numId w:val="2"/>
        </w:numPr>
        <w:spacing w:before="40" w:after="60"/>
      </w:pPr>
      <w:r>
        <w:rPr>
          <w:rFonts w:ascii="Arial" w:cs="Arial" w:eastAsia="Arial" w:hAnsi="Arial"/>
          <w:color w:val="1A1A1A"/>
          <w:sz w:val="22"/>
          <w:szCs w:val="22"/>
        </w:rPr>
        <w:t xml:space="preserve">Research Reference: Hou et al., MCP Security Threat Analysis, arXiv:2503.23278</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6" w:sz="4" w:space="2"/>
      </w:pBdr>
      <w:spacing w:before="80"/>
      <w:jc w:val="center"/>
    </w:pPr>
    <w:r>
      <w:rPr>
        <w:rFonts w:ascii="Arial" w:cs="Arial" w:eastAsia="Arial" w:hAnsi="Arial"/>
        <w:color w:val="888888"/>
        <w:sz w:val="16"/>
        <w:szCs w:val="16"/>
      </w:rPr>
      <w:t xml:space="preserve">Confidential — Submitted to NIST CAISI   |   March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2"/>
      </w:pBdr>
      <w:spacing w:after="80"/>
    </w:pPr>
    <w:r>
      <w:rPr>
        <w:rFonts w:ascii="Arial" w:cs="Arial" w:eastAsia="Arial" w:hAnsi="Arial"/>
        <w:color w:val="2E6DA4"/>
        <w:sz w:val="18"/>
        <w:szCs w:val="18"/>
      </w:rPr>
      <w:t xml:space="preserve">Bluefly.io / Open Standard Agents Organization</w:t>
    </w:r>
    <w:r>
      <w:rPr>
        <w:rFonts w:ascii="Arial" w:cs="Arial" w:eastAsia="Arial" w:hAnsi="Arial"/>
        <w:color w:val="888888"/>
        <w:sz w:val="18"/>
        <w:szCs w:val="18"/>
      </w:rPr>
      <w:t xml:space="preserve">   |   NIST CAISI RFI Response: AI Agent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F5C"/>
      <w:sz w:val="28"/>
      <w:szCs w:val="28"/>
    </w:rPr>
  </w:style>
  <w:style w:type="paragraph" w:styleId="Heading2">
    <w:name w:val="Heading 2"/>
    <w:basedOn w:val="Normal"/>
    <w:next w:val="Normal"/>
    <w:qFormat/>
    <w:pPr>
      <w:spacing w:before="280" w:after="80"/>
      <w:outlineLvl w:val="1"/>
    </w:pPr>
    <w:rPr>
      <w:rFonts w:ascii="Arial" w:cs="Arial" w:eastAsia="Arial" w:hAnsi="Arial"/>
      <w:b/>
      <w:bCs/>
      <w:color w:val="1E4F8C"/>
      <w:sz w:val="24"/>
      <w:szCs w:val="24"/>
    </w:rPr>
  </w:style>
  <w:style w:type="paragraph" w:styleId="Heading3">
    <w:name w:val="Heading 3"/>
    <w:basedOn w:val="Normal"/>
    <w:next w:val="Normal"/>
    <w:qFormat/>
    <w:pPr>
      <w:spacing w:before="200" w:after="60"/>
      <w:outlineLvl w:val="2"/>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2026-03-04T23:40:53.167Z</dcterms:created>
  <dcterms:modified xsi:type="dcterms:W3CDTF">2026-03-04T23:40:53.168Z</dcterms:modified>
</cp:coreProperties>
</file>

<file path=docProps/custom.xml><?xml version="1.0" encoding="utf-8"?>
<Properties xmlns="http://schemas.openxmlformats.org/officeDocument/2006/custom-properties" xmlns:vt="http://schemas.openxmlformats.org/officeDocument/2006/docPropsVTypes"/>
</file>