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ALEXANDRIA HOSEIN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Address: #138 Gilkes Street, Deigo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Number: 1(868)481-9977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 Address: </w:t>
      </w:r>
      <w:hyperlink r:id="rId5">
        <w:r w:rsidDel="00000000" w:rsidR="00000000" w:rsidRPr="00000000">
          <w:rPr>
            <w:color w:val="d83e2c"/>
            <w:u w:val="single"/>
            <w:rtl w:val="0"/>
          </w:rPr>
          <w:t xml:space="preserve">2015011057@tthti.edu.tt@gmail.com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19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of Citizenship: Trinidad &amp; Tobago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Status: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hard working, punctual and safety conscious baker, I show tremendous passion and enthusiasm for baking.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Hands on experience in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fast willing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Immense knowledge on kitchen safety, sanitation practices and personal hygiene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Computer literate, good with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TML PRIMARY SCHOOL, SAN FERNANDO (2003-2010)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PREYSAL SECONDARY SCHOOL, PREYSAL (2010-2015)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PASSES ATTAINED:-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– IV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ENGLISH- II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STUDIES- III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PRINCIPALS OF BUSINESS- II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DATA PROCESSING MANAGEMENT- II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&amp; NUTRITION- II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MANAGEMENT- II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&amp; SOCIAL BIOLOGY- IV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TERTIARY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TRINIDAD AND TOBAGO HOSPITALITY&amp; TOURISM INSTITUTE,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HILLTOP LANE CHAGUARAMAS (2015-2016)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 IN BAKING AND PASTRY ARTS (1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 STUDENTS AT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TTHTI – Bakery Assistant (Internship Period) - June 2016-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