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mallCaps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u w:val="single"/>
          <w:rtl w:val="0"/>
        </w:rPr>
        <w:t xml:space="preserve">RÉSUMÉ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mallCaps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u w:val="single"/>
          <w:rtl w:val="0"/>
        </w:rPr>
        <w:t xml:space="preserve">Adrian Kevin Mahadeo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mallCaps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u w:val="single"/>
          <w:rtl w:val="0"/>
        </w:rPr>
        <w:t xml:space="preserve">#60 Maharaj Avenue, Marabella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mallCaps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u w:val="single"/>
          <w:rtl w:val="0"/>
        </w:rPr>
        <w:t xml:space="preserve">Ph. 368-5856/682 8023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Objective: To obtain vacation employment with an organization that values hard work, personal initiative and excellence in human resource.</w:t>
      </w:r>
    </w:p>
    <w:p w:rsidR="00000000" w:rsidDel="00000000" w:rsidP="00000000" w:rsidRDefault="00000000" w:rsidRPr="00000000">
      <w:pPr>
        <w:pBdr/>
        <w:ind w:left="1080" w:hanging="10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 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Grand Memorial Presbyterian School, San Fernando</w:t>
        <w:tab/>
        <w:tab/>
        <w:tab/>
        <w:t xml:space="preserve">September 2005 to June 2012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Presentation College, San Fernando</w:t>
        <w:tab/>
        <w:tab/>
        <w:tab/>
        <w:tab/>
        <w:tab/>
        <w:t xml:space="preserve">September 2012 to Present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CSEC Subjects: Awaiting Results for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English Language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English Literature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Mathematics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Additional Mathematics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Physics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Chemistry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Biology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Social Studies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CSEC Subjects: Obtained in January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English Language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Mathematics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Physics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NCSC Subjects: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English Language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Mathematics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Physical Education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Spanish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Social Studies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Visual and Performing Arts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Other Information: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literate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Could solve the Rubik’s cube in less than 30 seconds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Avid pannist and drummer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References: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Mr. Cedel Hinds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Profession: Teacher 11I at Presentation College, San Fernando.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Contact Number: 355-5913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Mr. Ronnie Baynee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Profession: Agricultural Officer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Contact Number: 784-3082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