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Roshaunda A. Mc Farlene</w:t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Work Experience 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2015 – 2017 </w:t>
      </w:r>
      <w:r w:rsidDel="00000000" w:rsidR="00000000" w:rsidRPr="00000000">
        <w:rPr>
          <w:i w:val="1"/>
          <w:rtl w:val="0"/>
        </w:rPr>
        <w:t xml:space="preserve">Persad’s D Food King - PDFK Group of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 New Grant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  <w:tab/>
        <w:t xml:space="preserve"> Cashier 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2014               </w:t>
      </w:r>
      <w:r w:rsidDel="00000000" w:rsidR="00000000" w:rsidRPr="00000000">
        <w:rPr>
          <w:i w:val="1"/>
          <w:color w:val="000000"/>
          <w:rtl w:val="0"/>
        </w:rPr>
        <w:t xml:space="preserve">Viaaa Gourmet Bakery and Restaurant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                             Princes Town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                             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2015 – 2016 </w:t>
      </w:r>
      <w:r w:rsidDel="00000000" w:rsidR="00000000" w:rsidRPr="00000000">
        <w:rPr>
          <w:i w:val="1"/>
          <w:rtl w:val="0"/>
        </w:rPr>
        <w:t xml:space="preserve">Princes Town West Secondary School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    </w:t>
        <w:tab/>
        <w:tab/>
        <w:t xml:space="preserve">Matilda, Princes Town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C.A.P.E. ‘A’ Levels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Studies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 Science 2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2009 – 2014 </w:t>
      </w:r>
      <w:r w:rsidDel="00000000" w:rsidR="00000000" w:rsidRPr="00000000">
        <w:rPr>
          <w:i w:val="1"/>
          <w:rtl w:val="0"/>
        </w:rPr>
        <w:t xml:space="preserve">Cowen Hamilton Secondary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St. Mary’s Village, Moruga 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C.X.C. ‘O’ Levels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 Science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Language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Literature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Science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Education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Studies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2017 </w:t>
        <w:tab/>
        <w:t xml:space="preserve">Civilian Conservation Corps – South Central Region 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St. Croix Community Central Region, St. Croix Road 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Princes Town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Trinizuela Vocational College 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Secretarial Course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Bookkeeping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– Level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Communication – Level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Procedures – Level 1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Typewriting – Level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– Level 1 </w:t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Reference </w:t>
        <w:tab/>
        <w:tab/>
      </w:r>
      <w:r w:rsidDel="00000000" w:rsidR="00000000" w:rsidRPr="00000000">
        <w:rPr>
          <w:color w:val="000000"/>
          <w:rtl w:val="0"/>
        </w:rPr>
        <w:t xml:space="preserve">Will be furnished upon request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60 Monkey Town Road 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New Grant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Princes Town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Tel: 868-284-2249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Email: mcfarleneroshaunda@gmail.com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