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b/>
          <w:color w:val="1F4E79"/>
          <w:sz w:val="36"/>
        </w:rPr>
        <w:t>SatAlign V3 - Schnelleinstieg</w:t>
      </w:r>
    </w:p>
    <w:p>
      <w:pPr>
        <w:spacing w:after="160"/>
        <w:jc w:val="center"/>
      </w:pPr>
      <w:r>
        <w:rPr>
          <w:color w:val="44546A"/>
          <w:sz w:val="21"/>
        </w:rPr>
        <w:t>Automatische Satelliten-Ausrichthilfe - Kurzbedienung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704"/>
      </w:tblGrid>
      <w:tr>
        <w:tc>
          <w:tcPr>
            <w:tcW w:type="dxa" w:w="15704"/>
            <w:shd w:fill="FCE4D6"/>
            <w:tcBorders>
              <w:top w:val="single" w:sz="12" w:space="0" w:color="C00000"/>
              <w:left w:val="single" w:sz="12" w:space="0" w:color="C00000"/>
              <w:bottom w:val="single" w:sz="12" w:space="0" w:color="C00000"/>
              <w:right w:val="single" w:sz="12" w:space="0" w:color="C00000"/>
            </w:tcBorders>
          </w:tcPr>
          <w:p>
            <w:pPr>
              <w:jc w:val="center"/>
            </w:pPr>
            <w:r/>
            <w:r>
              <w:rPr>
                <w:b/>
                <w:color w:val="9C0006"/>
                <w:sz w:val="22"/>
              </w:rPr>
              <w:t>Wichtig vor dem Start: Sat-Receiver einschalten und Antenne grob nach Süden ausrichten.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28"/>
        <w:gridCol w:w="680"/>
        <w:gridCol w:w="7228"/>
      </w:tblGrid>
      <w:tr>
        <w:tc>
          <w:tcPr>
            <w:tcW w:type="dxa" w:w="7228"/>
            <w:vAlign w:val="top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r/>
          </w:p>
          <w:tbl>
            <w:tblPr>
              <w:tblW w:type="auto" w:w="0"/>
              <w:jc w:val="center"/>
              <w:tblLayout w:type="autofit"/>
              <w:tblLook w:firstColumn="1" w:firstRow="1" w:lastColumn="0" w:lastRow="0" w:noHBand="0" w:noVBand="1" w:val="04A0"/>
            </w:tblPr>
            <w:tblGrid>
              <w:gridCol w:w="7228"/>
            </w:tblGrid>
            <w:tr>
              <w:tc>
                <w:tcPr>
                  <w:tcW w:type="dxa" w:w="7228"/>
                  <w:shd w:fill="DDEBF7"/>
                  <w:tcBorders>
                    <w:top w:val="single" w:sz="10" w:space="0" w:color="B7C9E2"/>
                    <w:left w:val="single" w:sz="10" w:space="0" w:color="B7C9E2"/>
                    <w:bottom w:val="single" w:sz="10" w:space="0" w:color="B7C9E2"/>
                    <w:right w:val="single" w:sz="10" w:space="0" w:color="B7C9E2"/>
                  </w:tcBorders>
                  <w:vAlign w:val="top"/>
                </w:tcPr>
                <w:p>
                  <w:pPr>
                    <w:spacing w:after="40"/>
                  </w:pPr>
                  <w:r/>
                  <w:r>
                    <w:rPr>
                      <w:b/>
                      <w:color w:val="1F4E79"/>
                      <w:sz w:val="21"/>
                    </w:rPr>
                    <w:t>1. Einschalten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Anlage einschalten und warten, bis das hellblaue Startfenster erscheint.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Im Startfenster kann der Winkel ca. 10 Sekunden korrigiert werden.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PLUS = Winkel höher, MINUS = Winkel niedriger, MODE = sofort weiter.</w:t>
                  </w:r>
                </w:p>
              </w:tc>
            </w:tr>
          </w:tbl>
          <w:p/>
          <w:tbl>
            <w:tblPr>
              <w:tblW w:type="auto" w:w="0"/>
              <w:jc w:val="center"/>
              <w:tblLayout w:type="autofit"/>
              <w:tblLook w:firstColumn="1" w:firstRow="1" w:lastColumn="0" w:lastRow="0" w:noHBand="0" w:noVBand="1" w:val="04A0"/>
            </w:tblPr>
            <w:tblGrid>
              <w:gridCol w:w="7228"/>
            </w:tblGrid>
            <w:tr>
              <w:tc>
                <w:tcPr>
                  <w:tcW w:type="dxa" w:w="7228"/>
                  <w:shd w:fill="F2F6FC"/>
                  <w:tcBorders>
                    <w:top w:val="single" w:sz="10" w:space="0" w:color="B7C9E2"/>
                    <w:left w:val="single" w:sz="10" w:space="0" w:color="B7C9E2"/>
                    <w:bottom w:val="single" w:sz="10" w:space="0" w:color="B7C9E2"/>
                    <w:right w:val="single" w:sz="10" w:space="0" w:color="B7C9E2"/>
                  </w:tcBorders>
                  <w:vAlign w:val="top"/>
                </w:tcPr>
                <w:p>
                  <w:pPr>
                    <w:spacing w:after="40"/>
                  </w:pPr>
                  <w:r/>
                  <w:r>
                    <w:rPr>
                      <w:b/>
                      <w:color w:val="1F4E79"/>
                      <w:sz w:val="21"/>
                    </w:rPr>
                    <w:t>2. Grobe Vorbereitung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Antenne mechanisch grob nach Süden stellen.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Receiver muss eingeschaltet sein, sonst ist kein verwertbares Signal messbar.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Wenn ein Endsensor aktiv ist: im Menü Manuell vorsichtig vom Endbereich wegfahren.</w:t>
                  </w:r>
                </w:p>
              </w:tc>
            </w:tr>
          </w:tbl>
          <w:p/>
          <w:tbl>
            <w:tblPr>
              <w:tblW w:type="auto" w:w="0"/>
              <w:jc w:val="center"/>
              <w:tblLayout w:type="autofit"/>
              <w:tblLook w:firstColumn="1" w:firstRow="1" w:lastColumn="0" w:lastRow="0" w:noHBand="0" w:noVBand="1" w:val="04A0"/>
            </w:tblPr>
            <w:tblGrid>
              <w:gridCol w:w="7228"/>
            </w:tblGrid>
            <w:tr>
              <w:tc>
                <w:tcPr>
                  <w:tcW w:type="dxa" w:w="7228"/>
                  <w:shd w:fill="EAF2F8"/>
                  <w:tcBorders>
                    <w:top w:val="single" w:sz="10" w:space="0" w:color="B7C9E2"/>
                    <w:left w:val="single" w:sz="10" w:space="0" w:color="B7C9E2"/>
                    <w:bottom w:val="single" w:sz="10" w:space="0" w:color="B7C9E2"/>
                    <w:right w:val="single" w:sz="10" w:space="0" w:color="B7C9E2"/>
                  </w:tcBorders>
                  <w:vAlign w:val="top"/>
                </w:tcPr>
                <w:p>
                  <w:pPr>
                    <w:spacing w:after="40"/>
                  </w:pPr>
                  <w:r/>
                  <w:r>
                    <w:rPr>
                      <w:b/>
                      <w:color w:val="1F4E79"/>
                      <w:sz w:val="21"/>
                    </w:rPr>
                    <w:t>3. Mitte / Ausrichten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Menü Ausrichten öffnen.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Ausrichten starten drücken.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Die Anlage sucht die Mitte und zeigt Phase, Info, RF und Winkel an.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ABBRUCH stoppt die Bewegung.</w:t>
                  </w:r>
                </w:p>
              </w:tc>
            </w:tr>
          </w:tbl>
          <w:p/>
          <w:tbl>
            <w:tblPr>
              <w:tblW w:type="auto" w:w="0"/>
              <w:jc w:val="center"/>
              <w:tblLayout w:type="autofit"/>
              <w:tblLook w:firstColumn="1" w:firstRow="1" w:lastColumn="0" w:lastRow="0" w:noHBand="0" w:noVBand="1" w:val="04A0"/>
            </w:tblPr>
            <w:tblGrid>
              <w:gridCol w:w="7228"/>
            </w:tblGrid>
            <w:tr>
              <w:tc>
                <w:tcPr>
                  <w:tcW w:type="dxa" w:w="7228"/>
                  <w:shd w:fill="EAF2F8"/>
                  <w:tcBorders>
                    <w:top w:val="single" w:sz="10" w:space="0" w:color="B7C9E2"/>
                    <w:left w:val="single" w:sz="10" w:space="0" w:color="B7C9E2"/>
                    <w:bottom w:val="single" w:sz="10" w:space="0" w:color="B7C9E2"/>
                    <w:right w:val="single" w:sz="10" w:space="0" w:color="B7C9E2"/>
                  </w:tcBorders>
                  <w:vAlign w:val="top"/>
                </w:tcPr>
                <w:p>
                  <w:pPr>
                    <w:spacing w:after="40"/>
                  </w:pPr>
                  <w:r/>
                  <w:r>
                    <w:rPr>
                      <w:b/>
                      <w:color w:val="1F4E79"/>
                      <w:sz w:val="21"/>
                    </w:rPr>
                    <w:t>4. Suchen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Menü Suchen öffnen und Suche starten.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Ablauf: Mitte suchen -&gt; Osten -&gt; Westen -&gt; zurück zur Mitte.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Danach Winkel leicht ändern und die Suche bei Bedarf wiederholen.</w:t>
                  </w:r>
                </w:p>
              </w:tc>
            </w:tr>
          </w:tbl>
          <w:p/>
        </w:tc>
        <w:tc>
          <w:tcPr>
            <w:tcW w:type="dxa" w:w="680"/>
            <w:vAlign w:val="top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fill="FFFFFF"/>
          </w:tcPr>
          <w:p>
            <w:r/>
          </w:p>
        </w:tc>
        <w:tc>
          <w:tcPr>
            <w:tcW w:type="dxa" w:w="7228"/>
            <w:vAlign w:val="top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r/>
          </w:p>
          <w:tbl>
            <w:tblPr>
              <w:tblW w:type="auto" w:w="0"/>
              <w:jc w:val="center"/>
              <w:tblLayout w:type="autofit"/>
              <w:tblLook w:firstColumn="1" w:firstRow="1" w:lastColumn="0" w:lastRow="0" w:noHBand="0" w:noVBand="1" w:val="04A0"/>
            </w:tblPr>
            <w:tblGrid>
              <w:gridCol w:w="7228"/>
            </w:tblGrid>
            <w:tr>
              <w:tc>
                <w:tcPr>
                  <w:tcW w:type="dxa" w:w="7228"/>
                  <w:shd w:fill="FFF2CC"/>
                  <w:tcBorders>
                    <w:top w:val="single" w:sz="10" w:space="0" w:color="B7C9E2"/>
                    <w:left w:val="single" w:sz="10" w:space="0" w:color="B7C9E2"/>
                    <w:bottom w:val="single" w:sz="10" w:space="0" w:color="B7C9E2"/>
                    <w:right w:val="single" w:sz="10" w:space="0" w:color="B7C9E2"/>
                  </w:tcBorders>
                  <w:vAlign w:val="top"/>
                </w:tcPr>
                <w:p>
                  <w:pPr>
                    <w:spacing w:after="40"/>
                  </w:pPr>
                  <w:r/>
                  <w:r>
                    <w:rPr>
                      <w:b/>
                      <w:color w:val="7F6000"/>
                      <w:sz w:val="21"/>
                    </w:rPr>
                    <w:t>5. Satellit gefunden?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PLUS = richtiger Satellit / Signal optimieren starten.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MINUS = falscher Satellit / weiter suchen.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Kleinerer RF-Wert bedeutet stärkeres Signal.</w:t>
                  </w:r>
                </w:p>
              </w:tc>
            </w:tr>
          </w:tbl>
          <w:p/>
          <w:tbl>
            <w:tblPr>
              <w:tblW w:type="auto" w:w="0"/>
              <w:jc w:val="center"/>
              <w:tblLayout w:type="autofit"/>
              <w:tblLook w:firstColumn="1" w:firstRow="1" w:lastColumn="0" w:lastRow="0" w:noHBand="0" w:noVBand="1" w:val="04A0"/>
            </w:tblPr>
            <w:tblGrid>
              <w:gridCol w:w="7228"/>
            </w:tblGrid>
            <w:tr>
              <w:tc>
                <w:tcPr>
                  <w:tcW w:type="dxa" w:w="7228"/>
                  <w:shd w:fill="E2F0D9"/>
                  <w:tcBorders>
                    <w:top w:val="single" w:sz="10" w:space="0" w:color="B7C9E2"/>
                    <w:left w:val="single" w:sz="10" w:space="0" w:color="B7C9E2"/>
                    <w:bottom w:val="single" w:sz="10" w:space="0" w:color="B7C9E2"/>
                    <w:right w:val="single" w:sz="10" w:space="0" w:color="B7C9E2"/>
                  </w:tcBorders>
                  <w:vAlign w:val="top"/>
                </w:tcPr>
                <w:p>
                  <w:pPr>
                    <w:spacing w:after="40"/>
                  </w:pPr>
                  <w:r/>
                  <w:r>
                    <w:rPr>
                      <w:b/>
                      <w:color w:val="375623"/>
                      <w:sz w:val="21"/>
                    </w:rPr>
                    <w:t>6. Signal optimieren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Nach PLUS prüft die Anlage automatisch Azimut und Winkel in kleinen Schritten.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Die Web-UI zeigt Phase, aktuellen RF-Wert, besten RF-Wert und Winkel.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Ost-/West-Endsensoren begrenzen die Azimut-Optimierung.</w:t>
                  </w:r>
                </w:p>
              </w:tc>
            </w:tr>
          </w:tbl>
          <w:p/>
          <w:tbl>
            <w:tblPr>
              <w:tblW w:type="auto" w:w="0"/>
              <w:jc w:val="center"/>
              <w:tblLayout w:type="autofit"/>
              <w:tblLook w:firstColumn="1" w:firstRow="1" w:lastColumn="0" w:lastRow="0" w:noHBand="0" w:noVBand="1" w:val="04A0"/>
            </w:tblPr>
            <w:tblGrid>
              <w:gridCol w:w="7228"/>
            </w:tblGrid>
            <w:tr>
              <w:tc>
                <w:tcPr>
                  <w:tcW w:type="dxa" w:w="7228"/>
                  <w:shd w:fill="F2F6FC"/>
                  <w:tcBorders>
                    <w:top w:val="single" w:sz="10" w:space="0" w:color="B7C9E2"/>
                    <w:left w:val="single" w:sz="10" w:space="0" w:color="B7C9E2"/>
                    <w:bottom w:val="single" w:sz="10" w:space="0" w:color="B7C9E2"/>
                    <w:right w:val="single" w:sz="10" w:space="0" w:color="B7C9E2"/>
                  </w:tcBorders>
                  <w:vAlign w:val="top"/>
                </w:tcPr>
                <w:p>
                  <w:pPr>
                    <w:spacing w:after="40"/>
                  </w:pPr>
                  <w:r/>
                  <w:r>
                    <w:rPr>
                      <w:b/>
                      <w:color w:val="1F4E79"/>
                      <w:sz w:val="21"/>
                    </w:rPr>
                    <w:t>7. Manuell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Manuell Azimut: Ost / West fahren und mit STOP anhalten.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Manuell Winkel: Winkel + / Winkel - fahren und mit STOP anhalten.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Hall-Sensoren: Center grün, Ost/West rot.</w:t>
                  </w:r>
                </w:p>
              </w:tc>
            </w:tr>
          </w:tbl>
          <w:p/>
          <w:tbl>
            <w:tblPr>
              <w:tblW w:type="auto" w:w="0"/>
              <w:jc w:val="center"/>
              <w:tblLayout w:type="autofit"/>
              <w:tblLook w:firstColumn="1" w:firstRow="1" w:lastColumn="0" w:lastRow="0" w:noHBand="0" w:noVBand="1" w:val="04A0"/>
            </w:tblPr>
            <w:tblGrid>
              <w:gridCol w:w="7228"/>
            </w:tblGrid>
            <w:tr>
              <w:tc>
                <w:tcPr>
                  <w:tcW w:type="dxa" w:w="7228"/>
                  <w:shd w:fill="FCE4D6"/>
                  <w:tcBorders>
                    <w:top w:val="single" w:sz="10" w:space="0" w:color="B7C9E2"/>
                    <w:left w:val="single" w:sz="10" w:space="0" w:color="B7C9E2"/>
                    <w:bottom w:val="single" w:sz="10" w:space="0" w:color="B7C9E2"/>
                    <w:right w:val="single" w:sz="10" w:space="0" w:color="B7C9E2"/>
                  </w:tcBorders>
                  <w:vAlign w:val="top"/>
                </w:tcPr>
                <w:p>
                  <w:pPr>
                    <w:spacing w:after="40"/>
                  </w:pPr>
                  <w:r/>
                  <w:r>
                    <w:rPr>
                      <w:b/>
                      <w:color w:val="9C0006"/>
                      <w:sz w:val="21"/>
                    </w:rPr>
                    <w:t>8. Signal-Ampel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Rot = Signal schwach.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Gelb/Orange = brauchbar.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Grün = gut bis sehr gut.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Auch bei schwachem RF kann PLUS genutzt werden, wenn am TV ein Bild sichtbar ist.</w:t>
                  </w:r>
                </w:p>
              </w:tc>
            </w:tr>
          </w:tbl>
          <w:p/>
        </w:tc>
      </w:tr>
    </w:tbl>
    <w:p>
      <w:pPr>
        <w:spacing w:before="80"/>
        <w:jc w:val="center"/>
      </w:pPr>
      <w:r>
        <w:rPr>
          <w:b/>
          <w:color w:val="1F4E79"/>
          <w:sz w:val="20"/>
        </w:rPr>
        <w:t>Kurzregel: Receiver an, grob nach Süden, Ausrichten, Suchen, bei TV-Bild PLUS drücken und Signal optimieren lassen.</w:t>
      </w:r>
    </w:p>
    <w:sectPr w:rsidR="00FC693F" w:rsidRPr="0006063C" w:rsidSect="00034616">
      <w:footerReference w:type="default" r:id="rId9"/>
      <w:pgSz w:w="16838" w:h="11906" w:orient="landscape"/>
      <w:pgMar w:top="567" w:right="567" w:bottom="454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F7F7F"/>
        <w:sz w:val="16"/>
      </w:rPr>
      <w:t>SatAlign V3 - Schnelleinstieg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