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color w:val="1F4E79"/>
          <w:sz w:val="36"/>
        </w:rPr>
        <w:t>SatAlign V3 - Schnelleinstieg</w:t>
      </w:r>
    </w:p>
    <w:p>
      <w:pPr/>
      <w:r>
        <w:t>Softwarestand: V3.1.4</w:t>
      </w:r>
    </w:p>
    <w:p>
      <w:r>
        <w:t>V3.1.1: Firmware-Update wahlweise per ArduinoOTA aus der IDE oder per ElegantOTA im Browser unter /update.</w:t>
      </w:r>
    </w:p>
    <w:p>
      <w:pPr>
        <w:spacing w:after="160"/>
        <w:jc w:val="center"/>
      </w:pPr>
      <w:r>
        <w:rPr>
          <w:color w:val="44546A"/>
          <w:sz w:val="21"/>
        </w:rPr>
        <w:t>Automatische Satelliten-Ausrichthilfe - Kurzbedienung</w:t>
      </w:r>
    </w:p>
    <w:p>
      <w:pPr/>
      <w:r>
        <w:t>Stand V3.1.4 - RF-Filter 0,50 - AUTO-Kandidat ab 80 % - kein Peak-Ruecklauf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704"/>
      </w:tblGrid>
      <w:tr>
        <w:tc>
          <w:tcPr>
            <w:tcW w:type="dxa" w:w="15704"/>
            <w:shd w:fill="FCE4D6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</w:tcPr>
          <w:p>
            <w:pPr>
              <w:jc w:val="center"/>
            </w:pPr>
            <w:r/>
            <w:r>
              <w:rPr>
                <w:b/>
                <w:color w:val="9C0006"/>
                <w:sz w:val="22"/>
              </w:rPr>
              <w:t>Wichtig vor dem Start: Sat-Receiver einschalten und Antenne grob nach Süden ausrichten.</w:t>
            </w:r>
          </w:p>
        </w:tc>
      </w:tr>
    </w:tbl>
    <w:p>
      <w:pPr>
        <w:spacing w:after="20"/>
      </w:pPr>
    </w:p>
    <w:p>
      <w:pPr/>
      <w:r>
        <w:t>V3.1.4: RF-Anzeige und AUTO-Suche verwenden weiterhin dieselbe Prozentbewertung. Die normale AUTO-Kandidatenschwelle bleibt bei 80 %, die gemeinsame RF-Anzeige bei maximal 95 %. Nach einem separaten Vergleichstest mit Filterfaktoren 0,75, 0,50 und 0,25 wurde RF_FILTER_ALPHA von 0,75 auf 0,50 reduziert. Dadurch werden kleine Signalveraenderungen beim Feinjustieren schneller sichtbar, ohne die staerkere Unruhe von 0,25 zu uebernehmen.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28"/>
        <w:gridCol w:w="680"/>
        <w:gridCol w:w="7228"/>
      </w:tblGrid>
      <w:tr>
        <w:tc>
          <w:tcPr>
            <w:tcW w:type="dxa" w:w="7228"/>
            <w:vAlign w:val="top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r/>
          </w:p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</w:tblPr>
            <w:tblGrid>
              <w:gridCol w:w="7228"/>
            </w:tblGrid>
            <w:tr>
              <w:tc>
                <w:tcPr>
                  <w:tcW w:type="dxa" w:w="7228"/>
                  <w:shd w:fill="DDEBF7"/>
                  <w:tcBorders>
                    <w:top w:val="single" w:sz="10" w:space="0" w:color="B7C9E2"/>
                    <w:left w:val="single" w:sz="10" w:space="0" w:color="B7C9E2"/>
                    <w:bottom w:val="single" w:sz="10" w:space="0" w:color="B7C9E2"/>
                    <w:right w:val="single" w:sz="10" w:space="0" w:color="B7C9E2"/>
                  </w:tcBorders>
                  <w:vAlign w:val="top"/>
                </w:tcPr>
                <w:p>
                  <w:pPr>
                    <w:spacing w:after="40"/>
                  </w:pPr>
                  <w:r/>
                  <w:r>
                    <w:rPr>
                      <w:b/>
                      <w:color w:val="1F4E79"/>
                      <w:sz w:val="21"/>
                    </w:rPr>
                    <w:t>1. Einschalten</w:t>
                  </w:r>
                </w:p>
                <w:p>
                  <w:pPr>
                    <w:spacing w:after="20"/>
                    <w:ind w:left="142" w:hanging="102"/>
                  </w:pPr>
                  <w:r>
                    <w:rPr>
                      <w:sz w:val="18"/>
                    </w:rPr>
                    <w:t>• Anlage einschalten und warten, bis das hellblaue Startfenster erscheint.</w:t>
                  </w:r>
                </w:p>
                <w:p>
                  <w:pPr>
                    <w:spacing w:after="20"/>
                    <w:ind w:left="142" w:hanging="102"/>
                  </w:pPr>
                  <w:r>
                    <w:rPr>
                      <w:sz w:val="18"/>
                    </w:rPr>
                    <w:t>• Im Startfenster kann der Winkel ca. 10 Sekunden korrigiert werden.</w:t>
                  </w:r>
                </w:p>
                <w:p>
                  <w:pPr>
                    <w:spacing w:after="20"/>
                    <w:ind w:left="142" w:hanging="102"/>
                  </w:pPr>
                  <w:r>
                    <w:rPr>
                      <w:sz w:val="18"/>
                    </w:rPr>
                    <w:t>• PLUS = Winkel höher, MINUS = Winkel niedriger, MODE = sofort weiter.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</w:tblPr>
            <w:tblGrid>
              <w:gridCol w:w="7228"/>
            </w:tblGrid>
            <w:tr>
              <w:tc>
                <w:tcPr>
                  <w:tcW w:type="dxa" w:w="7228"/>
                  <w:shd w:fill="F2F6FC"/>
                  <w:tcBorders>
                    <w:top w:val="single" w:sz="10" w:space="0" w:color="B7C9E2"/>
                    <w:left w:val="single" w:sz="10" w:space="0" w:color="B7C9E2"/>
                    <w:bottom w:val="single" w:sz="10" w:space="0" w:color="B7C9E2"/>
                    <w:right w:val="single" w:sz="10" w:space="0" w:color="B7C9E2"/>
                  </w:tcBorders>
                  <w:vAlign w:val="top"/>
                </w:tcPr>
                <w:p>
                  <w:pPr>
                    <w:spacing w:after="40"/>
                  </w:pPr>
                  <w:r/>
                  <w:r>
                    <w:rPr>
                      <w:b/>
                      <w:color w:val="1F4E79"/>
                      <w:sz w:val="21"/>
                    </w:rPr>
                    <w:t>2. Grobe Vorbereitung</w:t>
                  </w:r>
                </w:p>
                <w:p>
                  <w:pPr>
                    <w:spacing w:after="20"/>
                    <w:ind w:left="142" w:hanging="102"/>
                  </w:pPr>
                  <w:r>
                    <w:rPr>
                      <w:sz w:val="18"/>
                    </w:rPr>
                    <w:t>• Antenne mechanisch grob nach Süden stellen.</w:t>
                  </w:r>
                </w:p>
                <w:p>
                  <w:pPr>
                    <w:spacing w:after="20"/>
                    <w:ind w:left="142" w:hanging="102"/>
                  </w:pPr>
                  <w:r>
                    <w:rPr>
                      <w:sz w:val="18"/>
                    </w:rPr>
                    <w:t>• Receiver muss eingeschaltet sein, sonst ist kein verwertbares Signal messbar.</w:t>
                  </w:r>
                </w:p>
                <w:p>
                  <w:pPr>
                    <w:spacing w:after="20"/>
                    <w:ind w:left="142" w:hanging="102"/>
                  </w:pPr>
                  <w:r>
                    <w:rPr>
                      <w:sz w:val="18"/>
                    </w:rPr>
                    <w:t>• Wenn ein Endsensor aktiv ist: im Menü Manuell vorsichtig vom Endbereich wegfahren.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</w:tblPr>
            <w:tblGrid>
              <w:gridCol w:w="7228"/>
            </w:tblGrid>
            <w:tr>
              <w:tc>
                <w:tcPr>
                  <w:tcW w:type="dxa" w:w="7228"/>
                  <w:shd w:fill="EAF2F8"/>
                  <w:tcBorders>
                    <w:top w:val="single" w:sz="10" w:space="0" w:color="B7C9E2"/>
                    <w:left w:val="single" w:sz="10" w:space="0" w:color="B7C9E2"/>
                    <w:bottom w:val="single" w:sz="10" w:space="0" w:color="B7C9E2"/>
                    <w:right w:val="single" w:sz="10" w:space="0" w:color="B7C9E2"/>
                  </w:tcBorders>
                  <w:vAlign w:val="top"/>
                </w:tcPr>
                <w:p>
                  <w:pPr>
                    <w:spacing w:after="40"/>
                  </w:pPr>
                  <w:r/>
                  <w:r>
                    <w:rPr>
                      <w:b/>
                      <w:color w:val="1F4E79"/>
                      <w:sz w:val="21"/>
                    </w:rPr>
                    <w:t>3. Mitte / Ausrichten</w:t>
                  </w:r>
                </w:p>
                <w:p>
                  <w:pPr>
                    <w:spacing w:after="20"/>
                    <w:ind w:left="142" w:hanging="102"/>
                  </w:pPr>
                  <w:r>
                    <w:rPr>
                      <w:sz w:val="18"/>
                    </w:rPr>
                    <w:t>• Menü Ausrichten öffnen.</w:t>
                  </w:r>
                </w:p>
                <w:p>
                  <w:pPr>
                    <w:spacing w:after="20"/>
                    <w:ind w:left="142" w:hanging="102"/>
                  </w:pPr>
                  <w:r>
                    <w:rPr>
                      <w:sz w:val="18"/>
                    </w:rPr>
                    <w:t>• Ausrichten starten drücken.</w:t>
                  </w:r>
                </w:p>
                <w:p>
                  <w:pPr>
                    <w:spacing w:after="20"/>
                    <w:ind w:left="142" w:hanging="102"/>
                  </w:pPr>
                  <w:r>
                    <w:rPr>
                      <w:sz w:val="18"/>
                    </w:rPr>
                    <w:t>• Die Anlage sucht die Mitte und zeigt Phase, Info, RF und Winkel an.</w:t>
                  </w:r>
                </w:p>
                <w:p>
                  <w:pPr>
                    <w:spacing w:after="20"/>
                    <w:ind w:left="142" w:hanging="102"/>
                  </w:pPr>
                  <w:r>
                    <w:rPr>
                      <w:sz w:val="18"/>
                    </w:rPr>
                    <w:t>• ABBRUCH stoppt die Bewegung.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</w:tblPr>
            <w:tblGrid>
              <w:gridCol w:w="7228"/>
            </w:tblGrid>
            <w:tr>
              <w:tc>
                <w:tcPr>
                  <w:tcW w:type="dxa" w:w="7228"/>
                  <w:shd w:fill="EAF2F8"/>
                  <w:tcBorders>
                    <w:top w:val="single" w:sz="10" w:space="0" w:color="B7C9E2"/>
                    <w:left w:val="single" w:sz="10" w:space="0" w:color="B7C9E2"/>
                    <w:bottom w:val="single" w:sz="10" w:space="0" w:color="B7C9E2"/>
                    <w:right w:val="single" w:sz="10" w:space="0" w:color="B7C9E2"/>
                  </w:tcBorders>
                  <w:vAlign w:val="top"/>
                </w:tcPr>
                <w:p>
                  <w:pPr>
                    <w:spacing w:after="40"/>
                  </w:pPr>
                  <w:r/>
                  <w:r>
                    <w:rPr>
                      <w:b/>
                      <w:color w:val="1F4E79"/>
                      <w:sz w:val="21"/>
                    </w:rPr>
                    <w:t>4. Suchen</w:t>
                  </w:r>
                </w:p>
                <w:p>
                  <w:pPr>
                    <w:spacing w:after="20"/>
                    <w:ind w:left="142" w:hanging="102"/>
                  </w:pPr>
                  <w:r>
                    <w:rPr>
                      <w:sz w:val="18"/>
                    </w:rPr>
                    <w:t>• Menü Suchen öffnen und Suche starten.</w:t>
                  </w:r>
                </w:p>
                <w:p>
                  <w:pPr>
                    <w:spacing w:after="20"/>
                    <w:ind w:left="142" w:hanging="102"/>
                  </w:pPr>
                  <w:r>
                    <w:rPr>
                      <w:sz w:val="18"/>
                    </w:rPr>
                    <w:t>• Ablauf: Mitte suchen -&gt; Osten -&gt; Westen -&gt; zurück zur Mitte.</w:t>
                  </w:r>
                </w:p>
                <w:p>
                  <w:pPr>
                    <w:spacing w:after="20"/>
                    <w:ind w:left="142" w:hanging="102"/>
                  </w:pPr>
                  <w:r>
                    <w:rPr>
                      <w:sz w:val="18"/>
                    </w:rPr>
                    <w:t>• Danach Winkel leicht ändern und die Suche bei Bedarf wiederholen.</w:t>
                  </w:r>
                </w:p>
              </w:tc>
            </w:tr>
          </w:tbl>
          <w:p/>
        </w:tc>
        <w:tc>
          <w:tcPr>
            <w:tcW w:type="dxa" w:w="680"/>
            <w:vAlign w:val="top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fill="FFFFFF"/>
          </w:tcPr>
          <w:p>
            <w:r/>
          </w:p>
        </w:tc>
        <w:tc>
          <w:tcPr>
            <w:tcW w:type="dxa" w:w="7228"/>
            <w:vAlign w:val="top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r/>
          </w:p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</w:tblPr>
            <w:tblGrid>
              <w:gridCol w:w="7228"/>
            </w:tblGrid>
            <w:tr>
              <w:tc>
                <w:tcPr>
                  <w:tcW w:type="dxa" w:w="7228"/>
                  <w:shd w:fill="FFF2CC"/>
                  <w:tcBorders>
                    <w:top w:val="single" w:sz="10" w:space="0" w:color="B7C9E2"/>
                    <w:left w:val="single" w:sz="10" w:space="0" w:color="B7C9E2"/>
                    <w:bottom w:val="single" w:sz="10" w:space="0" w:color="B7C9E2"/>
                    <w:right w:val="single" w:sz="10" w:space="0" w:color="B7C9E2"/>
                  </w:tcBorders>
                  <w:vAlign w:val="top"/>
                </w:tcPr>
                <w:p>
                  <w:pPr>
                    <w:spacing w:after="40"/>
                  </w:pPr>
                  <w:r/>
                  <w:r>
                    <w:rPr>
                      <w:b/>
                      <w:color w:val="7F6000"/>
                      <w:sz w:val="21"/>
                    </w:rPr>
                    <w:t>5. Satellit gefunden?</w:t>
                  </w:r>
                </w:p>
                <w:p>
                  <w:pPr>
                    <w:spacing w:after="20"/>
                    <w:ind w:left="142" w:hanging="102"/>
                  </w:pPr>
                  <w:r>
                    <w:t>• PLUS = richtiger Satellit bestaetigen.</w:t>
                  </w:r>
                </w:p>
                <w:p>
                  <w:pPr>
                    <w:spacing w:after="20"/>
                    <w:ind w:left="142" w:hanging="102"/>
                  </w:pPr>
                  <w:r>
                    <w:rPr>
                      <w:sz w:val="18"/>
                    </w:rPr>
                    <w:t>• MINUS = falscher Satellit / weiter suchen.</w:t>
                  </w:r>
                </w:p>
                <w:p>
                  <w:pPr>
                    <w:spacing w:after="20"/>
                    <w:ind w:left="142" w:hanging="102"/>
                  </w:pPr>
                  <w:r>
                    <w:t>• Hoeherer SIGNAL-%-Wert = staerkeres Signal; beim ADC gilt umgekehrt: kleiner = staerker.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</w:tblPr>
            <w:tblGrid>
              <w:gridCol w:w="7228"/>
            </w:tblGrid>
            <w:tr>
              <w:tc>
                <w:tcPr>
                  <w:tcW w:type="dxa" w:w="7228"/>
                  <w:shd w:fill="E2F0D9"/>
                  <w:tcBorders>
                    <w:top w:val="single" w:sz="10" w:space="0" w:color="B7C9E2"/>
                    <w:left w:val="single" w:sz="10" w:space="0" w:color="B7C9E2"/>
                    <w:bottom w:val="single" w:sz="10" w:space="0" w:color="B7C9E2"/>
                    <w:right w:val="single" w:sz="10" w:space="0" w:color="B7C9E2"/>
                  </w:tcBorders>
                  <w:vAlign w:val="top"/>
                </w:tcPr>
                <w:p>
                  <w:pPr>
                    <w:spacing w:after="40"/>
                  </w:pPr>
                  <w:r>
                    <w:t>6. AUTO-Log bei Problemen</w:t>
                  </w:r>
                </w:p>
                <w:p>
                  <w:pPr>
                    <w:spacing w:after="20"/>
                    <w:ind w:left="142" w:hanging="102"/>
                  </w:pPr>
                  <w:r>
                    <w:t>• Bei unplausibler Suche den seriellen Block AUTO_LOG_BEGIN bis AUTO_LOG_END sichern.</w:t>
                  </w:r>
                </w:p>
                <w:p>
                  <w:pPr>
                    <w:spacing w:after="20"/>
                    <w:ind w:left="142" w:hanging="102"/>
                  </w:pPr>
                  <w:r>
                    <w:t>• Der Block enthaelt RF-, Richtungs-, Hall-, Elevations- und BADSAT-Daten.</w:t>
                  </w:r>
                </w:p>
                <w:p>
                  <w:pPr>
                    <w:spacing w:after="20"/>
                    <w:ind w:left="142" w:hanging="102"/>
                  </w:pPr>
                  <w:r>
                    <w:t>• Keine automatische Peak-/Signaloptimierung im stabilen Release V3.1.4.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</w:tblPr>
            <w:tblGrid>
              <w:gridCol w:w="7228"/>
            </w:tblGrid>
            <w:tr>
              <w:tc>
                <w:tcPr>
                  <w:tcW w:type="dxa" w:w="7228"/>
                  <w:shd w:fill="F2F6FC"/>
                  <w:tcBorders>
                    <w:top w:val="single" w:sz="10" w:space="0" w:color="B7C9E2"/>
                    <w:left w:val="single" w:sz="10" w:space="0" w:color="B7C9E2"/>
                    <w:bottom w:val="single" w:sz="10" w:space="0" w:color="B7C9E2"/>
                    <w:right w:val="single" w:sz="10" w:space="0" w:color="B7C9E2"/>
                  </w:tcBorders>
                  <w:vAlign w:val="top"/>
                </w:tcPr>
                <w:p>
                  <w:pPr>
                    <w:spacing w:after="40"/>
                  </w:pPr>
                  <w:r/>
                  <w:r>
                    <w:rPr>
                      <w:b/>
                      <w:color w:val="1F4E79"/>
                      <w:sz w:val="21"/>
                    </w:rPr>
                    <w:t>7. Manuell</w:t>
                  </w:r>
                </w:p>
                <w:p>
                  <w:pPr>
                    <w:spacing w:after="20"/>
                    <w:ind w:left="142" w:hanging="102"/>
                  </w:pPr>
                  <w:r>
                    <w:rPr>
                      <w:sz w:val="18"/>
                    </w:rPr>
                    <w:t>• Manuell Azimut: Ost / West fahren und mit STOP anhalten.</w:t>
                  </w:r>
                </w:p>
                <w:p>
                  <w:pPr>
                    <w:spacing w:after="20"/>
                    <w:ind w:left="142" w:hanging="102"/>
                  </w:pPr>
                  <w:r>
                    <w:rPr>
                      <w:sz w:val="18"/>
                    </w:rPr>
                    <w:t>• Manuell Winkel: Winkel + / Winkel - fahren und mit STOP anhalten.</w:t>
                  </w:r>
                </w:p>
                <w:p>
                  <w:pPr>
                    <w:spacing w:after="20"/>
                    <w:ind w:left="142" w:hanging="102"/>
                  </w:pPr>
                  <w:r>
                    <w:rPr>
                      <w:sz w:val="18"/>
                    </w:rPr>
                    <w:t>• Hall-Sensoren: Center grün, Ost/West rot.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</w:tblPr>
            <w:tblGrid>
              <w:gridCol w:w="7228"/>
            </w:tblGrid>
            <w:tr>
              <w:tc>
                <w:tcPr>
                  <w:tcW w:type="dxa" w:w="7228"/>
                  <w:shd w:fill="FCE4D6"/>
                  <w:tcBorders>
                    <w:top w:val="single" w:sz="10" w:space="0" w:color="B7C9E2"/>
                    <w:left w:val="single" w:sz="10" w:space="0" w:color="B7C9E2"/>
                    <w:bottom w:val="single" w:sz="10" w:space="0" w:color="B7C9E2"/>
                    <w:right w:val="single" w:sz="10" w:space="0" w:color="B7C9E2"/>
                  </w:tcBorders>
                  <w:vAlign w:val="top"/>
                </w:tcPr>
                <w:p>
                  <w:pPr>
                    <w:spacing w:after="40"/>
                  </w:pPr>
                  <w:r/>
                  <w:r>
                    <w:rPr>
                      <w:b/>
                      <w:color w:val="9C0006"/>
                      <w:sz w:val="21"/>
                    </w:rPr>
                    <w:t>8. Signal-Ampel</w:t>
                  </w:r>
                </w:p>
                <w:p>
                  <w:pPr>
                    <w:spacing w:after="20"/>
                    <w:ind w:left="142" w:hanging="102"/>
                  </w:pPr>
                  <w:r>
                    <w:rPr>
                      <w:sz w:val="18"/>
                    </w:rPr>
                    <w:t>• Rot = Signal schwach.</w:t>
                  </w:r>
                </w:p>
                <w:p>
                  <w:pPr>
                    <w:spacing w:after="20"/>
                    <w:ind w:left="142" w:hanging="102"/>
                  </w:pPr>
                  <w:r>
                    <w:rPr>
                      <w:sz w:val="18"/>
                    </w:rPr>
                    <w:t>• Gelb/Orange = brauchbar.</w:t>
                  </w:r>
                </w:p>
                <w:p>
                  <w:pPr>
                    <w:spacing w:after="20"/>
                    <w:ind w:left="142" w:hanging="102"/>
                  </w:pPr>
                  <w:r>
                    <w:rPr>
                      <w:sz w:val="18"/>
                    </w:rPr>
                    <w:t>• Grün = gut bis sehr gut.</w:t>
                  </w:r>
                </w:p>
                <w:p>
                  <w:pPr>
                    <w:spacing w:after="20"/>
                    <w:ind w:left="142" w:hanging="102"/>
                  </w:pPr>
                  <w:r>
                    <w:rPr>
                      <w:sz w:val="18"/>
                    </w:rPr>
                    <w:t>• Auch bei schwachem RF kann PLUS genutzt werden, wenn am TV ein Bild sichtbar ist.</w:t>
                  </w:r>
                </w:p>
              </w:tc>
            </w:tr>
          </w:tbl>
          <w:p/>
        </w:tc>
      </w:tr>
    </w:tbl>
    <w:p>
      <w:pPr>
        <w:spacing w:before="80"/>
        <w:jc w:val="center"/>
      </w:pPr>
      <w:r>
        <w:t>Kurzregel: Receiver an, grob nach Sueden, Ausrichten, Suchen, Kandidat am TV pruefen. PLUS bestaetigt den richtigen Satelliten, MINUS verwirft ihn und setzt die Suche fort.</w:t>
      </w:r>
    </w:p>
    <w:p>
      <w:pPr/>
      <w:r>
        <w:t>Hardwareproblem? Den separaten InstallTest unter tools/SatAlign_ESP32_V3_InstallTest/SatAlign_ESP32_V3_InstallTest.ino verwenden. Er dient nur der Diagnose; danach wieder die Hauptfirmware SatAlign_ESP32_V3.ino flashen.</w:t>
      </w:r>
    </w:p>
    <w:sectPr w:rsidR="00FC693F" w:rsidRPr="0006063C" w:rsidSect="00034616">
      <w:footerReference w:type="default" r:id="rId9"/>
      <w:headerReference w:type="default" r:id="rId10"/>
      <w:pgSz w:w="16838" w:h="11906" w:orient="landscape"/>
      <w:pgMar w:top="567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F7F7F"/>
        <w:sz w:val="16"/>
      </w:rPr>
      <w:t>SatAlign V3 - Schnelleinstieg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