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62F592C">
      <w:pPr>
        <w:rPr>
          <w:b/>
          <w:bCs/>
          <w:sz w:val="28"/>
          <w:szCs w:val="28"/>
          <w:u w:color="000000"/>
          <w:shd w:val="clear" w:color="auto" w:fill="FFFF00"/>
        </w:rPr>
      </w:pPr>
    </w:p>
    <w:p w14:paraId="117CDDD4">
      <w:pPr>
        <w:pStyle w:val="3"/>
        <w:spacing w:line="360" w:lineRule="auto"/>
        <w:ind w:firstLine="663"/>
        <w:rPr>
          <w:rFonts w:ascii="Times New Roman" w:hAnsi="Times New Roman" w:cs="Times New Roman"/>
          <w:b/>
          <w:bCs/>
          <w:color w:val="auto"/>
          <w:sz w:val="28"/>
          <w:szCs w:val="28"/>
          <w:shd w:val="clear" w:color="auto" w:fill="FFFF00"/>
        </w:rPr>
      </w:pPr>
    </w:p>
    <w:p w14:paraId="7E56D6C4">
      <w:pPr>
        <w:pStyle w:val="3"/>
        <w:spacing w:line="360" w:lineRule="auto"/>
        <w:ind w:firstLine="663"/>
        <w:rPr>
          <w:rFonts w:ascii="Times New Roman" w:hAnsi="Times New Roman" w:cs="Times New Roman"/>
          <w:b/>
          <w:bCs/>
          <w:color w:val="auto"/>
          <w:sz w:val="28"/>
          <w:szCs w:val="28"/>
          <w:shd w:val="clear" w:color="auto" w:fill="FFFF00"/>
        </w:rPr>
      </w:pPr>
    </w:p>
    <w:p w14:paraId="647A2BB7">
      <w:pPr>
        <w:pStyle w:val="3"/>
        <w:spacing w:line="360" w:lineRule="auto"/>
        <w:ind w:firstLine="663"/>
        <w:rPr>
          <w:rFonts w:ascii="Times New Roman" w:hAnsi="Times New Roman" w:cs="Times New Roman"/>
          <w:b/>
          <w:bCs/>
          <w:color w:val="auto"/>
          <w:sz w:val="28"/>
          <w:szCs w:val="28"/>
          <w:shd w:val="clear" w:color="auto" w:fill="FFFF00"/>
        </w:rPr>
      </w:pPr>
    </w:p>
    <w:p w14:paraId="3DEBF7E7">
      <w:pPr>
        <w:spacing w:line="360" w:lineRule="auto"/>
        <w:jc w:val="center"/>
        <w:rPr>
          <w:b/>
          <w:bCs/>
          <w:sz w:val="44"/>
          <w:szCs w:val="44"/>
          <w:shd w:val="clear" w:color="auto" w:fill="FFFFFF"/>
        </w:rPr>
      </w:pPr>
      <w:bookmarkStart w:id="0" w:name="_Hlk137819384"/>
      <w:r>
        <w:rPr>
          <w:b/>
          <w:bCs/>
          <w:sz w:val="44"/>
          <w:szCs w:val="44"/>
          <w:shd w:val="clear" w:color="auto" w:fill="FFFFFF"/>
        </w:rPr>
        <w:t>临床研究方案</w:t>
      </w:r>
    </w:p>
    <w:bookmarkEnd w:id="0"/>
    <w:p w14:paraId="20922C64">
      <w:pPr>
        <w:spacing w:line="360" w:lineRule="auto"/>
        <w:jc w:val="center"/>
        <w:rPr>
          <w:sz w:val="44"/>
          <w:szCs w:val="44"/>
          <w:shd w:val="clear" w:color="auto" w:fill="FFFF00"/>
        </w:rPr>
      </w:pPr>
    </w:p>
    <w:p w14:paraId="22BDB925">
      <w:pPr>
        <w:pStyle w:val="3"/>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评价INR101注射液PET/CT在用于前列腺癌根治治疗后疑似复发的受试者中诊断有效性和安全性的多中心、开放、前瞻性Ⅲ期临床试验</w:t>
      </w:r>
    </w:p>
    <w:p w14:paraId="6374787C">
      <w:pPr>
        <w:pStyle w:val="3"/>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方案编号：INR101-Ⅲ-01</w:t>
      </w:r>
    </w:p>
    <w:p w14:paraId="063F2828">
      <w:pPr>
        <w:pStyle w:val="3"/>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lang w:val="zh-TW"/>
        </w:rPr>
        <w:t>版本号：</w:t>
      </w:r>
      <w:r>
        <w:rPr>
          <w:rFonts w:ascii="Times New Roman" w:hAnsi="Times New Roman" w:cs="Times New Roman"/>
          <w:b/>
          <w:bCs/>
          <w:color w:val="auto"/>
          <w:sz w:val="28"/>
          <w:szCs w:val="28"/>
        </w:rPr>
        <w:t>1.</w:t>
      </w:r>
      <w:r>
        <w:rPr>
          <w:rFonts w:hint="eastAsia" w:ascii="Times New Roman" w:hAnsi="Times New Roman" w:cs="Times New Roman"/>
          <w:b/>
          <w:bCs/>
          <w:color w:val="auto"/>
          <w:sz w:val="28"/>
          <w:szCs w:val="28"/>
        </w:rPr>
        <w:t>3</w:t>
      </w:r>
    </w:p>
    <w:p w14:paraId="3FF44AB7">
      <w:pPr>
        <w:pStyle w:val="3"/>
        <w:spacing w:line="360" w:lineRule="auto"/>
        <w:jc w:val="center"/>
        <w:rPr>
          <w:rFonts w:hint="default" w:ascii="Times New Roman" w:hAnsi="Times New Roman" w:eastAsia="宋体" w:cs="Times New Roman"/>
          <w:b/>
          <w:bCs/>
          <w:color w:val="auto"/>
          <w:sz w:val="28"/>
          <w:szCs w:val="28"/>
          <w:u w:color="FF0000"/>
          <w:lang w:val="en-US" w:eastAsia="zh-CN"/>
        </w:rPr>
      </w:pPr>
      <w:r>
        <w:rPr>
          <w:rFonts w:ascii="Times New Roman" w:hAnsi="Times New Roman" w:cs="Times New Roman"/>
          <w:b/>
          <w:bCs/>
          <w:color w:val="auto"/>
          <w:sz w:val="28"/>
          <w:szCs w:val="28"/>
          <w:lang w:val="zh-TW"/>
        </w:rPr>
        <w:t>版本日期：</w:t>
      </w:r>
      <w:r>
        <w:rPr>
          <w:rFonts w:hint="eastAsia" w:ascii="Times New Roman" w:hAnsi="Times New Roman" w:cs="Times New Roman"/>
          <w:b/>
          <w:bCs/>
          <w:color w:val="auto"/>
          <w:sz w:val="28"/>
          <w:szCs w:val="28"/>
        </w:rPr>
        <w:t>2025-06-</w:t>
      </w:r>
      <w:r>
        <w:rPr>
          <w:rFonts w:hint="eastAsia" w:ascii="Times New Roman" w:hAnsi="Times New Roman" w:cs="Times New Roman"/>
          <w:b/>
          <w:bCs/>
          <w:color w:val="auto"/>
          <w:sz w:val="28"/>
          <w:szCs w:val="28"/>
          <w:lang w:val="en-US" w:eastAsia="zh-CN"/>
        </w:rPr>
        <w:t>13</w:t>
      </w:r>
    </w:p>
    <w:p w14:paraId="19E33390">
      <w:pPr>
        <w:pStyle w:val="3"/>
        <w:spacing w:line="360" w:lineRule="auto"/>
        <w:rPr>
          <w:rFonts w:ascii="Times New Roman" w:hAnsi="Times New Roman" w:cs="Times New Roman"/>
          <w:b/>
          <w:bCs/>
          <w:color w:val="auto"/>
          <w:sz w:val="28"/>
          <w:szCs w:val="28"/>
        </w:rPr>
      </w:pPr>
    </w:p>
    <w:p w14:paraId="3C3DD010">
      <w:pPr>
        <w:pStyle w:val="3"/>
        <w:spacing w:line="360" w:lineRule="auto"/>
        <w:rPr>
          <w:rFonts w:ascii="Times New Roman" w:hAnsi="Times New Roman" w:cs="Times New Roman"/>
          <w:b/>
          <w:bCs/>
          <w:color w:val="auto"/>
          <w:sz w:val="28"/>
          <w:szCs w:val="28"/>
          <w:lang w:val="zh-TW"/>
        </w:rPr>
      </w:pPr>
    </w:p>
    <w:p w14:paraId="2A63CADC">
      <w:pPr>
        <w:pStyle w:val="3"/>
        <w:spacing w:line="360" w:lineRule="auto"/>
        <w:rPr>
          <w:rFonts w:ascii="Times New Roman" w:hAnsi="Times New Roman" w:cs="Times New Roman"/>
          <w:b/>
          <w:bCs/>
          <w:color w:val="auto"/>
          <w:sz w:val="28"/>
          <w:szCs w:val="28"/>
          <w:lang w:val="zh-TW"/>
        </w:rPr>
      </w:pPr>
    </w:p>
    <w:p w14:paraId="516A139E">
      <w:pPr>
        <w:pStyle w:val="3"/>
        <w:spacing w:line="480" w:lineRule="auto"/>
        <w:ind w:left="1080" w:leftChars="450" w:firstLine="560" w:firstLineChars="200"/>
        <w:rPr>
          <w:rFonts w:ascii="Times New Roman" w:hAnsi="Times New Roman" w:cs="Times New Roman"/>
          <w:b/>
          <w:bCs/>
          <w:color w:val="auto"/>
          <w:sz w:val="28"/>
          <w:szCs w:val="28"/>
          <w:lang w:val="zh-TW"/>
        </w:rPr>
      </w:pPr>
      <w:r>
        <w:rPr>
          <w:rFonts w:ascii="Times New Roman" w:hAnsi="Times New Roman" w:cs="Times New Roman"/>
          <w:b/>
          <w:bCs/>
          <w:color w:val="auto"/>
          <w:sz w:val="28"/>
          <w:szCs w:val="28"/>
        </w:rPr>
        <w:t>组长单位</w:t>
      </w:r>
      <w:r>
        <w:rPr>
          <w:rFonts w:ascii="Times New Roman" w:hAnsi="Times New Roman" w:cs="Times New Roman"/>
          <w:b/>
          <w:bCs/>
          <w:color w:val="auto"/>
          <w:sz w:val="28"/>
          <w:szCs w:val="28"/>
          <w:lang w:val="zh-TW"/>
        </w:rPr>
        <w:t>：复旦大学附属中山医院</w:t>
      </w:r>
    </w:p>
    <w:p w14:paraId="6D7F68FD">
      <w:pPr>
        <w:pStyle w:val="3"/>
        <w:spacing w:line="480" w:lineRule="auto"/>
        <w:ind w:left="1080" w:leftChars="450" w:firstLine="560" w:firstLineChars="200"/>
        <w:rPr>
          <w:rFonts w:ascii="Times New Roman" w:hAnsi="Times New Roman" w:cs="Times New Roman"/>
          <w:b/>
          <w:bCs/>
          <w:color w:val="auto"/>
          <w:sz w:val="28"/>
          <w:szCs w:val="28"/>
          <w:lang w:val="zh-TW"/>
        </w:rPr>
      </w:pPr>
      <w:r>
        <w:rPr>
          <w:rFonts w:ascii="Times New Roman" w:hAnsi="Times New Roman" w:cs="Times New Roman"/>
          <w:b/>
          <w:bCs/>
          <w:color w:val="auto"/>
          <w:sz w:val="28"/>
          <w:szCs w:val="28"/>
        </w:rPr>
        <w:t>申办者：云核医药（天津）有限公司</w:t>
      </w:r>
    </w:p>
    <w:p w14:paraId="4BEBB4E2">
      <w:pPr>
        <w:pStyle w:val="3"/>
        <w:spacing w:line="480" w:lineRule="auto"/>
        <w:ind w:left="1080" w:leftChars="450" w:firstLine="560" w:firstLineChars="200"/>
        <w:rPr>
          <w:rFonts w:ascii="Times New Roman" w:hAnsi="Times New Roman" w:cs="Times New Roman"/>
          <w:b/>
          <w:bCs/>
          <w:color w:val="auto"/>
          <w:sz w:val="28"/>
          <w:szCs w:val="28"/>
        </w:rPr>
      </w:pPr>
      <w:r>
        <w:rPr>
          <w:rFonts w:ascii="Times New Roman" w:hAnsi="Times New Roman" w:cs="Times New Roman"/>
          <w:b/>
          <w:bCs/>
          <w:color w:val="auto"/>
          <w:sz w:val="28"/>
          <w:szCs w:val="28"/>
        </w:rPr>
        <w:t>合同研究组织：</w:t>
      </w:r>
      <w:r>
        <w:rPr>
          <w:rFonts w:hint="eastAsia" w:ascii="Times New Roman" w:hAnsi="Times New Roman" w:cs="Times New Roman"/>
          <w:b/>
          <w:bCs/>
          <w:color w:val="auto"/>
          <w:sz w:val="28"/>
          <w:szCs w:val="28"/>
        </w:rPr>
        <w:t>国信医药科技（北京）有限公司</w:t>
      </w:r>
    </w:p>
    <w:p w14:paraId="2C872F6C">
      <w:pPr>
        <w:pStyle w:val="3"/>
        <w:spacing w:line="480" w:lineRule="auto"/>
        <w:ind w:left="1080" w:leftChars="450" w:firstLine="560" w:firstLineChars="200"/>
        <w:rPr>
          <w:rFonts w:ascii="Times New Roman" w:hAnsi="Times New Roman" w:cs="Times New Roman"/>
          <w:b/>
          <w:bCs/>
          <w:color w:val="auto"/>
          <w:sz w:val="28"/>
          <w:szCs w:val="28"/>
          <w:lang w:val="zh-TW"/>
        </w:rPr>
      </w:pPr>
      <w:r>
        <w:rPr>
          <w:rFonts w:ascii="Times New Roman" w:hAnsi="Times New Roman" w:cs="Times New Roman"/>
          <w:b/>
          <w:bCs/>
          <w:color w:val="auto"/>
          <w:sz w:val="28"/>
          <w:szCs w:val="28"/>
          <w:lang w:val="zh-TW"/>
        </w:rPr>
        <w:t>数据管理</w:t>
      </w:r>
      <w:r>
        <w:rPr>
          <w:rFonts w:ascii="Times New Roman" w:hAnsi="Times New Roman" w:cs="Times New Roman"/>
          <w:b/>
          <w:bCs/>
          <w:color w:val="auto"/>
          <w:sz w:val="28"/>
          <w:szCs w:val="28"/>
        </w:rPr>
        <w:t>单位：</w:t>
      </w:r>
      <w:r>
        <w:rPr>
          <w:rFonts w:hint="eastAsia" w:ascii="Times New Roman" w:hAnsi="Times New Roman" w:cs="Times New Roman"/>
          <w:b/>
          <w:bCs/>
          <w:color w:val="auto"/>
          <w:sz w:val="28"/>
          <w:szCs w:val="28"/>
        </w:rPr>
        <w:t>蓝气球（北京）医学研究有限公司</w:t>
      </w:r>
    </w:p>
    <w:p w14:paraId="59331C99">
      <w:pPr>
        <w:pStyle w:val="3"/>
        <w:spacing w:line="480" w:lineRule="auto"/>
        <w:ind w:left="1080" w:leftChars="450" w:firstLine="560" w:firstLineChars="200"/>
        <w:rPr>
          <w:rFonts w:ascii="Times New Roman" w:hAnsi="Times New Roman" w:cs="Times New Roman"/>
          <w:b/>
          <w:bCs/>
          <w:color w:val="auto"/>
          <w:sz w:val="28"/>
          <w:szCs w:val="28"/>
          <w:lang w:val="zh-TW" w:eastAsia="zh-TW"/>
        </w:rPr>
      </w:pPr>
      <w:r>
        <w:rPr>
          <w:rFonts w:ascii="Times New Roman" w:hAnsi="Times New Roman" w:cs="Times New Roman"/>
          <w:b/>
          <w:bCs/>
          <w:color w:val="auto"/>
          <w:sz w:val="28"/>
          <w:szCs w:val="28"/>
          <w:lang w:val="zh-TW"/>
        </w:rPr>
        <w:t>统计分析单位：</w:t>
      </w:r>
      <w:r>
        <w:rPr>
          <w:rFonts w:hint="eastAsia" w:ascii="Times New Roman" w:hAnsi="Times New Roman" w:cs="Times New Roman"/>
          <w:b/>
          <w:bCs/>
          <w:color w:val="auto"/>
          <w:sz w:val="28"/>
          <w:szCs w:val="28"/>
          <w:lang w:val="zh-TW"/>
        </w:rPr>
        <w:t>北京大学临床研究所</w:t>
      </w:r>
    </w:p>
    <w:p w14:paraId="18DCF5AC">
      <w:pPr>
        <w:pStyle w:val="3"/>
        <w:spacing w:line="480" w:lineRule="auto"/>
        <w:ind w:left="1080" w:leftChars="450" w:firstLine="560" w:firstLineChars="200"/>
        <w:rPr>
          <w:rFonts w:ascii="Times New Roman" w:hAnsi="Times New Roman" w:cs="Times New Roman"/>
          <w:b/>
          <w:bCs/>
          <w:color w:val="auto"/>
          <w:sz w:val="28"/>
          <w:szCs w:val="28"/>
          <w:lang w:val="zh-TW" w:eastAsia="zh-TW"/>
        </w:rPr>
      </w:pPr>
    </w:p>
    <w:tbl>
      <w:tblPr>
        <w:tblStyle w:val="41"/>
        <w:tblW w:w="5000"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9508"/>
      </w:tblGrid>
      <w:tr w14:paraId="20DAD1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860" w:hRule="atLeast"/>
        </w:trPr>
        <w:tc>
          <w:tcPr>
            <w:tcW w:w="5000" w:type="pct"/>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FC98406">
            <w:pPr>
              <w:pStyle w:val="3"/>
              <w:ind w:firstLine="560" w:firstLineChars="200"/>
              <w:rPr>
                <w:rFonts w:ascii="Times New Roman" w:hAnsi="Times New Roman" w:cs="Times New Roman"/>
                <w:color w:val="auto"/>
                <w:sz w:val="28"/>
                <w:szCs w:val="28"/>
              </w:rPr>
            </w:pPr>
            <w:r>
              <w:rPr>
                <w:rFonts w:ascii="Times New Roman" w:hAnsi="Times New Roman" w:cs="Times New Roman"/>
                <w:b/>
                <w:bCs/>
                <w:color w:val="auto"/>
                <w:sz w:val="28"/>
                <w:szCs w:val="28"/>
                <w:lang w:val="zh-TW"/>
              </w:rPr>
              <w:t>本文件所含信息为专有和机密信息。未经云核医药（天津）有限公司书面许可，不得复制、传阅或以其他方式散布。</w:t>
            </w:r>
          </w:p>
        </w:tc>
      </w:tr>
    </w:tbl>
    <w:p w14:paraId="059FC2DF">
      <w:pPr>
        <w:pStyle w:val="3"/>
        <w:tabs>
          <w:tab w:val="left" w:pos="5520"/>
        </w:tabs>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ab/>
      </w:r>
    </w:p>
    <w:p w14:paraId="5D039ACF">
      <w:pPr>
        <w:pStyle w:val="3"/>
        <w:spacing w:line="360" w:lineRule="auto"/>
        <w:ind w:firstLine="562"/>
        <w:jc w:val="center"/>
        <w:rPr>
          <w:rFonts w:ascii="Times New Roman" w:hAnsi="Times New Roman" w:cs="Times New Roman"/>
          <w:b/>
          <w:bCs/>
          <w:color w:val="auto"/>
          <w:kern w:val="0"/>
          <w:sz w:val="28"/>
          <w:szCs w:val="28"/>
          <w:lang w:val="zh-TW" w:eastAsia="zh-TW"/>
        </w:rPr>
      </w:pPr>
      <w:r>
        <w:rPr>
          <w:rFonts w:ascii="Times New Roman" w:hAnsi="Times New Roman" w:cs="Times New Roman"/>
          <w:b/>
          <w:bCs/>
          <w:color w:val="auto"/>
          <w:kern w:val="0"/>
          <w:sz w:val="28"/>
          <w:szCs w:val="28"/>
          <w:lang w:val="zh-TW" w:eastAsia="zh-TW"/>
        </w:rPr>
        <w:t>方案修订页</w:t>
      </w:r>
    </w:p>
    <w:p w14:paraId="6E56E112">
      <w:pPr>
        <w:pStyle w:val="3"/>
        <w:spacing w:line="360" w:lineRule="auto"/>
        <w:ind w:firstLine="562"/>
        <w:jc w:val="center"/>
        <w:rPr>
          <w:rFonts w:ascii="Times New Roman" w:hAnsi="Times New Roman" w:cs="Times New Roman"/>
          <w:b/>
          <w:bCs/>
          <w:color w:val="auto"/>
          <w:kern w:val="0"/>
          <w:sz w:val="28"/>
          <w:szCs w:val="28"/>
          <w:lang w:val="zh-TW" w:eastAsia="zh-TW"/>
        </w:rPr>
      </w:pP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5"/>
        <w:gridCol w:w="3189"/>
        <w:gridCol w:w="3190"/>
      </w:tblGrid>
      <w:tr w14:paraId="4404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665" w:type="pct"/>
            <w:vAlign w:val="center"/>
          </w:tcPr>
          <w:p w14:paraId="160562A2">
            <w:pPr>
              <w:jc w:val="center"/>
              <w:rPr>
                <w:b/>
                <w:sz w:val="21"/>
                <w:szCs w:val="21"/>
              </w:rPr>
            </w:pPr>
            <w:r>
              <w:rPr>
                <w:b/>
                <w:sz w:val="21"/>
                <w:szCs w:val="21"/>
              </w:rPr>
              <w:t>方案编号/版本号</w:t>
            </w:r>
          </w:p>
        </w:tc>
        <w:tc>
          <w:tcPr>
            <w:tcW w:w="1667" w:type="pct"/>
            <w:vAlign w:val="center"/>
          </w:tcPr>
          <w:p w14:paraId="67A59453">
            <w:pPr>
              <w:jc w:val="center"/>
              <w:rPr>
                <w:b/>
                <w:sz w:val="21"/>
                <w:szCs w:val="21"/>
              </w:rPr>
            </w:pPr>
            <w:r>
              <w:rPr>
                <w:b/>
                <w:sz w:val="21"/>
                <w:szCs w:val="21"/>
              </w:rPr>
              <w:t>制定日期</w:t>
            </w:r>
          </w:p>
        </w:tc>
        <w:tc>
          <w:tcPr>
            <w:tcW w:w="1667" w:type="pct"/>
            <w:vAlign w:val="center"/>
          </w:tcPr>
          <w:p w14:paraId="56382C30">
            <w:pPr>
              <w:jc w:val="center"/>
              <w:rPr>
                <w:b/>
                <w:sz w:val="21"/>
                <w:szCs w:val="21"/>
              </w:rPr>
            </w:pPr>
            <w:r>
              <w:rPr>
                <w:b/>
                <w:sz w:val="21"/>
                <w:szCs w:val="21"/>
              </w:rPr>
              <w:t>修订内容</w:t>
            </w:r>
          </w:p>
        </w:tc>
      </w:tr>
      <w:tr w14:paraId="5326C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1665" w:type="pct"/>
            <w:vAlign w:val="center"/>
          </w:tcPr>
          <w:p w14:paraId="6986C13D">
            <w:pPr>
              <w:jc w:val="center"/>
              <w:rPr>
                <w:sz w:val="21"/>
                <w:szCs w:val="21"/>
              </w:rPr>
            </w:pPr>
            <w:r>
              <w:rPr>
                <w:sz w:val="21"/>
                <w:szCs w:val="21"/>
              </w:rPr>
              <w:t>INR101-Ⅲ-01/ 1.0</w:t>
            </w:r>
          </w:p>
        </w:tc>
        <w:tc>
          <w:tcPr>
            <w:tcW w:w="1667" w:type="pct"/>
            <w:vAlign w:val="center"/>
          </w:tcPr>
          <w:p w14:paraId="71B03346">
            <w:pPr>
              <w:jc w:val="center"/>
              <w:rPr>
                <w:sz w:val="21"/>
                <w:szCs w:val="21"/>
              </w:rPr>
            </w:pPr>
            <w:r>
              <w:rPr>
                <w:sz w:val="21"/>
                <w:szCs w:val="21"/>
              </w:rPr>
              <w:t>2024-11-22</w:t>
            </w:r>
          </w:p>
        </w:tc>
        <w:tc>
          <w:tcPr>
            <w:tcW w:w="1667" w:type="pct"/>
            <w:vAlign w:val="center"/>
          </w:tcPr>
          <w:p w14:paraId="0FABF6C6">
            <w:pPr>
              <w:jc w:val="center"/>
              <w:rPr>
                <w:sz w:val="21"/>
                <w:szCs w:val="21"/>
              </w:rPr>
            </w:pPr>
            <w:r>
              <w:rPr>
                <w:sz w:val="21"/>
                <w:szCs w:val="21"/>
              </w:rPr>
              <w:t>NA</w:t>
            </w:r>
          </w:p>
        </w:tc>
      </w:tr>
      <w:tr w14:paraId="0B75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3185" w:type="dxa"/>
            <w:vAlign w:val="center"/>
          </w:tcPr>
          <w:p w14:paraId="029F016D">
            <w:pPr>
              <w:jc w:val="center"/>
              <w:rPr>
                <w:sz w:val="21"/>
                <w:szCs w:val="21"/>
              </w:rPr>
            </w:pPr>
            <w:r>
              <w:rPr>
                <w:sz w:val="21"/>
                <w:szCs w:val="21"/>
              </w:rPr>
              <w:t>INR101-Ⅲ-01/ 1.</w:t>
            </w:r>
            <w:r>
              <w:rPr>
                <w:rFonts w:hint="eastAsia"/>
                <w:sz w:val="21"/>
                <w:szCs w:val="21"/>
              </w:rPr>
              <w:t>1</w:t>
            </w:r>
          </w:p>
        </w:tc>
        <w:tc>
          <w:tcPr>
            <w:tcW w:w="3189" w:type="dxa"/>
            <w:vAlign w:val="center"/>
          </w:tcPr>
          <w:p w14:paraId="1D45BFC0">
            <w:pPr>
              <w:jc w:val="center"/>
              <w:rPr>
                <w:sz w:val="21"/>
                <w:szCs w:val="21"/>
              </w:rPr>
            </w:pPr>
            <w:r>
              <w:rPr>
                <w:rFonts w:hint="eastAsia"/>
                <w:sz w:val="21"/>
                <w:szCs w:val="21"/>
              </w:rPr>
              <w:t>2025-01-09</w:t>
            </w:r>
          </w:p>
        </w:tc>
        <w:tc>
          <w:tcPr>
            <w:tcW w:w="3190" w:type="dxa"/>
            <w:vAlign w:val="center"/>
          </w:tcPr>
          <w:p w14:paraId="44F6453E">
            <w:pPr>
              <w:jc w:val="center"/>
              <w:rPr>
                <w:sz w:val="21"/>
                <w:szCs w:val="21"/>
              </w:rPr>
            </w:pPr>
            <w:r>
              <w:rPr>
                <w:rFonts w:hint="eastAsia"/>
                <w:sz w:val="21"/>
                <w:szCs w:val="21"/>
              </w:rPr>
              <w:t>详情见修订记录</w:t>
            </w:r>
          </w:p>
        </w:tc>
      </w:tr>
      <w:tr w14:paraId="5EA8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3185" w:type="dxa"/>
            <w:vAlign w:val="center"/>
          </w:tcPr>
          <w:p w14:paraId="7E1193BD">
            <w:pPr>
              <w:jc w:val="center"/>
              <w:rPr>
                <w:sz w:val="21"/>
                <w:szCs w:val="21"/>
              </w:rPr>
            </w:pPr>
            <w:r>
              <w:rPr>
                <w:sz w:val="21"/>
                <w:szCs w:val="21"/>
              </w:rPr>
              <w:t>INR101-Ⅲ-01/ 1.</w:t>
            </w:r>
            <w:r>
              <w:rPr>
                <w:rFonts w:hint="eastAsia"/>
                <w:sz w:val="21"/>
                <w:szCs w:val="21"/>
              </w:rPr>
              <w:t>2</w:t>
            </w:r>
          </w:p>
        </w:tc>
        <w:tc>
          <w:tcPr>
            <w:tcW w:w="3189" w:type="dxa"/>
            <w:vAlign w:val="center"/>
          </w:tcPr>
          <w:p w14:paraId="50613E6A">
            <w:pPr>
              <w:jc w:val="center"/>
              <w:rPr>
                <w:sz w:val="21"/>
                <w:szCs w:val="21"/>
              </w:rPr>
            </w:pPr>
            <w:r>
              <w:rPr>
                <w:rFonts w:hint="eastAsia"/>
                <w:sz w:val="21"/>
                <w:szCs w:val="21"/>
              </w:rPr>
              <w:t>2025-03-11</w:t>
            </w:r>
          </w:p>
        </w:tc>
        <w:tc>
          <w:tcPr>
            <w:tcW w:w="3190" w:type="dxa"/>
            <w:vAlign w:val="center"/>
          </w:tcPr>
          <w:p w14:paraId="77931BB7">
            <w:pPr>
              <w:jc w:val="center"/>
              <w:rPr>
                <w:sz w:val="21"/>
                <w:szCs w:val="21"/>
              </w:rPr>
            </w:pPr>
            <w:r>
              <w:rPr>
                <w:rFonts w:hint="eastAsia"/>
                <w:sz w:val="21"/>
                <w:szCs w:val="21"/>
              </w:rPr>
              <w:t>详情见修订记录</w:t>
            </w:r>
          </w:p>
        </w:tc>
      </w:tr>
      <w:tr w14:paraId="21348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3185" w:type="dxa"/>
            <w:vAlign w:val="center"/>
          </w:tcPr>
          <w:p w14:paraId="7056A4F0">
            <w:pPr>
              <w:jc w:val="center"/>
              <w:rPr>
                <w:sz w:val="21"/>
                <w:szCs w:val="21"/>
              </w:rPr>
            </w:pPr>
            <w:r>
              <w:rPr>
                <w:sz w:val="21"/>
                <w:szCs w:val="21"/>
              </w:rPr>
              <w:t>INR101-Ⅲ-01/ 1.</w:t>
            </w:r>
            <w:r>
              <w:rPr>
                <w:rFonts w:hint="eastAsia"/>
                <w:sz w:val="21"/>
                <w:szCs w:val="21"/>
              </w:rPr>
              <w:t>3</w:t>
            </w:r>
          </w:p>
        </w:tc>
        <w:tc>
          <w:tcPr>
            <w:tcW w:w="3189" w:type="dxa"/>
            <w:vAlign w:val="center"/>
          </w:tcPr>
          <w:p w14:paraId="2D97D886">
            <w:pPr>
              <w:jc w:val="center"/>
              <w:rPr>
                <w:rFonts w:hint="default" w:eastAsia="宋体"/>
                <w:sz w:val="21"/>
                <w:szCs w:val="21"/>
                <w:lang w:val="en-US" w:eastAsia="zh-CN"/>
              </w:rPr>
            </w:pPr>
            <w:r>
              <w:rPr>
                <w:rFonts w:hint="eastAsia"/>
                <w:sz w:val="21"/>
                <w:szCs w:val="21"/>
              </w:rPr>
              <w:t>2025-06-</w:t>
            </w:r>
            <w:r>
              <w:rPr>
                <w:rFonts w:hint="eastAsia"/>
                <w:sz w:val="21"/>
                <w:szCs w:val="21"/>
                <w:lang w:val="en-US" w:eastAsia="zh-CN"/>
              </w:rPr>
              <w:t>13</w:t>
            </w:r>
          </w:p>
        </w:tc>
        <w:tc>
          <w:tcPr>
            <w:tcW w:w="3190" w:type="dxa"/>
            <w:vAlign w:val="center"/>
          </w:tcPr>
          <w:p w14:paraId="56217453">
            <w:pPr>
              <w:jc w:val="center"/>
              <w:rPr>
                <w:sz w:val="21"/>
                <w:szCs w:val="21"/>
              </w:rPr>
            </w:pPr>
            <w:r>
              <w:rPr>
                <w:rFonts w:hint="eastAsia"/>
                <w:sz w:val="21"/>
                <w:szCs w:val="21"/>
              </w:rPr>
              <w:t>详情见修订记录</w:t>
            </w:r>
          </w:p>
        </w:tc>
      </w:tr>
    </w:tbl>
    <w:p w14:paraId="3E969682">
      <w:pPr>
        <w:pStyle w:val="3"/>
        <w:spacing w:line="360" w:lineRule="auto"/>
        <w:ind w:firstLine="562"/>
        <w:rPr>
          <w:rFonts w:ascii="Times New Roman" w:hAnsi="Times New Roman" w:cs="Times New Roman"/>
          <w:b/>
          <w:bCs/>
          <w:color w:val="auto"/>
          <w:sz w:val="24"/>
          <w:szCs w:val="24"/>
          <w:lang w:val="zh-TW"/>
        </w:rPr>
      </w:pPr>
    </w:p>
    <w:p w14:paraId="47DD9BCD">
      <w:pPr>
        <w:rPr>
          <w:b/>
          <w:bCs/>
          <w:lang w:val="zh-TW"/>
        </w:rPr>
        <w:sectPr>
          <w:headerReference r:id="rId3" w:type="default"/>
          <w:footerReference r:id="rId4" w:type="default"/>
          <w:pgSz w:w="11900" w:h="16840"/>
          <w:pgMar w:top="1701" w:right="1134" w:bottom="1134" w:left="1418" w:header="907" w:footer="850" w:gutter="0"/>
          <w:cols w:space="720" w:num="1"/>
          <w:docGrid w:type="linesAndChars" w:linePitch="326" w:charSpace="0"/>
        </w:sectPr>
      </w:pPr>
      <w:r>
        <w:rPr>
          <w:b/>
          <w:bCs/>
          <w:lang w:val="zh-TW"/>
        </w:rPr>
        <w:br w:type="page"/>
      </w:r>
    </w:p>
    <w:p w14:paraId="733E4218">
      <w:pPr>
        <w:tabs>
          <w:tab w:val="center" w:pos="4674"/>
          <w:tab w:val="left" w:pos="6720"/>
        </w:tabs>
        <w:ind w:left="2849" w:hanging="2838" w:hangingChars="887"/>
        <w:rPr>
          <w:b/>
          <w:sz w:val="32"/>
          <w:szCs w:val="32"/>
        </w:rPr>
      </w:pPr>
      <w:r>
        <w:rPr>
          <w:b/>
          <w:sz w:val="32"/>
          <w:szCs w:val="32"/>
        </w:rPr>
        <w:tab/>
      </w:r>
      <w:r>
        <w:rPr>
          <w:b/>
          <w:sz w:val="32"/>
          <w:szCs w:val="32"/>
        </w:rPr>
        <w:t>申办者方案签字页</w:t>
      </w:r>
      <w:r>
        <w:rPr>
          <w:b/>
          <w:sz w:val="32"/>
          <w:szCs w:val="32"/>
        </w:rPr>
        <w:tab/>
      </w:r>
    </w:p>
    <w:p w14:paraId="367A8C07">
      <w:pPr>
        <w:ind w:left="2849" w:hanging="2838" w:hangingChars="887"/>
        <w:jc w:val="center"/>
        <w:rPr>
          <w:b/>
          <w:sz w:val="32"/>
          <w:szCs w:val="32"/>
        </w:rPr>
      </w:pPr>
    </w:p>
    <w:p w14:paraId="165AC562">
      <w:pPr>
        <w:pStyle w:val="3"/>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评价INR101注射液PET/CT在用于前列腺癌根治治疗后疑似复发的受试者中诊断有效性和安全性的多中心、开放、前瞻性Ⅲ期临床试验</w:t>
      </w:r>
    </w:p>
    <w:p w14:paraId="3352F61A">
      <w:pPr>
        <w:rPr>
          <w:b/>
          <w:bCs/>
          <w:lang w:val="zh-TW"/>
        </w:rPr>
      </w:pPr>
    </w:p>
    <w:p w14:paraId="10B81173">
      <w:pPr>
        <w:snapToGrid w:val="0"/>
        <w:spacing w:line="360" w:lineRule="auto"/>
        <w:ind w:firstLine="480"/>
      </w:pPr>
      <w:r>
        <w:t>我方已阅读并熟悉此方案，确认方案中包括研究实施的必要内容，明确与本研究方案有关的职责。我同意并将严格按照中国法律法规、赫尔辛基宣言、药物临床试验质量管理规范以及本研究方案履行相关的职责。</w:t>
      </w:r>
    </w:p>
    <w:p w14:paraId="00821FA1">
      <w:pPr>
        <w:spacing w:line="360" w:lineRule="auto"/>
        <w:rPr>
          <w:b/>
          <w:bCs/>
          <w:lang w:val="zh-TW"/>
        </w:rPr>
      </w:pPr>
    </w:p>
    <w:p w14:paraId="1B041578">
      <w:pPr>
        <w:spacing w:line="360" w:lineRule="auto"/>
        <w:rPr>
          <w:b/>
          <w:bCs/>
          <w:lang w:val="zh-TW"/>
        </w:rPr>
      </w:pPr>
    </w:p>
    <w:p w14:paraId="06B855FE">
      <w:pPr>
        <w:spacing w:line="360" w:lineRule="auto"/>
        <w:rPr>
          <w:b/>
          <w:bCs/>
          <w:lang w:val="zh-TW"/>
        </w:rPr>
      </w:pPr>
    </w:p>
    <w:p w14:paraId="68C7B57E">
      <w:pPr>
        <w:spacing w:line="360" w:lineRule="auto"/>
        <w:rPr>
          <w:b/>
          <w:bCs/>
          <w:lang w:val="zh-TW"/>
        </w:rPr>
      </w:pPr>
    </w:p>
    <w:p w14:paraId="508A9E84">
      <w:pPr>
        <w:snapToGrid w:val="0"/>
        <w:spacing w:line="360" w:lineRule="auto"/>
        <w:ind w:firstLine="482"/>
        <w:rPr>
          <w:bCs/>
        </w:rPr>
      </w:pPr>
      <w:r>
        <w:rPr>
          <w:b/>
          <w:bCs/>
        </w:rPr>
        <w:t>申办者</w:t>
      </w:r>
      <w:r>
        <w:rPr>
          <w:bCs/>
        </w:rPr>
        <w:t>：</w:t>
      </w:r>
      <w:r>
        <w:rPr>
          <w:b/>
          <w:bCs/>
        </w:rPr>
        <w:t>云核医药（天津）有限公司</w:t>
      </w:r>
    </w:p>
    <w:p w14:paraId="70F01A26">
      <w:pPr>
        <w:snapToGrid w:val="0"/>
        <w:spacing w:line="360" w:lineRule="auto"/>
        <w:ind w:firstLine="480"/>
      </w:pPr>
      <w:r>
        <w:t>申办者代表（签名）：</w:t>
      </w:r>
    </w:p>
    <w:p w14:paraId="462808BC">
      <w:pPr>
        <w:snapToGrid w:val="0"/>
        <w:spacing w:line="360" w:lineRule="auto"/>
        <w:ind w:firstLine="480"/>
      </w:pPr>
      <w:r>
        <w:t>签字日期：            年          月          日</w:t>
      </w:r>
    </w:p>
    <w:p w14:paraId="15E06A49">
      <w:pPr>
        <w:rPr>
          <w:b/>
          <w:bCs/>
          <w:lang w:val="zh-TW"/>
        </w:rPr>
        <w:sectPr>
          <w:pgSz w:w="11900" w:h="16840"/>
          <w:pgMar w:top="1701" w:right="1134" w:bottom="1134" w:left="1418" w:header="907" w:footer="850" w:gutter="0"/>
          <w:cols w:space="720" w:num="1"/>
          <w:docGrid w:type="linesAndChars" w:linePitch="326" w:charSpace="0"/>
        </w:sectPr>
      </w:pPr>
    </w:p>
    <w:p w14:paraId="29509C1D">
      <w:pPr>
        <w:ind w:left="2849" w:hanging="2838" w:hangingChars="887"/>
        <w:jc w:val="center"/>
        <w:rPr>
          <w:b/>
          <w:sz w:val="32"/>
          <w:szCs w:val="32"/>
        </w:rPr>
      </w:pPr>
      <w:r>
        <w:rPr>
          <w:b/>
          <w:sz w:val="32"/>
          <w:szCs w:val="32"/>
        </w:rPr>
        <w:t>研究者方案签字页</w:t>
      </w:r>
    </w:p>
    <w:p w14:paraId="1481DFBA">
      <w:pPr>
        <w:ind w:left="2849" w:hanging="2838" w:hangingChars="887"/>
        <w:jc w:val="center"/>
        <w:rPr>
          <w:b/>
          <w:sz w:val="32"/>
          <w:szCs w:val="32"/>
        </w:rPr>
      </w:pPr>
    </w:p>
    <w:p w14:paraId="55709838">
      <w:pPr>
        <w:pStyle w:val="3"/>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评价INR101注射液PET/CT在用于前列腺癌根治治疗后疑似复发的受试者中诊断有效性和安全性的多中心、开放、前瞻性Ⅲ期临床试验</w:t>
      </w:r>
    </w:p>
    <w:p w14:paraId="5B8C7848">
      <w:pPr>
        <w:rPr>
          <w:b/>
          <w:bCs/>
          <w:lang w:val="zh-TW"/>
        </w:rPr>
      </w:pPr>
    </w:p>
    <w:p w14:paraId="36EF3720">
      <w:pPr>
        <w:snapToGrid w:val="0"/>
        <w:spacing w:line="360" w:lineRule="auto"/>
        <w:ind w:firstLine="480"/>
      </w:pPr>
      <w:r>
        <w:t>我方已阅读并熟悉此方案，确认方案中包括研究实施的必要内容，明确与本研究方案有关的职责。我同意并将严格按照中国法律法规、赫尔辛基宣言、药物临床试验质量管理规范以及本研究方案履行相关的职责。</w:t>
      </w:r>
    </w:p>
    <w:p w14:paraId="12229FB8">
      <w:pPr>
        <w:spacing w:line="360" w:lineRule="auto"/>
        <w:rPr>
          <w:b/>
          <w:bCs/>
          <w:lang w:val="zh-TW"/>
        </w:rPr>
      </w:pPr>
    </w:p>
    <w:p w14:paraId="55560832">
      <w:pPr>
        <w:spacing w:line="360" w:lineRule="auto"/>
        <w:rPr>
          <w:b/>
          <w:bCs/>
          <w:lang w:val="zh-TW"/>
        </w:rPr>
      </w:pPr>
    </w:p>
    <w:p w14:paraId="60854266">
      <w:pPr>
        <w:spacing w:line="360" w:lineRule="auto"/>
        <w:rPr>
          <w:b/>
          <w:bCs/>
          <w:lang w:val="zh-TW"/>
        </w:rPr>
      </w:pPr>
    </w:p>
    <w:p w14:paraId="735133E5">
      <w:pPr>
        <w:spacing w:line="360" w:lineRule="auto"/>
        <w:rPr>
          <w:b/>
          <w:bCs/>
          <w:lang w:val="zh-TW"/>
        </w:rPr>
      </w:pPr>
    </w:p>
    <w:p w14:paraId="0D40C72A">
      <w:pPr>
        <w:snapToGrid w:val="0"/>
        <w:spacing w:line="360" w:lineRule="auto"/>
        <w:ind w:firstLine="482"/>
        <w:rPr>
          <w:bCs/>
          <w:u w:val="single"/>
        </w:rPr>
      </w:pPr>
      <w:r>
        <w:rPr>
          <w:b/>
          <w:bCs/>
        </w:rPr>
        <w:t>临床研究单位</w:t>
      </w:r>
      <w:r>
        <w:rPr>
          <w:bCs/>
        </w:rPr>
        <w:t>：</w:t>
      </w:r>
      <w:r>
        <w:rPr>
          <w:b/>
          <w:bCs/>
          <w:u w:val="single"/>
        </w:rPr>
        <w:t xml:space="preserve"> 复旦大学附属中山医院                          </w:t>
      </w:r>
    </w:p>
    <w:p w14:paraId="09254A30">
      <w:pPr>
        <w:snapToGrid w:val="0"/>
        <w:spacing w:line="360" w:lineRule="auto"/>
        <w:ind w:firstLine="480"/>
      </w:pPr>
      <w:r>
        <w:t>主要研究者（签名）：</w:t>
      </w:r>
    </w:p>
    <w:p w14:paraId="769BC231">
      <w:pPr>
        <w:snapToGrid w:val="0"/>
        <w:spacing w:line="360" w:lineRule="auto"/>
        <w:ind w:firstLine="480"/>
      </w:pPr>
      <w:r>
        <w:t>签字日期：            年          月          日</w:t>
      </w:r>
    </w:p>
    <w:p w14:paraId="13730F4E">
      <w:pPr>
        <w:pStyle w:val="15"/>
        <w:sectPr>
          <w:pgSz w:w="11900" w:h="16840"/>
          <w:pgMar w:top="1701" w:right="1134" w:bottom="1134" w:left="1418" w:header="907" w:footer="850" w:gutter="0"/>
          <w:cols w:space="720" w:num="1"/>
          <w:docGrid w:type="linesAndChars" w:linePitch="326" w:charSpace="0"/>
        </w:sectPr>
      </w:pPr>
    </w:p>
    <w:p w14:paraId="4F406D90">
      <w:pPr>
        <w:ind w:left="2849" w:hanging="2838" w:hangingChars="887"/>
        <w:jc w:val="center"/>
        <w:rPr>
          <w:b/>
          <w:sz w:val="32"/>
          <w:szCs w:val="32"/>
        </w:rPr>
      </w:pPr>
      <w:r>
        <w:rPr>
          <w:b/>
          <w:sz w:val="32"/>
          <w:szCs w:val="32"/>
        </w:rPr>
        <w:t>合同研究组织方案签字页</w:t>
      </w:r>
    </w:p>
    <w:p w14:paraId="75B81144">
      <w:pPr>
        <w:ind w:left="2849" w:hanging="2838" w:hangingChars="887"/>
        <w:jc w:val="center"/>
        <w:rPr>
          <w:b/>
          <w:sz w:val="32"/>
          <w:szCs w:val="32"/>
        </w:rPr>
      </w:pPr>
    </w:p>
    <w:p w14:paraId="317B4362">
      <w:pPr>
        <w:pStyle w:val="3"/>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评价INR101注射液PET/CT在用于前列腺癌根治治疗后疑似复发的受试者中诊断有效性和安全性的多中心、开放、前瞻性Ⅲ期临床试验</w:t>
      </w:r>
    </w:p>
    <w:p w14:paraId="60D4CCCF">
      <w:pPr>
        <w:ind w:firstLine="482"/>
        <w:rPr>
          <w:b/>
          <w:bCs/>
          <w:lang w:val="zh-TW"/>
        </w:rPr>
      </w:pPr>
    </w:p>
    <w:p w14:paraId="5EC2029B">
      <w:pPr>
        <w:snapToGrid w:val="0"/>
        <w:spacing w:line="360" w:lineRule="auto"/>
        <w:ind w:firstLine="480"/>
      </w:pPr>
      <w:r>
        <w:t>我方已阅读并熟悉此方案，确认方案中包括研究实施的必要内容，明确与本研究方案有关的职责。我同意并将严格按照中国法律法规、赫尔辛基宣言、药物临床试验质量管理规范以及本研究方案履行相关的职责。</w:t>
      </w:r>
    </w:p>
    <w:p w14:paraId="53EAD33E">
      <w:pPr>
        <w:spacing w:line="360" w:lineRule="auto"/>
        <w:ind w:firstLine="482"/>
        <w:rPr>
          <w:b/>
          <w:bCs/>
          <w:lang w:val="zh-TW"/>
        </w:rPr>
      </w:pPr>
    </w:p>
    <w:p w14:paraId="72B6D0AE">
      <w:pPr>
        <w:spacing w:line="360" w:lineRule="auto"/>
        <w:ind w:firstLine="482"/>
        <w:rPr>
          <w:b/>
          <w:bCs/>
          <w:lang w:val="zh-TW"/>
        </w:rPr>
      </w:pPr>
    </w:p>
    <w:p w14:paraId="6A709746">
      <w:pPr>
        <w:spacing w:line="360" w:lineRule="auto"/>
        <w:ind w:firstLine="482"/>
        <w:rPr>
          <w:b/>
          <w:bCs/>
          <w:lang w:val="zh-TW"/>
        </w:rPr>
      </w:pPr>
    </w:p>
    <w:p w14:paraId="7C684034">
      <w:pPr>
        <w:spacing w:line="360" w:lineRule="auto"/>
        <w:ind w:firstLine="482"/>
        <w:rPr>
          <w:b/>
          <w:bCs/>
          <w:lang w:val="zh-TW"/>
        </w:rPr>
      </w:pPr>
    </w:p>
    <w:p w14:paraId="4673FAAF">
      <w:pPr>
        <w:snapToGrid w:val="0"/>
        <w:spacing w:line="360" w:lineRule="auto"/>
        <w:ind w:firstLine="482"/>
        <w:rPr>
          <w:bCs/>
          <w:u w:val="single"/>
        </w:rPr>
      </w:pPr>
      <w:r>
        <w:rPr>
          <w:b/>
          <w:bCs/>
        </w:rPr>
        <w:t>合同研究组织</w:t>
      </w:r>
      <w:r>
        <w:rPr>
          <w:b/>
        </w:rPr>
        <w:t>：</w:t>
      </w:r>
      <w:r>
        <w:rPr>
          <w:rFonts w:hint="eastAsia"/>
          <w:b/>
        </w:rPr>
        <w:t>国信医药科技（北京）有限公司</w:t>
      </w:r>
      <w:r>
        <w:rPr>
          <w:b/>
          <w:u w:val="single"/>
        </w:rPr>
        <w:t xml:space="preserve">  </w:t>
      </w:r>
      <w:r>
        <w:rPr>
          <w:b/>
          <w:bCs/>
          <w:u w:val="single"/>
        </w:rPr>
        <w:t xml:space="preserve">                     </w:t>
      </w:r>
    </w:p>
    <w:p w14:paraId="6A64E5B6">
      <w:pPr>
        <w:snapToGrid w:val="0"/>
        <w:spacing w:line="360" w:lineRule="auto"/>
        <w:ind w:firstLine="480"/>
      </w:pPr>
      <w:r>
        <w:t>项目负责人（签名）：</w:t>
      </w:r>
    </w:p>
    <w:p w14:paraId="3BCD64AA">
      <w:pPr>
        <w:snapToGrid w:val="0"/>
        <w:spacing w:line="360" w:lineRule="auto"/>
        <w:ind w:firstLine="480"/>
      </w:pPr>
      <w:r>
        <w:t>签字日期：            年          月          日</w:t>
      </w:r>
    </w:p>
    <w:p w14:paraId="40FC94F0">
      <w:pPr>
        <w:sectPr>
          <w:pgSz w:w="11900" w:h="16840"/>
          <w:pgMar w:top="1701" w:right="1134" w:bottom="1134" w:left="1418" w:header="907" w:footer="850" w:gutter="0"/>
          <w:cols w:space="720" w:num="1"/>
          <w:docGrid w:type="linesAndChars" w:linePitch="326" w:charSpace="0"/>
        </w:sectPr>
      </w:pPr>
    </w:p>
    <w:p w14:paraId="58EFC77B">
      <w:pPr>
        <w:ind w:left="2849" w:hanging="2838" w:hangingChars="887"/>
        <w:jc w:val="center"/>
        <w:rPr>
          <w:b/>
          <w:sz w:val="32"/>
          <w:szCs w:val="32"/>
        </w:rPr>
      </w:pPr>
      <w:r>
        <w:rPr>
          <w:b/>
          <w:sz w:val="32"/>
          <w:szCs w:val="32"/>
        </w:rPr>
        <w:t>数据管理单位方案签字页</w:t>
      </w:r>
    </w:p>
    <w:p w14:paraId="01C49DB8">
      <w:pPr>
        <w:ind w:left="2849" w:hanging="2838" w:hangingChars="887"/>
        <w:jc w:val="center"/>
        <w:rPr>
          <w:b/>
          <w:sz w:val="32"/>
          <w:szCs w:val="32"/>
        </w:rPr>
      </w:pPr>
    </w:p>
    <w:p w14:paraId="6EE33BC3">
      <w:pPr>
        <w:jc w:val="center"/>
        <w:rPr>
          <w:b/>
          <w:bCs/>
          <w:sz w:val="28"/>
          <w:szCs w:val="28"/>
        </w:rPr>
      </w:pPr>
      <w:r>
        <w:rPr>
          <w:b/>
          <w:bCs/>
          <w:sz w:val="28"/>
          <w:szCs w:val="28"/>
        </w:rPr>
        <w:t>评价INR101注射液PET/CT在用于前列腺癌根治治疗后疑似复发的受试者中诊断有效性和安全性的多中心、开放、前瞻性Ⅲ期临床试验</w:t>
      </w:r>
    </w:p>
    <w:p w14:paraId="1E789038">
      <w:pPr>
        <w:jc w:val="center"/>
        <w:rPr>
          <w:b/>
          <w:bCs/>
          <w:sz w:val="28"/>
          <w:szCs w:val="28"/>
          <w:lang w:val="zh-TW"/>
        </w:rPr>
      </w:pPr>
    </w:p>
    <w:p w14:paraId="12417FCD">
      <w:pPr>
        <w:snapToGrid w:val="0"/>
        <w:spacing w:line="360" w:lineRule="auto"/>
        <w:ind w:firstLine="480"/>
      </w:pPr>
      <w:r>
        <w:t>我方已阅读并熟悉此方案，确认方案中包括研究实施的必要内容，明确与本研究方案有关的职责。我同意并将严格按照中国法律法规、赫尔辛基宣言、药物临床试验质量管理规范以及本研究方案履行相关的职责。</w:t>
      </w:r>
    </w:p>
    <w:p w14:paraId="75D08B93">
      <w:pPr>
        <w:spacing w:line="360" w:lineRule="auto"/>
        <w:ind w:firstLine="482"/>
        <w:rPr>
          <w:b/>
          <w:bCs/>
          <w:lang w:val="zh-TW"/>
        </w:rPr>
      </w:pPr>
    </w:p>
    <w:p w14:paraId="5C8777C4">
      <w:pPr>
        <w:spacing w:line="360" w:lineRule="auto"/>
        <w:ind w:firstLine="482"/>
        <w:rPr>
          <w:b/>
          <w:bCs/>
          <w:lang w:val="zh-TW"/>
        </w:rPr>
      </w:pPr>
    </w:p>
    <w:p w14:paraId="540A93A9">
      <w:pPr>
        <w:spacing w:line="360" w:lineRule="auto"/>
        <w:ind w:firstLine="482"/>
        <w:rPr>
          <w:b/>
          <w:bCs/>
          <w:lang w:val="zh-TW"/>
        </w:rPr>
      </w:pPr>
    </w:p>
    <w:p w14:paraId="34CFA518">
      <w:pPr>
        <w:spacing w:line="360" w:lineRule="auto"/>
        <w:ind w:firstLine="482"/>
        <w:rPr>
          <w:b/>
          <w:bCs/>
          <w:lang w:val="zh-TW"/>
        </w:rPr>
      </w:pPr>
    </w:p>
    <w:p w14:paraId="1CFD565F">
      <w:pPr>
        <w:snapToGrid w:val="0"/>
        <w:spacing w:line="360" w:lineRule="auto"/>
        <w:ind w:firstLine="482"/>
        <w:rPr>
          <w:bCs/>
          <w:u w:val="single"/>
        </w:rPr>
      </w:pPr>
      <w:r>
        <w:rPr>
          <w:b/>
          <w:bCs/>
        </w:rPr>
        <w:t>数据管理单位</w:t>
      </w:r>
      <w:r>
        <w:rPr>
          <w:b/>
        </w:rPr>
        <w:t>：</w:t>
      </w:r>
      <w:r>
        <w:rPr>
          <w:rFonts w:hint="eastAsia"/>
          <w:b/>
        </w:rPr>
        <w:t>蓝气球（北京）医学研究有限公司</w:t>
      </w:r>
      <w:r>
        <w:rPr>
          <w:b/>
          <w:bCs/>
          <w:u w:val="single"/>
        </w:rPr>
        <w:t xml:space="preserve">                           </w:t>
      </w:r>
    </w:p>
    <w:p w14:paraId="3DE74D62">
      <w:pPr>
        <w:snapToGrid w:val="0"/>
        <w:spacing w:line="360" w:lineRule="auto"/>
        <w:ind w:firstLine="480"/>
      </w:pPr>
      <w:r>
        <w:t>数据管理负责人（签名）：</w:t>
      </w:r>
    </w:p>
    <w:p w14:paraId="6D907E64">
      <w:pPr>
        <w:snapToGrid w:val="0"/>
        <w:spacing w:line="360" w:lineRule="auto"/>
        <w:ind w:firstLine="480"/>
      </w:pPr>
      <w:r>
        <w:t>签字日期：            年          月          日</w:t>
      </w:r>
    </w:p>
    <w:p w14:paraId="57462BE4">
      <w:pPr>
        <w:rPr>
          <w:b/>
          <w:bCs/>
          <w:lang w:val="zh-TW"/>
        </w:rPr>
        <w:sectPr>
          <w:pgSz w:w="11900" w:h="16840"/>
          <w:pgMar w:top="1701" w:right="1134" w:bottom="1134" w:left="1418" w:header="907" w:footer="850" w:gutter="0"/>
          <w:cols w:space="720" w:num="1"/>
          <w:docGrid w:type="linesAndChars" w:linePitch="326" w:charSpace="0"/>
        </w:sectPr>
      </w:pPr>
    </w:p>
    <w:p w14:paraId="510D0E80">
      <w:pPr>
        <w:ind w:left="2849" w:hanging="2838" w:hangingChars="887"/>
        <w:jc w:val="center"/>
        <w:rPr>
          <w:b/>
          <w:sz w:val="32"/>
          <w:szCs w:val="32"/>
        </w:rPr>
      </w:pPr>
      <w:r>
        <w:rPr>
          <w:b/>
          <w:sz w:val="32"/>
          <w:szCs w:val="32"/>
        </w:rPr>
        <w:t>统计分析单位方案签字页</w:t>
      </w:r>
    </w:p>
    <w:p w14:paraId="7CF224DB">
      <w:pPr>
        <w:ind w:left="2849" w:hanging="2838" w:hangingChars="887"/>
        <w:jc w:val="center"/>
        <w:rPr>
          <w:b/>
          <w:sz w:val="32"/>
          <w:szCs w:val="32"/>
        </w:rPr>
      </w:pPr>
    </w:p>
    <w:p w14:paraId="707CD606">
      <w:pPr>
        <w:jc w:val="center"/>
        <w:rPr>
          <w:b/>
          <w:bCs/>
          <w:sz w:val="28"/>
          <w:szCs w:val="28"/>
        </w:rPr>
      </w:pPr>
      <w:r>
        <w:rPr>
          <w:b/>
          <w:bCs/>
          <w:sz w:val="28"/>
          <w:szCs w:val="28"/>
        </w:rPr>
        <w:t>评价INR101注射液PET/CT在用于前列腺癌根治治疗后疑似复发的受试者中诊断有效性和安全性的多中心、开放、前瞻性Ⅲ期临床试验</w:t>
      </w:r>
    </w:p>
    <w:p w14:paraId="002B96C0">
      <w:pPr>
        <w:pStyle w:val="3"/>
        <w:spacing w:line="360" w:lineRule="auto"/>
        <w:ind w:firstLine="562"/>
        <w:jc w:val="center"/>
        <w:rPr>
          <w:rFonts w:ascii="Times New Roman" w:hAnsi="Times New Roman" w:cs="Times New Roman"/>
          <w:b/>
          <w:bCs/>
          <w:color w:val="auto"/>
          <w:sz w:val="28"/>
          <w:szCs w:val="28"/>
        </w:rPr>
      </w:pPr>
    </w:p>
    <w:p w14:paraId="2342ECE3">
      <w:pPr>
        <w:ind w:firstLine="482"/>
        <w:rPr>
          <w:b/>
          <w:bCs/>
          <w:lang w:val="zh-TW"/>
        </w:rPr>
      </w:pPr>
    </w:p>
    <w:p w14:paraId="59868F97">
      <w:pPr>
        <w:snapToGrid w:val="0"/>
        <w:spacing w:line="360" w:lineRule="auto"/>
        <w:ind w:firstLine="480"/>
      </w:pPr>
      <w:r>
        <w:t>我方已阅读并熟悉此方案，确认方案中包括研究实施的必要内容，明确与本研究方案有关的职责。我同意并将严格按照中国法律法规、赫尔辛基宣言、药物临床试验质量管理规范以及本研究方案履行相关的职责。</w:t>
      </w:r>
    </w:p>
    <w:p w14:paraId="1A3F74E4">
      <w:pPr>
        <w:spacing w:line="360" w:lineRule="auto"/>
        <w:ind w:firstLine="482"/>
        <w:rPr>
          <w:b/>
          <w:bCs/>
          <w:lang w:val="zh-TW"/>
        </w:rPr>
      </w:pPr>
    </w:p>
    <w:p w14:paraId="0F740AED">
      <w:pPr>
        <w:spacing w:line="360" w:lineRule="auto"/>
        <w:ind w:firstLine="482"/>
        <w:rPr>
          <w:b/>
          <w:bCs/>
          <w:lang w:val="zh-TW"/>
        </w:rPr>
      </w:pPr>
    </w:p>
    <w:p w14:paraId="71D3CD22">
      <w:pPr>
        <w:spacing w:line="360" w:lineRule="auto"/>
        <w:ind w:firstLine="482"/>
        <w:rPr>
          <w:b/>
          <w:bCs/>
          <w:lang w:val="zh-TW"/>
        </w:rPr>
      </w:pPr>
    </w:p>
    <w:p w14:paraId="6571838A">
      <w:pPr>
        <w:spacing w:line="360" w:lineRule="auto"/>
        <w:ind w:firstLine="482"/>
        <w:rPr>
          <w:b/>
          <w:bCs/>
          <w:lang w:val="zh-TW"/>
        </w:rPr>
      </w:pPr>
    </w:p>
    <w:p w14:paraId="4ED03E71">
      <w:pPr>
        <w:snapToGrid w:val="0"/>
        <w:spacing w:line="360" w:lineRule="auto"/>
        <w:ind w:firstLine="482"/>
        <w:rPr>
          <w:bCs/>
          <w:u w:val="single"/>
        </w:rPr>
      </w:pPr>
      <w:r>
        <w:rPr>
          <w:b/>
          <w:bCs/>
        </w:rPr>
        <w:t>统计分析单位</w:t>
      </w:r>
      <w:r>
        <w:rPr>
          <w:bCs/>
        </w:rPr>
        <w:t>：</w:t>
      </w:r>
      <w:r>
        <w:rPr>
          <w:b/>
          <w:bCs/>
          <w:u w:val="single"/>
        </w:rPr>
        <w:t xml:space="preserve"> </w:t>
      </w:r>
      <w:r>
        <w:rPr>
          <w:rFonts w:hint="eastAsia"/>
          <w:b/>
          <w:bCs/>
          <w:u w:val="single"/>
        </w:rPr>
        <w:t>北京大学临床研究所</w:t>
      </w:r>
      <w:r>
        <w:rPr>
          <w:b/>
          <w:bCs/>
          <w:u w:val="single"/>
        </w:rPr>
        <w:t xml:space="preserve">                          </w:t>
      </w:r>
    </w:p>
    <w:p w14:paraId="25F851D0">
      <w:pPr>
        <w:snapToGrid w:val="0"/>
        <w:spacing w:line="360" w:lineRule="auto"/>
        <w:ind w:firstLine="480"/>
      </w:pPr>
      <w:r>
        <w:t>统计分析负责人（签名）：</w:t>
      </w:r>
    </w:p>
    <w:p w14:paraId="42676D75">
      <w:pPr>
        <w:snapToGrid w:val="0"/>
        <w:spacing w:line="360" w:lineRule="auto"/>
        <w:ind w:firstLine="480"/>
      </w:pPr>
      <w:r>
        <w:t>签字日期：            年          月          日</w:t>
      </w:r>
    </w:p>
    <w:p w14:paraId="4009BF09">
      <w:pPr>
        <w:rPr>
          <w:b/>
          <w:bCs/>
          <w:lang w:val="zh-TW"/>
        </w:rPr>
        <w:sectPr>
          <w:pgSz w:w="11900" w:h="16840"/>
          <w:pgMar w:top="1701" w:right="1134" w:bottom="1134" w:left="1418" w:header="907" w:footer="850" w:gutter="0"/>
          <w:cols w:space="720" w:num="1"/>
          <w:docGrid w:type="linesAndChars" w:linePitch="326" w:charSpace="0"/>
        </w:sectPr>
      </w:pPr>
    </w:p>
    <w:p w14:paraId="48351DF6">
      <w:pPr>
        <w:rPr>
          <w:b/>
          <w:bCs/>
          <w:lang w:val="zh-TW"/>
        </w:rPr>
      </w:pPr>
    </w:p>
    <w:p w14:paraId="38CB423B">
      <w:pPr>
        <w:widowControl w:val="0"/>
        <w:autoSpaceDE w:val="0"/>
        <w:autoSpaceDN w:val="0"/>
        <w:adjustRightInd w:val="0"/>
        <w:snapToGrid w:val="0"/>
        <w:spacing w:after="240" w:line="360" w:lineRule="auto"/>
        <w:jc w:val="center"/>
        <w:textAlignment w:val="center"/>
        <w:rPr>
          <w:b/>
          <w:bCs/>
          <w:sz w:val="30"/>
          <w:szCs w:val="30"/>
        </w:rPr>
      </w:pPr>
      <w:r>
        <w:rPr>
          <w:b/>
          <w:bCs/>
          <w:sz w:val="30"/>
          <w:szCs w:val="30"/>
        </w:rPr>
        <w:t>各参与单位地址与联系方式</w:t>
      </w:r>
    </w:p>
    <w:p w14:paraId="68B89F6F">
      <w:pPr>
        <w:widowControl w:val="0"/>
        <w:autoSpaceDE w:val="0"/>
        <w:autoSpaceDN w:val="0"/>
        <w:adjustRightInd w:val="0"/>
        <w:snapToGrid w:val="0"/>
        <w:spacing w:line="360" w:lineRule="auto"/>
        <w:jc w:val="both"/>
        <w:textAlignment w:val="center"/>
        <w:rPr>
          <w:b/>
          <w:bCs/>
        </w:rPr>
      </w:pPr>
      <w:r>
        <w:rPr>
          <w:b/>
          <w:bCs/>
        </w:rPr>
        <w:t>一、申办者</w:t>
      </w:r>
    </w:p>
    <w:p w14:paraId="0DC9428A">
      <w:pPr>
        <w:widowControl w:val="0"/>
        <w:autoSpaceDE w:val="0"/>
        <w:autoSpaceDN w:val="0"/>
        <w:adjustRightInd w:val="0"/>
        <w:snapToGrid w:val="0"/>
        <w:spacing w:line="360" w:lineRule="auto"/>
        <w:ind w:firstLine="420"/>
        <w:jc w:val="both"/>
        <w:textAlignment w:val="center"/>
        <w:rPr>
          <w:bCs/>
        </w:rPr>
      </w:pPr>
      <w:r>
        <w:rPr>
          <w:bCs/>
        </w:rPr>
        <w:t>公司名称：云核医药（天津）有限公司</w:t>
      </w:r>
    </w:p>
    <w:p w14:paraId="7D0A5A1B">
      <w:pPr>
        <w:widowControl w:val="0"/>
        <w:autoSpaceDE w:val="0"/>
        <w:autoSpaceDN w:val="0"/>
        <w:adjustRightInd w:val="0"/>
        <w:snapToGrid w:val="0"/>
        <w:spacing w:line="360" w:lineRule="auto"/>
        <w:ind w:firstLine="420"/>
        <w:jc w:val="both"/>
        <w:textAlignment w:val="center"/>
        <w:rPr>
          <w:bCs/>
        </w:rPr>
      </w:pPr>
      <w:r>
        <w:rPr>
          <w:bCs/>
        </w:rPr>
        <w:t xml:space="preserve">项目负责人：何东峰 </w:t>
      </w:r>
    </w:p>
    <w:p w14:paraId="112FC3EF">
      <w:pPr>
        <w:widowControl w:val="0"/>
        <w:autoSpaceDE w:val="0"/>
        <w:autoSpaceDN w:val="0"/>
        <w:adjustRightInd w:val="0"/>
        <w:snapToGrid w:val="0"/>
        <w:spacing w:line="360" w:lineRule="auto"/>
        <w:ind w:firstLine="420"/>
        <w:jc w:val="both"/>
        <w:textAlignment w:val="center"/>
        <w:rPr>
          <w:bCs/>
        </w:rPr>
      </w:pPr>
      <w:r>
        <w:rPr>
          <w:bCs/>
        </w:rPr>
        <w:t xml:space="preserve">电话：13146705712 </w:t>
      </w:r>
    </w:p>
    <w:p w14:paraId="707C60B1">
      <w:pPr>
        <w:widowControl w:val="0"/>
        <w:autoSpaceDE w:val="0"/>
        <w:autoSpaceDN w:val="0"/>
        <w:adjustRightInd w:val="0"/>
        <w:snapToGrid w:val="0"/>
        <w:spacing w:line="360" w:lineRule="auto"/>
        <w:ind w:firstLine="420"/>
        <w:jc w:val="both"/>
        <w:textAlignment w:val="center"/>
        <w:rPr>
          <w:bCs/>
        </w:rPr>
      </w:pPr>
      <w:r>
        <w:rPr>
          <w:bCs/>
        </w:rPr>
        <w:t>联系地址：</w:t>
      </w:r>
      <w:r>
        <w:rPr>
          <w:rFonts w:hint="eastAsia"/>
          <w:bCs/>
        </w:rPr>
        <w:t>天津空港经济区汇研道118号10号厂房</w:t>
      </w:r>
      <w:r>
        <w:rPr>
          <w:bCs/>
        </w:rPr>
        <w:t xml:space="preserve"> </w:t>
      </w:r>
    </w:p>
    <w:p w14:paraId="6E966155">
      <w:pPr>
        <w:widowControl w:val="0"/>
        <w:autoSpaceDE w:val="0"/>
        <w:autoSpaceDN w:val="0"/>
        <w:adjustRightInd w:val="0"/>
        <w:snapToGrid w:val="0"/>
        <w:spacing w:line="360" w:lineRule="auto"/>
        <w:jc w:val="both"/>
        <w:textAlignment w:val="center"/>
        <w:rPr>
          <w:b/>
          <w:bCs/>
        </w:rPr>
      </w:pPr>
      <w:r>
        <w:rPr>
          <w:b/>
          <w:bCs/>
        </w:rPr>
        <w:t>二、组长单位</w:t>
      </w:r>
    </w:p>
    <w:p w14:paraId="1A20DD9C">
      <w:pPr>
        <w:widowControl w:val="0"/>
        <w:autoSpaceDE w:val="0"/>
        <w:autoSpaceDN w:val="0"/>
        <w:adjustRightInd w:val="0"/>
        <w:snapToGrid w:val="0"/>
        <w:spacing w:line="360" w:lineRule="auto"/>
        <w:ind w:firstLine="420"/>
        <w:jc w:val="both"/>
        <w:textAlignment w:val="center"/>
        <w:rPr>
          <w:bCs/>
        </w:rPr>
      </w:pPr>
      <w:r>
        <w:rPr>
          <w:bCs/>
        </w:rPr>
        <w:t>机构名称：复旦大学附属中山医院</w:t>
      </w:r>
    </w:p>
    <w:p w14:paraId="79E27A84">
      <w:pPr>
        <w:widowControl w:val="0"/>
        <w:autoSpaceDE w:val="0"/>
        <w:autoSpaceDN w:val="0"/>
        <w:adjustRightInd w:val="0"/>
        <w:snapToGrid w:val="0"/>
        <w:spacing w:line="360" w:lineRule="auto"/>
        <w:ind w:firstLine="420"/>
        <w:jc w:val="both"/>
        <w:textAlignment w:val="center"/>
        <w:rPr>
          <w:bCs/>
        </w:rPr>
      </w:pPr>
      <w:r>
        <w:rPr>
          <w:bCs/>
        </w:rPr>
        <w:t>主要研究者：石洪成</w:t>
      </w:r>
      <w:r>
        <w:rPr>
          <w:rFonts w:hint="eastAsia"/>
          <w:bCs/>
        </w:rPr>
        <w:t>/郭剑明</w:t>
      </w:r>
    </w:p>
    <w:p w14:paraId="008319C9">
      <w:pPr>
        <w:widowControl w:val="0"/>
        <w:autoSpaceDE w:val="0"/>
        <w:autoSpaceDN w:val="0"/>
        <w:adjustRightInd w:val="0"/>
        <w:snapToGrid w:val="0"/>
        <w:spacing w:line="360" w:lineRule="auto"/>
        <w:ind w:firstLine="420"/>
        <w:jc w:val="both"/>
        <w:textAlignment w:val="center"/>
        <w:rPr>
          <w:bCs/>
        </w:rPr>
      </w:pPr>
      <w:r>
        <w:rPr>
          <w:bCs/>
        </w:rPr>
        <w:t>职称和职务：复旦大学附属中山医院核医学科主任</w:t>
      </w:r>
      <w:r>
        <w:rPr>
          <w:rFonts w:hint="eastAsia"/>
          <w:bCs/>
        </w:rPr>
        <w:t>/泌尿外科主任</w:t>
      </w:r>
    </w:p>
    <w:p w14:paraId="4080E300">
      <w:pPr>
        <w:widowControl w:val="0"/>
        <w:autoSpaceDE w:val="0"/>
        <w:autoSpaceDN w:val="0"/>
        <w:adjustRightInd w:val="0"/>
        <w:snapToGrid w:val="0"/>
        <w:spacing w:line="360" w:lineRule="auto"/>
        <w:ind w:firstLine="420"/>
        <w:jc w:val="both"/>
        <w:textAlignment w:val="center"/>
        <w:rPr>
          <w:bCs/>
        </w:rPr>
      </w:pPr>
      <w:r>
        <w:rPr>
          <w:bCs/>
        </w:rPr>
        <w:t>电话：13681971579</w:t>
      </w:r>
      <w:r>
        <w:rPr>
          <w:rFonts w:hint="eastAsia"/>
          <w:bCs/>
        </w:rPr>
        <w:t>/13901676616</w:t>
      </w:r>
    </w:p>
    <w:p w14:paraId="2B914C92">
      <w:pPr>
        <w:widowControl w:val="0"/>
        <w:autoSpaceDE w:val="0"/>
        <w:autoSpaceDN w:val="0"/>
        <w:adjustRightInd w:val="0"/>
        <w:snapToGrid w:val="0"/>
        <w:spacing w:line="360" w:lineRule="auto"/>
        <w:ind w:firstLine="420"/>
        <w:jc w:val="both"/>
        <w:textAlignment w:val="center"/>
        <w:rPr>
          <w:bCs/>
        </w:rPr>
      </w:pPr>
      <w:r>
        <w:rPr>
          <w:bCs/>
        </w:rPr>
        <w:t>联系地址：上海市徐汇区枫林路180号</w:t>
      </w:r>
    </w:p>
    <w:p w14:paraId="00334C9E">
      <w:pPr>
        <w:widowControl w:val="0"/>
        <w:autoSpaceDE w:val="0"/>
        <w:autoSpaceDN w:val="0"/>
        <w:adjustRightInd w:val="0"/>
        <w:snapToGrid w:val="0"/>
        <w:spacing w:line="360" w:lineRule="auto"/>
        <w:jc w:val="both"/>
        <w:textAlignment w:val="center"/>
        <w:rPr>
          <w:b/>
          <w:bCs/>
        </w:rPr>
      </w:pPr>
      <w:r>
        <w:rPr>
          <w:b/>
          <w:bCs/>
        </w:rPr>
        <w:t>三、合同研究组织</w:t>
      </w:r>
    </w:p>
    <w:p w14:paraId="4B0EF921">
      <w:pPr>
        <w:widowControl w:val="0"/>
        <w:autoSpaceDE w:val="0"/>
        <w:autoSpaceDN w:val="0"/>
        <w:adjustRightInd w:val="0"/>
        <w:snapToGrid w:val="0"/>
        <w:spacing w:line="360" w:lineRule="auto"/>
        <w:ind w:firstLine="420"/>
        <w:jc w:val="both"/>
        <w:textAlignment w:val="center"/>
        <w:rPr>
          <w:bCs/>
        </w:rPr>
      </w:pPr>
      <w:r>
        <w:rPr>
          <w:bCs/>
        </w:rPr>
        <w:t>公司名称：</w:t>
      </w:r>
      <w:r>
        <w:rPr>
          <w:rFonts w:hint="eastAsia"/>
          <w:bCs/>
        </w:rPr>
        <w:t>国信医药科技（北京）有限公司</w:t>
      </w:r>
    </w:p>
    <w:p w14:paraId="18783584">
      <w:pPr>
        <w:widowControl w:val="0"/>
        <w:autoSpaceDE w:val="0"/>
        <w:autoSpaceDN w:val="0"/>
        <w:adjustRightInd w:val="0"/>
        <w:snapToGrid w:val="0"/>
        <w:spacing w:line="360" w:lineRule="auto"/>
        <w:ind w:firstLine="420"/>
        <w:jc w:val="both"/>
        <w:textAlignment w:val="center"/>
        <w:rPr>
          <w:bCs/>
        </w:rPr>
      </w:pPr>
      <w:r>
        <w:rPr>
          <w:bCs/>
        </w:rPr>
        <w:t>项目负责人：</w:t>
      </w:r>
      <w:r>
        <w:rPr>
          <w:rFonts w:hint="eastAsia"/>
          <w:bCs/>
        </w:rPr>
        <w:t>王秋雪</w:t>
      </w:r>
    </w:p>
    <w:p w14:paraId="56A9D89A">
      <w:pPr>
        <w:widowControl w:val="0"/>
        <w:autoSpaceDE w:val="0"/>
        <w:autoSpaceDN w:val="0"/>
        <w:adjustRightInd w:val="0"/>
        <w:snapToGrid w:val="0"/>
        <w:spacing w:line="360" w:lineRule="auto"/>
        <w:ind w:firstLine="420"/>
        <w:jc w:val="both"/>
        <w:textAlignment w:val="center"/>
        <w:rPr>
          <w:bCs/>
        </w:rPr>
      </w:pPr>
      <w:r>
        <w:rPr>
          <w:bCs/>
        </w:rPr>
        <w:t>电话：</w:t>
      </w:r>
      <w:r>
        <w:rPr>
          <w:rFonts w:hint="eastAsia"/>
          <w:bCs/>
        </w:rPr>
        <w:t>17310416797</w:t>
      </w:r>
    </w:p>
    <w:p w14:paraId="4CE76901">
      <w:pPr>
        <w:widowControl w:val="0"/>
        <w:autoSpaceDE w:val="0"/>
        <w:autoSpaceDN w:val="0"/>
        <w:adjustRightInd w:val="0"/>
        <w:snapToGrid w:val="0"/>
        <w:spacing w:line="360" w:lineRule="auto"/>
        <w:ind w:firstLine="420"/>
        <w:jc w:val="both"/>
        <w:textAlignment w:val="center"/>
        <w:rPr>
          <w:bCs/>
        </w:rPr>
      </w:pPr>
      <w:r>
        <w:rPr>
          <w:bCs/>
        </w:rPr>
        <w:t>联系地址：</w:t>
      </w:r>
      <w:r>
        <w:rPr>
          <w:rFonts w:hint="eastAsia" w:ascii="宋体" w:hAnsi="宋体" w:cs="宋体"/>
          <w:szCs w:val="24"/>
        </w:rPr>
        <w:t>北京市经济技术开发区（大兴）中科电商谷A9号楼15层</w:t>
      </w:r>
    </w:p>
    <w:p w14:paraId="64B43C21">
      <w:pPr>
        <w:widowControl w:val="0"/>
        <w:autoSpaceDE w:val="0"/>
        <w:autoSpaceDN w:val="0"/>
        <w:adjustRightInd w:val="0"/>
        <w:snapToGrid w:val="0"/>
        <w:spacing w:line="360" w:lineRule="auto"/>
        <w:jc w:val="both"/>
        <w:textAlignment w:val="center"/>
        <w:rPr>
          <w:b/>
          <w:bCs/>
        </w:rPr>
      </w:pPr>
      <w:r>
        <w:rPr>
          <w:b/>
          <w:bCs/>
        </w:rPr>
        <w:t>四、数据管理单位</w:t>
      </w:r>
    </w:p>
    <w:p w14:paraId="7173A5FC">
      <w:pPr>
        <w:widowControl w:val="0"/>
        <w:autoSpaceDE w:val="0"/>
        <w:autoSpaceDN w:val="0"/>
        <w:adjustRightInd w:val="0"/>
        <w:snapToGrid w:val="0"/>
        <w:spacing w:line="360" w:lineRule="auto"/>
        <w:ind w:firstLine="420"/>
        <w:jc w:val="both"/>
        <w:textAlignment w:val="center"/>
        <w:rPr>
          <w:bCs/>
        </w:rPr>
      </w:pPr>
      <w:r>
        <w:rPr>
          <w:bCs/>
        </w:rPr>
        <w:t>公司名称：</w:t>
      </w:r>
      <w:r>
        <w:rPr>
          <w:rFonts w:hint="eastAsia"/>
          <w:bCs/>
        </w:rPr>
        <w:t>蓝气球（北京）医学研究有限公司</w:t>
      </w:r>
    </w:p>
    <w:p w14:paraId="7CB3B93E">
      <w:pPr>
        <w:widowControl w:val="0"/>
        <w:autoSpaceDE w:val="0"/>
        <w:autoSpaceDN w:val="0"/>
        <w:adjustRightInd w:val="0"/>
        <w:snapToGrid w:val="0"/>
        <w:spacing w:line="360" w:lineRule="auto"/>
        <w:ind w:firstLine="420"/>
        <w:jc w:val="both"/>
        <w:textAlignment w:val="center"/>
        <w:rPr>
          <w:bCs/>
        </w:rPr>
      </w:pPr>
      <w:r>
        <w:rPr>
          <w:bCs/>
        </w:rPr>
        <w:t>项目负责人：</w:t>
      </w:r>
      <w:r>
        <w:rPr>
          <w:rFonts w:hint="eastAsia"/>
          <w:bCs/>
        </w:rPr>
        <w:t>王斌</w:t>
      </w:r>
    </w:p>
    <w:p w14:paraId="15D673BD">
      <w:pPr>
        <w:widowControl w:val="0"/>
        <w:autoSpaceDE w:val="0"/>
        <w:autoSpaceDN w:val="0"/>
        <w:adjustRightInd w:val="0"/>
        <w:snapToGrid w:val="0"/>
        <w:spacing w:line="360" w:lineRule="auto"/>
        <w:ind w:firstLine="420"/>
        <w:jc w:val="both"/>
        <w:textAlignment w:val="center"/>
        <w:rPr>
          <w:bCs/>
        </w:rPr>
      </w:pPr>
      <w:r>
        <w:rPr>
          <w:bCs/>
        </w:rPr>
        <w:t>电话：</w:t>
      </w:r>
      <w:r>
        <w:rPr>
          <w:rFonts w:hint="eastAsia"/>
          <w:bCs/>
        </w:rPr>
        <w:t>18962973623</w:t>
      </w:r>
    </w:p>
    <w:p w14:paraId="5F22E902">
      <w:pPr>
        <w:widowControl w:val="0"/>
        <w:autoSpaceDE w:val="0"/>
        <w:autoSpaceDN w:val="0"/>
        <w:adjustRightInd w:val="0"/>
        <w:snapToGrid w:val="0"/>
        <w:spacing w:line="360" w:lineRule="auto"/>
        <w:ind w:firstLine="420"/>
        <w:jc w:val="both"/>
        <w:textAlignment w:val="center"/>
      </w:pPr>
      <w:r>
        <w:rPr>
          <w:bCs/>
        </w:rPr>
        <w:t>联系地址：</w:t>
      </w:r>
      <w:r>
        <w:rPr>
          <w:rFonts w:hint="eastAsia"/>
          <w:bCs/>
        </w:rPr>
        <w:t>北京市经济技术开发区科创十三街18号院锋创科技园5号楼12层1201室</w:t>
      </w:r>
    </w:p>
    <w:p w14:paraId="5951D947">
      <w:pPr>
        <w:widowControl w:val="0"/>
        <w:autoSpaceDE w:val="0"/>
        <w:autoSpaceDN w:val="0"/>
        <w:adjustRightInd w:val="0"/>
        <w:snapToGrid w:val="0"/>
        <w:spacing w:line="360" w:lineRule="auto"/>
        <w:jc w:val="both"/>
        <w:textAlignment w:val="center"/>
        <w:rPr>
          <w:b/>
          <w:bCs/>
        </w:rPr>
      </w:pPr>
      <w:r>
        <w:rPr>
          <w:b/>
          <w:bCs/>
        </w:rPr>
        <w:t>五、统计分析单位</w:t>
      </w:r>
    </w:p>
    <w:p w14:paraId="340953AF">
      <w:pPr>
        <w:widowControl w:val="0"/>
        <w:autoSpaceDE w:val="0"/>
        <w:autoSpaceDN w:val="0"/>
        <w:adjustRightInd w:val="0"/>
        <w:snapToGrid w:val="0"/>
        <w:spacing w:line="360" w:lineRule="auto"/>
        <w:ind w:firstLine="420"/>
        <w:jc w:val="both"/>
        <w:textAlignment w:val="center"/>
        <w:rPr>
          <w:bCs/>
        </w:rPr>
      </w:pPr>
      <w:r>
        <w:rPr>
          <w:bCs/>
        </w:rPr>
        <w:t>公司名称：</w:t>
      </w:r>
      <w:r>
        <w:rPr>
          <w:rFonts w:hint="eastAsia"/>
          <w:bCs/>
        </w:rPr>
        <w:t>北京大学临床研究所</w:t>
      </w:r>
    </w:p>
    <w:p w14:paraId="64DC20B6">
      <w:pPr>
        <w:widowControl w:val="0"/>
        <w:autoSpaceDE w:val="0"/>
        <w:autoSpaceDN w:val="0"/>
        <w:adjustRightInd w:val="0"/>
        <w:snapToGrid w:val="0"/>
        <w:spacing w:line="360" w:lineRule="auto"/>
        <w:ind w:firstLine="420"/>
        <w:jc w:val="both"/>
        <w:textAlignment w:val="center"/>
        <w:rPr>
          <w:bCs/>
        </w:rPr>
      </w:pPr>
      <w:r>
        <w:rPr>
          <w:bCs/>
        </w:rPr>
        <w:t>项目负责人：</w:t>
      </w:r>
      <w:r>
        <w:rPr>
          <w:rFonts w:hint="eastAsia"/>
          <w:bCs/>
        </w:rPr>
        <w:t>姚晨</w:t>
      </w:r>
    </w:p>
    <w:p w14:paraId="6BDFD289">
      <w:pPr>
        <w:widowControl w:val="0"/>
        <w:autoSpaceDE w:val="0"/>
        <w:autoSpaceDN w:val="0"/>
        <w:adjustRightInd w:val="0"/>
        <w:snapToGrid w:val="0"/>
        <w:spacing w:line="360" w:lineRule="auto"/>
        <w:ind w:firstLine="420"/>
        <w:jc w:val="both"/>
        <w:textAlignment w:val="center"/>
        <w:rPr>
          <w:bCs/>
        </w:rPr>
      </w:pPr>
      <w:r>
        <w:rPr>
          <w:bCs/>
        </w:rPr>
        <w:t>电话：</w:t>
      </w:r>
      <w:r>
        <w:rPr>
          <w:rFonts w:hint="eastAsia"/>
          <w:bCs/>
        </w:rPr>
        <w:t>13801378685</w:t>
      </w:r>
    </w:p>
    <w:p w14:paraId="049CCB9B">
      <w:pPr>
        <w:widowControl w:val="0"/>
        <w:autoSpaceDE w:val="0"/>
        <w:autoSpaceDN w:val="0"/>
        <w:adjustRightInd w:val="0"/>
        <w:snapToGrid w:val="0"/>
        <w:spacing w:line="360" w:lineRule="auto"/>
        <w:ind w:firstLine="420"/>
        <w:jc w:val="both"/>
        <w:textAlignment w:val="center"/>
      </w:pPr>
      <w:r>
        <w:rPr>
          <w:bCs/>
        </w:rPr>
        <w:t>联系地址：</w:t>
      </w:r>
      <w:r>
        <w:rPr>
          <w:rFonts w:hint="eastAsia"/>
          <w:bCs/>
        </w:rPr>
        <w:t>北京市海淀区学院路38号北京大学医学部</w:t>
      </w:r>
    </w:p>
    <w:p w14:paraId="0E3BBA46">
      <w:pPr>
        <w:widowControl w:val="0"/>
        <w:autoSpaceDE w:val="0"/>
        <w:autoSpaceDN w:val="0"/>
        <w:adjustRightInd w:val="0"/>
        <w:snapToGrid w:val="0"/>
        <w:spacing w:line="360" w:lineRule="auto"/>
        <w:ind w:firstLine="420"/>
        <w:jc w:val="both"/>
        <w:textAlignment w:val="center"/>
        <w:rPr>
          <w:bCs/>
        </w:rPr>
      </w:pPr>
    </w:p>
    <w:p w14:paraId="2465D56A">
      <w:pPr>
        <w:pStyle w:val="32"/>
        <w:tabs>
          <w:tab w:val="right" w:leader="dot" w:pos="9338"/>
        </w:tabs>
        <w:ind w:left="482" w:hanging="482"/>
        <w:rPr>
          <w:u w:color="000000"/>
          <w:lang w:val="zh-CN"/>
        </w:rPr>
      </w:pPr>
      <w:r>
        <w:rPr>
          <w:b/>
          <w:bCs/>
          <w:lang w:val="zh-CN"/>
        </w:rPr>
        <w:br w:type="page"/>
      </w:r>
    </w:p>
    <w:p w14:paraId="71B91002">
      <w:pPr>
        <w:pStyle w:val="3"/>
        <w:keepNext/>
        <w:keepLines/>
        <w:pageBreakBefore/>
        <w:adjustRightInd w:val="0"/>
        <w:spacing w:line="360" w:lineRule="auto"/>
        <w:jc w:val="center"/>
        <w:outlineLvl w:val="0"/>
        <w:rPr>
          <w:rFonts w:ascii="Times New Roman" w:hAnsi="Times New Roman" w:cs="Times New Roman"/>
          <w:b/>
          <w:bCs/>
          <w:caps/>
          <w:color w:val="auto"/>
          <w:sz w:val="24"/>
          <w:szCs w:val="24"/>
        </w:rPr>
      </w:pPr>
      <w:bookmarkStart w:id="1" w:name="_Toc106375049"/>
      <w:bookmarkStart w:id="2" w:name="_Toc22996"/>
      <w:bookmarkStart w:id="3" w:name="_Toc25100"/>
      <w:bookmarkStart w:id="4" w:name="_Toc4730"/>
      <w:bookmarkStart w:id="5" w:name="_Toc61186411"/>
      <w:bookmarkStart w:id="6" w:name="_Toc183522957"/>
      <w:r>
        <w:rPr>
          <w:rFonts w:ascii="Times New Roman" w:hAnsi="Times New Roman" w:cs="Times New Roman"/>
          <w:b/>
          <w:bCs/>
          <w:caps/>
          <w:color w:val="auto"/>
          <w:sz w:val="24"/>
          <w:szCs w:val="24"/>
        </w:rPr>
        <w:t>目录</w:t>
      </w:r>
      <w:bookmarkEnd w:id="1"/>
      <w:bookmarkEnd w:id="2"/>
      <w:bookmarkEnd w:id="3"/>
      <w:bookmarkEnd w:id="4"/>
      <w:bookmarkEnd w:id="5"/>
      <w:bookmarkEnd w:id="6"/>
    </w:p>
    <w:p w14:paraId="741C5084">
      <w:pPr>
        <w:pStyle w:val="28"/>
        <w:tabs>
          <w:tab w:val="right" w:leader="dot" w:pos="9348"/>
        </w:tabs>
      </w:pPr>
      <w:r>
        <w:rPr>
          <w:rFonts w:cs="Times New Roman"/>
          <w:caps w:val="0"/>
          <w:szCs w:val="24"/>
        </w:rPr>
        <w:fldChar w:fldCharType="begin"/>
      </w:r>
      <w:r>
        <w:rPr>
          <w:rFonts w:cs="Times New Roman"/>
          <w:szCs w:val="24"/>
        </w:rPr>
        <w:instrText xml:space="preserve"> TOC \o "1-3" \h \z \u </w:instrText>
      </w:r>
      <w:r>
        <w:rPr>
          <w:rFonts w:cs="Times New Roman"/>
          <w:caps w:val="0"/>
          <w:szCs w:val="24"/>
        </w:rPr>
        <w:fldChar w:fldCharType="separate"/>
      </w:r>
      <w:r>
        <w:fldChar w:fldCharType="begin"/>
      </w:r>
      <w:r>
        <w:instrText xml:space="preserve"> HYPERLINK \l "_Toc4730" </w:instrText>
      </w:r>
      <w:r>
        <w:fldChar w:fldCharType="separate"/>
      </w:r>
      <w:r>
        <w:rPr>
          <w:rFonts w:cs="Times New Roman"/>
          <w:szCs w:val="24"/>
        </w:rPr>
        <w:t>目录</w:t>
      </w:r>
      <w:r>
        <w:tab/>
      </w:r>
      <w:r>
        <w:fldChar w:fldCharType="begin"/>
      </w:r>
      <w:r>
        <w:instrText xml:space="preserve"> PAGEREF _Toc4730 \h </w:instrText>
      </w:r>
      <w:r>
        <w:fldChar w:fldCharType="separate"/>
      </w:r>
      <w:r>
        <w:t>9</w:t>
      </w:r>
      <w:r>
        <w:fldChar w:fldCharType="end"/>
      </w:r>
      <w:r>
        <w:fldChar w:fldCharType="end"/>
      </w:r>
    </w:p>
    <w:p w14:paraId="77110B7B">
      <w:pPr>
        <w:pStyle w:val="28"/>
        <w:tabs>
          <w:tab w:val="right" w:leader="dot" w:pos="9348"/>
        </w:tabs>
      </w:pPr>
      <w:r>
        <w:fldChar w:fldCharType="begin"/>
      </w:r>
      <w:r>
        <w:instrText xml:space="preserve"> HYPERLINK \l "_Toc28672" </w:instrText>
      </w:r>
      <w:r>
        <w:fldChar w:fldCharType="separate"/>
      </w:r>
      <w:r>
        <w:rPr>
          <w:rFonts w:cs="Times New Roman"/>
          <w:szCs w:val="24"/>
        </w:rPr>
        <w:t>表目录</w:t>
      </w:r>
      <w:r>
        <w:tab/>
      </w:r>
      <w:r>
        <w:fldChar w:fldCharType="begin"/>
      </w:r>
      <w:r>
        <w:instrText xml:space="preserve"> PAGEREF _Toc28672 \h </w:instrText>
      </w:r>
      <w:r>
        <w:fldChar w:fldCharType="separate"/>
      </w:r>
      <w:r>
        <w:t>13</w:t>
      </w:r>
      <w:r>
        <w:fldChar w:fldCharType="end"/>
      </w:r>
      <w:r>
        <w:fldChar w:fldCharType="end"/>
      </w:r>
    </w:p>
    <w:p w14:paraId="3C4D4A1C">
      <w:pPr>
        <w:pStyle w:val="28"/>
        <w:tabs>
          <w:tab w:val="right" w:leader="dot" w:pos="9348"/>
        </w:tabs>
      </w:pPr>
      <w:r>
        <w:fldChar w:fldCharType="begin"/>
      </w:r>
      <w:r>
        <w:instrText xml:space="preserve"> HYPERLINK \l "_Toc14248" </w:instrText>
      </w:r>
      <w:r>
        <w:fldChar w:fldCharType="separate"/>
      </w:r>
      <w:r>
        <w:rPr>
          <w:rFonts w:cs="Times New Roman"/>
          <w:szCs w:val="24"/>
        </w:rPr>
        <w:t>图目录</w:t>
      </w:r>
      <w:r>
        <w:tab/>
      </w:r>
      <w:r>
        <w:fldChar w:fldCharType="begin"/>
      </w:r>
      <w:r>
        <w:instrText xml:space="preserve"> PAGEREF _Toc14248 \h </w:instrText>
      </w:r>
      <w:r>
        <w:fldChar w:fldCharType="separate"/>
      </w:r>
      <w:r>
        <w:t>14</w:t>
      </w:r>
      <w:r>
        <w:fldChar w:fldCharType="end"/>
      </w:r>
      <w:r>
        <w:fldChar w:fldCharType="end"/>
      </w:r>
    </w:p>
    <w:p w14:paraId="5DF88122">
      <w:pPr>
        <w:pStyle w:val="28"/>
        <w:tabs>
          <w:tab w:val="right" w:leader="dot" w:pos="9348"/>
        </w:tabs>
      </w:pPr>
      <w:r>
        <w:fldChar w:fldCharType="begin"/>
      </w:r>
      <w:r>
        <w:instrText xml:space="preserve"> HYPERLINK \l "_Toc28278" </w:instrText>
      </w:r>
      <w:r>
        <w:fldChar w:fldCharType="separate"/>
      </w:r>
      <w:r>
        <w:rPr>
          <w:rFonts w:hint="eastAsia"/>
          <w:szCs w:val="24"/>
        </w:rPr>
        <w:t xml:space="preserve">1 </w:t>
      </w:r>
      <w:r>
        <w:rPr>
          <w:szCs w:val="24"/>
        </w:rPr>
        <w:t>方案总结</w:t>
      </w:r>
      <w:r>
        <w:tab/>
      </w:r>
      <w:r>
        <w:fldChar w:fldCharType="begin"/>
      </w:r>
      <w:r>
        <w:instrText xml:space="preserve"> PAGEREF _Toc28278 \h </w:instrText>
      </w:r>
      <w:r>
        <w:fldChar w:fldCharType="separate"/>
      </w:r>
      <w:r>
        <w:t>15</w:t>
      </w:r>
      <w:r>
        <w:fldChar w:fldCharType="end"/>
      </w:r>
      <w:r>
        <w:fldChar w:fldCharType="end"/>
      </w:r>
    </w:p>
    <w:p w14:paraId="34F29F90">
      <w:pPr>
        <w:pStyle w:val="33"/>
        <w:tabs>
          <w:tab w:val="right" w:leader="dot" w:pos="9348"/>
        </w:tabs>
        <w:ind w:left="480"/>
      </w:pPr>
      <w:r>
        <w:fldChar w:fldCharType="begin"/>
      </w:r>
      <w:r>
        <w:instrText xml:space="preserve"> HYPERLINK \l "_Toc21869" </w:instrText>
      </w:r>
      <w:r>
        <w:fldChar w:fldCharType="separate"/>
      </w:r>
      <w:r>
        <w:rPr>
          <w:rFonts w:hint="eastAsia"/>
          <w:szCs w:val="24"/>
          <w:lang w:val="zh-TW"/>
        </w:rPr>
        <w:t xml:space="preserve">1.1 </w:t>
      </w:r>
      <w:r>
        <w:rPr>
          <w:szCs w:val="24"/>
          <w:lang w:val="zh-TW"/>
        </w:rPr>
        <w:t>方案摘要</w:t>
      </w:r>
      <w:r>
        <w:tab/>
      </w:r>
      <w:r>
        <w:fldChar w:fldCharType="begin"/>
      </w:r>
      <w:r>
        <w:instrText xml:space="preserve"> PAGEREF _Toc21869 \h </w:instrText>
      </w:r>
      <w:r>
        <w:fldChar w:fldCharType="separate"/>
      </w:r>
      <w:r>
        <w:t>15</w:t>
      </w:r>
      <w:r>
        <w:fldChar w:fldCharType="end"/>
      </w:r>
      <w:r>
        <w:fldChar w:fldCharType="end"/>
      </w:r>
    </w:p>
    <w:p w14:paraId="020BFCF1">
      <w:pPr>
        <w:pStyle w:val="33"/>
        <w:tabs>
          <w:tab w:val="right" w:leader="dot" w:pos="9348"/>
        </w:tabs>
        <w:ind w:left="480"/>
      </w:pPr>
      <w:r>
        <w:fldChar w:fldCharType="begin"/>
      </w:r>
      <w:r>
        <w:instrText xml:space="preserve"> HYPERLINK \l "_Toc8280" </w:instrText>
      </w:r>
      <w:r>
        <w:fldChar w:fldCharType="separate"/>
      </w:r>
      <w:r>
        <w:rPr>
          <w:rFonts w:hint="eastAsia"/>
          <w:bCs/>
          <w:kern w:val="0"/>
          <w:szCs w:val="24"/>
          <w:lang w:val="zh-TW" w:eastAsia="en-US"/>
        </w:rPr>
        <w:t xml:space="preserve">1.2 </w:t>
      </w:r>
      <w:r>
        <w:rPr>
          <w:bCs/>
          <w:kern w:val="0"/>
          <w:szCs w:val="24"/>
          <w:lang w:val="zh-TW" w:eastAsia="en-US"/>
        </w:rPr>
        <w:t>研究</w:t>
      </w:r>
      <w:r>
        <w:rPr>
          <w:bCs/>
          <w:kern w:val="0"/>
          <w:szCs w:val="24"/>
          <w:lang w:val="zh-TW"/>
        </w:rPr>
        <w:t>流程</w:t>
      </w:r>
      <w:r>
        <w:rPr>
          <w:bCs/>
          <w:kern w:val="0"/>
          <w:szCs w:val="24"/>
          <w:lang w:val="zh-TW" w:eastAsia="en-US"/>
        </w:rPr>
        <w:t>表</w:t>
      </w:r>
      <w:r>
        <w:tab/>
      </w:r>
      <w:r>
        <w:fldChar w:fldCharType="begin"/>
      </w:r>
      <w:r>
        <w:instrText xml:space="preserve"> PAGEREF _Toc8280 \h </w:instrText>
      </w:r>
      <w:r>
        <w:fldChar w:fldCharType="separate"/>
      </w:r>
      <w:r>
        <w:t>24</w:t>
      </w:r>
      <w:r>
        <w:fldChar w:fldCharType="end"/>
      </w:r>
      <w:r>
        <w:fldChar w:fldCharType="end"/>
      </w:r>
    </w:p>
    <w:p w14:paraId="1EFCD06C">
      <w:pPr>
        <w:pStyle w:val="28"/>
        <w:tabs>
          <w:tab w:val="right" w:leader="dot" w:pos="9348"/>
        </w:tabs>
      </w:pPr>
      <w:r>
        <w:fldChar w:fldCharType="begin"/>
      </w:r>
      <w:r>
        <w:instrText xml:space="preserve"> HYPERLINK \l "_Toc19862" </w:instrText>
      </w:r>
      <w:r>
        <w:fldChar w:fldCharType="separate"/>
      </w:r>
      <w:r>
        <w:rPr>
          <w:rFonts w:hint="eastAsia"/>
          <w:szCs w:val="24"/>
        </w:rPr>
        <w:t xml:space="preserve">2 </w:t>
      </w:r>
      <w:r>
        <w:rPr>
          <w:szCs w:val="24"/>
        </w:rPr>
        <w:t>前言</w:t>
      </w:r>
      <w:r>
        <w:tab/>
      </w:r>
      <w:r>
        <w:fldChar w:fldCharType="begin"/>
      </w:r>
      <w:r>
        <w:instrText xml:space="preserve"> PAGEREF _Toc19862 \h </w:instrText>
      </w:r>
      <w:r>
        <w:fldChar w:fldCharType="separate"/>
      </w:r>
      <w:r>
        <w:t>26</w:t>
      </w:r>
      <w:r>
        <w:fldChar w:fldCharType="end"/>
      </w:r>
      <w:r>
        <w:fldChar w:fldCharType="end"/>
      </w:r>
    </w:p>
    <w:p w14:paraId="234B0926">
      <w:pPr>
        <w:pStyle w:val="33"/>
        <w:tabs>
          <w:tab w:val="right" w:leader="dot" w:pos="9348"/>
        </w:tabs>
        <w:ind w:left="480"/>
      </w:pPr>
      <w:r>
        <w:fldChar w:fldCharType="begin"/>
      </w:r>
      <w:r>
        <w:instrText xml:space="preserve"> HYPERLINK \l "_Toc31709" </w:instrText>
      </w:r>
      <w:r>
        <w:fldChar w:fldCharType="separate"/>
      </w:r>
      <w:r>
        <w:rPr>
          <w:rFonts w:hint="eastAsia"/>
          <w:szCs w:val="24"/>
          <w:lang w:val="zh-TW" w:eastAsia="zh-TW"/>
        </w:rPr>
        <w:t xml:space="preserve">2.1 </w:t>
      </w:r>
      <w:r>
        <w:rPr>
          <w:szCs w:val="24"/>
          <w:lang w:val="zh-TW" w:eastAsia="zh-TW"/>
        </w:rPr>
        <w:t>试验背景</w:t>
      </w:r>
      <w:r>
        <w:tab/>
      </w:r>
      <w:r>
        <w:fldChar w:fldCharType="begin"/>
      </w:r>
      <w:r>
        <w:instrText xml:space="preserve"> PAGEREF _Toc31709 \h </w:instrText>
      </w:r>
      <w:r>
        <w:fldChar w:fldCharType="separate"/>
      </w:r>
      <w:r>
        <w:t>26</w:t>
      </w:r>
      <w:r>
        <w:fldChar w:fldCharType="end"/>
      </w:r>
      <w:r>
        <w:fldChar w:fldCharType="end"/>
      </w:r>
    </w:p>
    <w:p w14:paraId="69C03AEE">
      <w:pPr>
        <w:pStyle w:val="33"/>
        <w:tabs>
          <w:tab w:val="right" w:leader="dot" w:pos="9348"/>
        </w:tabs>
        <w:ind w:left="480"/>
      </w:pPr>
      <w:r>
        <w:fldChar w:fldCharType="begin"/>
      </w:r>
      <w:r>
        <w:instrText xml:space="preserve"> HYPERLINK \l "_Toc21976" </w:instrText>
      </w:r>
      <w:r>
        <w:fldChar w:fldCharType="separate"/>
      </w:r>
      <w:r>
        <w:rPr>
          <w:rFonts w:hint="eastAsia"/>
          <w:szCs w:val="24"/>
          <w:lang w:val="zh-TW" w:eastAsia="zh-TW"/>
        </w:rPr>
        <w:t xml:space="preserve">2.2 </w:t>
      </w:r>
      <w:r>
        <w:rPr>
          <w:szCs w:val="24"/>
          <w:lang w:val="zh-TW" w:eastAsia="zh-TW"/>
        </w:rPr>
        <w:t>获益和风险总结</w:t>
      </w:r>
      <w:r>
        <w:tab/>
      </w:r>
      <w:r>
        <w:fldChar w:fldCharType="begin"/>
      </w:r>
      <w:r>
        <w:instrText xml:space="preserve"> PAGEREF _Toc21976 \h </w:instrText>
      </w:r>
      <w:r>
        <w:fldChar w:fldCharType="separate"/>
      </w:r>
      <w:r>
        <w:t>29</w:t>
      </w:r>
      <w:r>
        <w:fldChar w:fldCharType="end"/>
      </w:r>
      <w:r>
        <w:fldChar w:fldCharType="end"/>
      </w:r>
    </w:p>
    <w:p w14:paraId="347BD355">
      <w:pPr>
        <w:pStyle w:val="20"/>
        <w:tabs>
          <w:tab w:val="right" w:leader="dot" w:pos="9348"/>
        </w:tabs>
        <w:ind w:left="960"/>
      </w:pPr>
      <w:r>
        <w:fldChar w:fldCharType="begin"/>
      </w:r>
      <w:r>
        <w:instrText xml:space="preserve"> HYPERLINK \l "_Toc8868" </w:instrText>
      </w:r>
      <w:r>
        <w:fldChar w:fldCharType="separate"/>
      </w:r>
      <w:r>
        <w:rPr>
          <w:rFonts w:hint="eastAsia"/>
          <w:szCs w:val="24"/>
          <w:lang w:val="zh-TW" w:eastAsia="zh-TW"/>
        </w:rPr>
        <w:t xml:space="preserve">2.2.1 </w:t>
      </w:r>
      <w:r>
        <w:rPr>
          <w:szCs w:val="24"/>
          <w:lang w:val="zh-TW" w:eastAsia="zh-TW"/>
        </w:rPr>
        <w:t>获益总结</w:t>
      </w:r>
      <w:r>
        <w:tab/>
      </w:r>
      <w:r>
        <w:fldChar w:fldCharType="begin"/>
      </w:r>
      <w:r>
        <w:instrText xml:space="preserve"> PAGEREF _Toc8868 \h </w:instrText>
      </w:r>
      <w:r>
        <w:fldChar w:fldCharType="separate"/>
      </w:r>
      <w:r>
        <w:t>29</w:t>
      </w:r>
      <w:r>
        <w:fldChar w:fldCharType="end"/>
      </w:r>
      <w:r>
        <w:fldChar w:fldCharType="end"/>
      </w:r>
    </w:p>
    <w:p w14:paraId="3DC15E42">
      <w:pPr>
        <w:pStyle w:val="20"/>
        <w:tabs>
          <w:tab w:val="right" w:leader="dot" w:pos="9348"/>
        </w:tabs>
        <w:ind w:left="960"/>
      </w:pPr>
      <w:r>
        <w:fldChar w:fldCharType="begin"/>
      </w:r>
      <w:r>
        <w:instrText xml:space="preserve"> HYPERLINK \l "_Toc20597" </w:instrText>
      </w:r>
      <w:r>
        <w:fldChar w:fldCharType="separate"/>
      </w:r>
      <w:r>
        <w:rPr>
          <w:rFonts w:hint="eastAsia"/>
          <w:szCs w:val="24"/>
          <w:lang w:val="zh-TW" w:eastAsia="zh-TW"/>
        </w:rPr>
        <w:t xml:space="preserve">2.2.2 </w:t>
      </w:r>
      <w:r>
        <w:rPr>
          <w:szCs w:val="24"/>
          <w:lang w:val="zh-TW" w:eastAsia="zh-TW"/>
        </w:rPr>
        <w:t>风险总结</w:t>
      </w:r>
      <w:r>
        <w:tab/>
      </w:r>
      <w:r>
        <w:fldChar w:fldCharType="begin"/>
      </w:r>
      <w:r>
        <w:instrText xml:space="preserve"> PAGEREF _Toc20597 \h </w:instrText>
      </w:r>
      <w:r>
        <w:fldChar w:fldCharType="separate"/>
      </w:r>
      <w:r>
        <w:t>39</w:t>
      </w:r>
      <w:r>
        <w:fldChar w:fldCharType="end"/>
      </w:r>
      <w:r>
        <w:fldChar w:fldCharType="end"/>
      </w:r>
    </w:p>
    <w:p w14:paraId="405F9B91">
      <w:pPr>
        <w:pStyle w:val="20"/>
        <w:tabs>
          <w:tab w:val="right" w:leader="dot" w:pos="9348"/>
        </w:tabs>
        <w:ind w:left="960"/>
      </w:pPr>
      <w:r>
        <w:fldChar w:fldCharType="begin"/>
      </w:r>
      <w:r>
        <w:instrText xml:space="preserve"> HYPERLINK \l "_Toc23826" </w:instrText>
      </w:r>
      <w:r>
        <w:fldChar w:fldCharType="separate"/>
      </w:r>
      <w:r>
        <w:rPr>
          <w:rFonts w:hint="eastAsia"/>
          <w:szCs w:val="24"/>
          <w:lang w:val="zh-TW" w:eastAsia="zh-TW"/>
        </w:rPr>
        <w:t xml:space="preserve">2.2.3 </w:t>
      </w:r>
      <w:r>
        <w:rPr>
          <w:szCs w:val="24"/>
          <w:lang w:val="zh-TW" w:eastAsia="zh-TW"/>
        </w:rPr>
        <w:t>总体获益</w:t>
      </w:r>
      <w:r>
        <w:tab/>
      </w:r>
      <w:r>
        <w:fldChar w:fldCharType="begin"/>
      </w:r>
      <w:r>
        <w:instrText xml:space="preserve"> PAGEREF _Toc23826 \h </w:instrText>
      </w:r>
      <w:r>
        <w:fldChar w:fldCharType="separate"/>
      </w:r>
      <w:r>
        <w:t>40</w:t>
      </w:r>
      <w:r>
        <w:fldChar w:fldCharType="end"/>
      </w:r>
      <w:r>
        <w:fldChar w:fldCharType="end"/>
      </w:r>
    </w:p>
    <w:p w14:paraId="013CC400">
      <w:pPr>
        <w:pStyle w:val="28"/>
        <w:tabs>
          <w:tab w:val="right" w:leader="dot" w:pos="9348"/>
        </w:tabs>
      </w:pPr>
      <w:r>
        <w:fldChar w:fldCharType="begin"/>
      </w:r>
      <w:r>
        <w:instrText xml:space="preserve"> HYPERLINK \l "_Toc15608" </w:instrText>
      </w:r>
      <w:r>
        <w:fldChar w:fldCharType="separate"/>
      </w:r>
      <w:r>
        <w:rPr>
          <w:rFonts w:hint="eastAsia"/>
          <w:szCs w:val="24"/>
        </w:rPr>
        <w:t xml:space="preserve">3 </w:t>
      </w:r>
      <w:r>
        <w:rPr>
          <w:szCs w:val="24"/>
        </w:rPr>
        <w:t>试验目的、终点</w:t>
      </w:r>
      <w:r>
        <w:tab/>
      </w:r>
      <w:r>
        <w:fldChar w:fldCharType="begin"/>
      </w:r>
      <w:r>
        <w:instrText xml:space="preserve"> PAGEREF _Toc15608 \h </w:instrText>
      </w:r>
      <w:r>
        <w:fldChar w:fldCharType="separate"/>
      </w:r>
      <w:r>
        <w:t>40</w:t>
      </w:r>
      <w:r>
        <w:fldChar w:fldCharType="end"/>
      </w:r>
      <w:r>
        <w:fldChar w:fldCharType="end"/>
      </w:r>
    </w:p>
    <w:p w14:paraId="1B3C9397">
      <w:pPr>
        <w:pStyle w:val="33"/>
        <w:tabs>
          <w:tab w:val="right" w:leader="dot" w:pos="9348"/>
        </w:tabs>
        <w:ind w:left="480"/>
      </w:pPr>
      <w:r>
        <w:fldChar w:fldCharType="begin"/>
      </w:r>
      <w:r>
        <w:instrText xml:space="preserve"> HYPERLINK \l "_Toc29762" </w:instrText>
      </w:r>
      <w:r>
        <w:fldChar w:fldCharType="separate"/>
      </w:r>
      <w:r>
        <w:rPr>
          <w:rFonts w:hint="eastAsia"/>
          <w:szCs w:val="24"/>
          <w:lang w:val="zh-TW" w:eastAsia="zh-TW"/>
        </w:rPr>
        <w:t xml:space="preserve">3.1 </w:t>
      </w:r>
      <w:r>
        <w:rPr>
          <w:szCs w:val="24"/>
          <w:lang w:val="zh-TW" w:eastAsia="zh-TW"/>
        </w:rPr>
        <w:t>研究目的</w:t>
      </w:r>
      <w:r>
        <w:tab/>
      </w:r>
      <w:r>
        <w:fldChar w:fldCharType="begin"/>
      </w:r>
      <w:r>
        <w:instrText xml:space="preserve"> PAGEREF _Toc29762 \h </w:instrText>
      </w:r>
      <w:r>
        <w:fldChar w:fldCharType="separate"/>
      </w:r>
      <w:r>
        <w:t>40</w:t>
      </w:r>
      <w:r>
        <w:fldChar w:fldCharType="end"/>
      </w:r>
      <w:r>
        <w:fldChar w:fldCharType="end"/>
      </w:r>
    </w:p>
    <w:p w14:paraId="048B6561">
      <w:pPr>
        <w:pStyle w:val="33"/>
        <w:tabs>
          <w:tab w:val="right" w:leader="dot" w:pos="9348"/>
        </w:tabs>
        <w:ind w:left="480"/>
      </w:pPr>
      <w:r>
        <w:fldChar w:fldCharType="begin"/>
      </w:r>
      <w:r>
        <w:instrText xml:space="preserve"> HYPERLINK \l "_Toc20708" </w:instrText>
      </w:r>
      <w:r>
        <w:fldChar w:fldCharType="separate"/>
      </w:r>
      <w:r>
        <w:rPr>
          <w:rFonts w:hint="eastAsia"/>
          <w:szCs w:val="24"/>
          <w:lang w:val="zh-TW" w:eastAsia="zh-TW"/>
        </w:rPr>
        <w:t xml:space="preserve">3.2 </w:t>
      </w:r>
      <w:r>
        <w:rPr>
          <w:szCs w:val="24"/>
          <w:lang w:val="zh-TW" w:eastAsia="zh-TW"/>
        </w:rPr>
        <w:t>研究终点</w:t>
      </w:r>
      <w:r>
        <w:tab/>
      </w:r>
      <w:r>
        <w:fldChar w:fldCharType="begin"/>
      </w:r>
      <w:r>
        <w:instrText xml:space="preserve"> PAGEREF _Toc20708 \h </w:instrText>
      </w:r>
      <w:r>
        <w:fldChar w:fldCharType="separate"/>
      </w:r>
      <w:r>
        <w:t>40</w:t>
      </w:r>
      <w:r>
        <w:fldChar w:fldCharType="end"/>
      </w:r>
      <w:r>
        <w:fldChar w:fldCharType="end"/>
      </w:r>
    </w:p>
    <w:p w14:paraId="09791400">
      <w:pPr>
        <w:pStyle w:val="28"/>
        <w:tabs>
          <w:tab w:val="right" w:leader="dot" w:pos="9348"/>
        </w:tabs>
      </w:pPr>
      <w:r>
        <w:fldChar w:fldCharType="begin"/>
      </w:r>
      <w:r>
        <w:instrText xml:space="preserve"> HYPERLINK \l "_Toc23856" </w:instrText>
      </w:r>
      <w:r>
        <w:fldChar w:fldCharType="separate"/>
      </w:r>
      <w:r>
        <w:rPr>
          <w:rFonts w:hint="eastAsia"/>
          <w:szCs w:val="24"/>
        </w:rPr>
        <w:t xml:space="preserve">4 </w:t>
      </w:r>
      <w:r>
        <w:rPr>
          <w:szCs w:val="24"/>
        </w:rPr>
        <w:t>试验设计</w:t>
      </w:r>
      <w:r>
        <w:tab/>
      </w:r>
      <w:r>
        <w:fldChar w:fldCharType="begin"/>
      </w:r>
      <w:r>
        <w:instrText xml:space="preserve"> PAGEREF _Toc23856 \h </w:instrText>
      </w:r>
      <w:r>
        <w:fldChar w:fldCharType="separate"/>
      </w:r>
      <w:r>
        <w:t>41</w:t>
      </w:r>
      <w:r>
        <w:fldChar w:fldCharType="end"/>
      </w:r>
      <w:r>
        <w:fldChar w:fldCharType="end"/>
      </w:r>
    </w:p>
    <w:p w14:paraId="209B85F6">
      <w:pPr>
        <w:pStyle w:val="33"/>
        <w:tabs>
          <w:tab w:val="right" w:leader="dot" w:pos="9348"/>
        </w:tabs>
        <w:ind w:left="480"/>
      </w:pPr>
      <w:r>
        <w:fldChar w:fldCharType="begin"/>
      </w:r>
      <w:r>
        <w:instrText xml:space="preserve"> HYPERLINK \l "_Toc5280" </w:instrText>
      </w:r>
      <w:r>
        <w:fldChar w:fldCharType="separate"/>
      </w:r>
      <w:r>
        <w:rPr>
          <w:rFonts w:hint="eastAsia"/>
          <w:szCs w:val="24"/>
          <w:lang w:val="zh-TW" w:eastAsia="zh-TW"/>
        </w:rPr>
        <w:t xml:space="preserve">4.1 </w:t>
      </w:r>
      <w:r>
        <w:rPr>
          <w:szCs w:val="24"/>
          <w:lang w:val="zh-TW" w:eastAsia="zh-TW"/>
        </w:rPr>
        <w:t>试验设计描述</w:t>
      </w:r>
      <w:r>
        <w:tab/>
      </w:r>
      <w:r>
        <w:fldChar w:fldCharType="begin"/>
      </w:r>
      <w:r>
        <w:instrText xml:space="preserve"> PAGEREF _Toc5280 \h </w:instrText>
      </w:r>
      <w:r>
        <w:fldChar w:fldCharType="separate"/>
      </w:r>
      <w:r>
        <w:t>41</w:t>
      </w:r>
      <w:r>
        <w:fldChar w:fldCharType="end"/>
      </w:r>
      <w:r>
        <w:fldChar w:fldCharType="end"/>
      </w:r>
    </w:p>
    <w:p w14:paraId="27A13951">
      <w:pPr>
        <w:pStyle w:val="33"/>
        <w:tabs>
          <w:tab w:val="right" w:leader="dot" w:pos="9348"/>
        </w:tabs>
        <w:ind w:left="480"/>
      </w:pPr>
      <w:r>
        <w:fldChar w:fldCharType="begin"/>
      </w:r>
      <w:r>
        <w:instrText xml:space="preserve"> HYPERLINK \l "_Toc20612" </w:instrText>
      </w:r>
      <w:r>
        <w:fldChar w:fldCharType="separate"/>
      </w:r>
      <w:r>
        <w:rPr>
          <w:rFonts w:hint="eastAsia"/>
          <w:szCs w:val="24"/>
          <w:lang w:val="zh-TW"/>
        </w:rPr>
        <w:t xml:space="preserve">4.2 </w:t>
      </w:r>
      <w:r>
        <w:rPr>
          <w:szCs w:val="24"/>
          <w:lang w:val="zh-TW"/>
        </w:rPr>
        <w:t>基于研究设计的主要估计目标框架</w:t>
      </w:r>
      <w:r>
        <w:tab/>
      </w:r>
      <w:r>
        <w:fldChar w:fldCharType="begin"/>
      </w:r>
      <w:r>
        <w:instrText xml:space="preserve"> PAGEREF _Toc20612 \h </w:instrText>
      </w:r>
      <w:r>
        <w:fldChar w:fldCharType="separate"/>
      </w:r>
      <w:r>
        <w:t>42</w:t>
      </w:r>
      <w:r>
        <w:fldChar w:fldCharType="end"/>
      </w:r>
      <w:r>
        <w:fldChar w:fldCharType="end"/>
      </w:r>
    </w:p>
    <w:p w14:paraId="02CD74F9">
      <w:pPr>
        <w:pStyle w:val="33"/>
        <w:tabs>
          <w:tab w:val="right" w:leader="dot" w:pos="9348"/>
        </w:tabs>
        <w:ind w:left="480"/>
      </w:pPr>
      <w:r>
        <w:fldChar w:fldCharType="begin"/>
      </w:r>
      <w:r>
        <w:instrText xml:space="preserve"> HYPERLINK \l "_Toc20652" </w:instrText>
      </w:r>
      <w:r>
        <w:fldChar w:fldCharType="separate"/>
      </w:r>
      <w:r>
        <w:rPr>
          <w:rFonts w:hint="eastAsia"/>
          <w:szCs w:val="24"/>
          <w:lang w:val="zh-TW" w:eastAsia="zh-TW"/>
        </w:rPr>
        <w:t xml:space="preserve">4.3 </w:t>
      </w:r>
      <w:r>
        <w:rPr>
          <w:szCs w:val="24"/>
          <w:lang w:val="zh-TW" w:eastAsia="zh-TW"/>
        </w:rPr>
        <w:t>试验设计的选择依据</w:t>
      </w:r>
      <w:r>
        <w:tab/>
      </w:r>
      <w:r>
        <w:fldChar w:fldCharType="begin"/>
      </w:r>
      <w:r>
        <w:instrText xml:space="preserve"> PAGEREF _Toc20652 \h </w:instrText>
      </w:r>
      <w:r>
        <w:fldChar w:fldCharType="separate"/>
      </w:r>
      <w:r>
        <w:t>43</w:t>
      </w:r>
      <w:r>
        <w:fldChar w:fldCharType="end"/>
      </w:r>
      <w:r>
        <w:fldChar w:fldCharType="end"/>
      </w:r>
    </w:p>
    <w:p w14:paraId="054491B3">
      <w:pPr>
        <w:pStyle w:val="20"/>
        <w:tabs>
          <w:tab w:val="right" w:leader="dot" w:pos="9348"/>
        </w:tabs>
        <w:ind w:left="960"/>
      </w:pPr>
      <w:r>
        <w:fldChar w:fldCharType="begin"/>
      </w:r>
      <w:r>
        <w:instrText xml:space="preserve"> HYPERLINK \l "_Toc25959" </w:instrText>
      </w:r>
      <w:r>
        <w:fldChar w:fldCharType="separate"/>
      </w:r>
      <w:r>
        <w:rPr>
          <w:rFonts w:hint="eastAsia"/>
          <w:szCs w:val="24"/>
          <w:lang w:val="zh-TW" w:eastAsia="zh-TW"/>
        </w:rPr>
        <w:t xml:space="preserve">4.3.1 </w:t>
      </w:r>
      <w:r>
        <w:rPr>
          <w:szCs w:val="24"/>
          <w:lang w:val="zh-TW" w:eastAsia="zh-TW"/>
        </w:rPr>
        <w:t>总体考虑</w:t>
      </w:r>
      <w:r>
        <w:tab/>
      </w:r>
      <w:r>
        <w:fldChar w:fldCharType="begin"/>
      </w:r>
      <w:r>
        <w:instrText xml:space="preserve"> PAGEREF _Toc25959 \h </w:instrText>
      </w:r>
      <w:r>
        <w:fldChar w:fldCharType="separate"/>
      </w:r>
      <w:r>
        <w:t>43</w:t>
      </w:r>
      <w:r>
        <w:fldChar w:fldCharType="end"/>
      </w:r>
      <w:r>
        <w:fldChar w:fldCharType="end"/>
      </w:r>
    </w:p>
    <w:p w14:paraId="0394ECA3">
      <w:pPr>
        <w:pStyle w:val="20"/>
        <w:tabs>
          <w:tab w:val="right" w:leader="dot" w:pos="9348"/>
        </w:tabs>
        <w:ind w:left="960"/>
      </w:pPr>
      <w:r>
        <w:fldChar w:fldCharType="begin"/>
      </w:r>
      <w:r>
        <w:instrText xml:space="preserve"> HYPERLINK \l "_Toc5517" </w:instrText>
      </w:r>
      <w:r>
        <w:fldChar w:fldCharType="separate"/>
      </w:r>
      <w:r>
        <w:rPr>
          <w:rFonts w:hint="eastAsia"/>
          <w:szCs w:val="24"/>
          <w:lang w:val="zh-TW" w:eastAsia="zh-TW"/>
        </w:rPr>
        <w:t xml:space="preserve">4.3.2 </w:t>
      </w:r>
      <w:r>
        <w:rPr>
          <w:szCs w:val="24"/>
          <w:lang w:val="zh-TW" w:eastAsia="zh-TW"/>
        </w:rPr>
        <w:t>试验周期</w:t>
      </w:r>
      <w:r>
        <w:tab/>
      </w:r>
      <w:r>
        <w:fldChar w:fldCharType="begin"/>
      </w:r>
      <w:r>
        <w:instrText xml:space="preserve"> PAGEREF _Toc5517 \h </w:instrText>
      </w:r>
      <w:r>
        <w:fldChar w:fldCharType="separate"/>
      </w:r>
      <w:r>
        <w:t>43</w:t>
      </w:r>
      <w:r>
        <w:fldChar w:fldCharType="end"/>
      </w:r>
      <w:r>
        <w:fldChar w:fldCharType="end"/>
      </w:r>
    </w:p>
    <w:p w14:paraId="5412D6A7">
      <w:pPr>
        <w:pStyle w:val="20"/>
        <w:tabs>
          <w:tab w:val="right" w:leader="dot" w:pos="9348"/>
        </w:tabs>
        <w:ind w:left="960"/>
      </w:pPr>
      <w:r>
        <w:fldChar w:fldCharType="begin"/>
      </w:r>
      <w:r>
        <w:instrText xml:space="preserve"> HYPERLINK \l "_Toc28740" </w:instrText>
      </w:r>
      <w:r>
        <w:fldChar w:fldCharType="separate"/>
      </w:r>
      <w:r>
        <w:rPr>
          <w:rFonts w:hint="eastAsia"/>
          <w:szCs w:val="24"/>
          <w:lang w:val="zh-TW"/>
        </w:rPr>
        <w:t xml:space="preserve">4.3.3 </w:t>
      </w:r>
      <w:r>
        <w:rPr>
          <w:szCs w:val="24"/>
          <w:lang w:val="zh-TW"/>
        </w:rPr>
        <w:t>剂量</w:t>
      </w:r>
      <w:r>
        <w:rPr>
          <w:rFonts w:hint="eastAsia"/>
          <w:szCs w:val="24"/>
        </w:rPr>
        <w:t>及成像时间</w:t>
      </w:r>
      <w:r>
        <w:rPr>
          <w:szCs w:val="24"/>
          <w:lang w:val="zh-TW"/>
        </w:rPr>
        <w:t>的选择依据</w:t>
      </w:r>
      <w:r>
        <w:tab/>
      </w:r>
      <w:r>
        <w:fldChar w:fldCharType="begin"/>
      </w:r>
      <w:r>
        <w:instrText xml:space="preserve"> PAGEREF _Toc28740 \h </w:instrText>
      </w:r>
      <w:r>
        <w:fldChar w:fldCharType="separate"/>
      </w:r>
      <w:r>
        <w:t>43</w:t>
      </w:r>
      <w:r>
        <w:fldChar w:fldCharType="end"/>
      </w:r>
      <w:r>
        <w:fldChar w:fldCharType="end"/>
      </w:r>
    </w:p>
    <w:p w14:paraId="26B7383F">
      <w:pPr>
        <w:pStyle w:val="20"/>
        <w:tabs>
          <w:tab w:val="right" w:leader="dot" w:pos="9348"/>
        </w:tabs>
        <w:ind w:left="960"/>
      </w:pPr>
      <w:r>
        <w:fldChar w:fldCharType="begin"/>
      </w:r>
      <w:r>
        <w:instrText xml:space="preserve"> HYPERLINK \l "_Toc15383" </w:instrText>
      </w:r>
      <w:r>
        <w:fldChar w:fldCharType="separate"/>
      </w:r>
      <w:r>
        <w:rPr>
          <w:rFonts w:hint="eastAsia"/>
          <w:szCs w:val="24"/>
          <w:lang w:val="zh-TW" w:eastAsia="zh-TW"/>
        </w:rPr>
        <w:t xml:space="preserve">4.3.4 </w:t>
      </w:r>
      <w:r>
        <w:rPr>
          <w:szCs w:val="24"/>
          <w:lang w:val="zh-TW" w:eastAsia="zh-TW"/>
        </w:rPr>
        <w:t>真实性标准的选择依据</w:t>
      </w:r>
      <w:r>
        <w:tab/>
      </w:r>
      <w:r>
        <w:fldChar w:fldCharType="begin"/>
      </w:r>
      <w:r>
        <w:instrText xml:space="preserve"> PAGEREF _Toc15383 \h </w:instrText>
      </w:r>
      <w:r>
        <w:fldChar w:fldCharType="separate"/>
      </w:r>
      <w:r>
        <w:t>44</w:t>
      </w:r>
      <w:r>
        <w:fldChar w:fldCharType="end"/>
      </w:r>
      <w:r>
        <w:fldChar w:fldCharType="end"/>
      </w:r>
    </w:p>
    <w:p w14:paraId="47E37F35">
      <w:pPr>
        <w:pStyle w:val="20"/>
        <w:tabs>
          <w:tab w:val="right" w:leader="dot" w:pos="9348"/>
        </w:tabs>
        <w:ind w:left="960"/>
      </w:pPr>
      <w:r>
        <w:fldChar w:fldCharType="begin"/>
      </w:r>
      <w:r>
        <w:instrText xml:space="preserve"> HYPERLINK \l "_Toc11371" </w:instrText>
      </w:r>
      <w:r>
        <w:fldChar w:fldCharType="separate"/>
      </w:r>
      <w:r>
        <w:rPr>
          <w:rFonts w:hint="eastAsia"/>
          <w:szCs w:val="24"/>
          <w:lang w:val="zh-TW" w:eastAsia="zh-TW"/>
        </w:rPr>
        <w:t xml:space="preserve">4.3.5 </w:t>
      </w:r>
      <w:r>
        <w:rPr>
          <w:szCs w:val="24"/>
          <w:lang w:val="zh-TW" w:eastAsia="zh-TW"/>
        </w:rPr>
        <w:t>受试者例数的选择依据</w:t>
      </w:r>
      <w:r>
        <w:tab/>
      </w:r>
      <w:r>
        <w:fldChar w:fldCharType="begin"/>
      </w:r>
      <w:r>
        <w:instrText xml:space="preserve"> PAGEREF _Toc11371 \h </w:instrText>
      </w:r>
      <w:r>
        <w:fldChar w:fldCharType="separate"/>
      </w:r>
      <w:r>
        <w:t>44</w:t>
      </w:r>
      <w:r>
        <w:fldChar w:fldCharType="end"/>
      </w:r>
      <w:r>
        <w:fldChar w:fldCharType="end"/>
      </w:r>
    </w:p>
    <w:p w14:paraId="2FE7A180">
      <w:pPr>
        <w:pStyle w:val="20"/>
        <w:tabs>
          <w:tab w:val="right" w:leader="dot" w:pos="9348"/>
        </w:tabs>
        <w:ind w:left="960"/>
      </w:pPr>
      <w:r>
        <w:fldChar w:fldCharType="begin"/>
      </w:r>
      <w:r>
        <w:instrText xml:space="preserve"> HYPERLINK \l "_Toc26871" </w:instrText>
      </w:r>
      <w:r>
        <w:fldChar w:fldCharType="separate"/>
      </w:r>
      <w:r>
        <w:rPr>
          <w:rFonts w:hint="eastAsia"/>
          <w:szCs w:val="24"/>
          <w:lang w:val="zh-TW" w:eastAsia="zh-TW"/>
        </w:rPr>
        <w:t xml:space="preserve">4.3.6 </w:t>
      </w:r>
      <w:r>
        <w:rPr>
          <w:szCs w:val="24"/>
          <w:lang w:val="zh-TW" w:eastAsia="zh-TW"/>
        </w:rPr>
        <w:t>终点指标选择</w:t>
      </w:r>
      <w:r>
        <w:tab/>
      </w:r>
      <w:r>
        <w:fldChar w:fldCharType="begin"/>
      </w:r>
      <w:r>
        <w:instrText xml:space="preserve"> PAGEREF _Toc26871 \h </w:instrText>
      </w:r>
      <w:r>
        <w:fldChar w:fldCharType="separate"/>
      </w:r>
      <w:r>
        <w:t>45</w:t>
      </w:r>
      <w:r>
        <w:fldChar w:fldCharType="end"/>
      </w:r>
      <w:r>
        <w:fldChar w:fldCharType="end"/>
      </w:r>
    </w:p>
    <w:p w14:paraId="08E9BFBF">
      <w:pPr>
        <w:pStyle w:val="33"/>
        <w:tabs>
          <w:tab w:val="right" w:leader="dot" w:pos="9348"/>
        </w:tabs>
        <w:ind w:left="480"/>
      </w:pPr>
      <w:r>
        <w:fldChar w:fldCharType="begin"/>
      </w:r>
      <w:r>
        <w:instrText xml:space="preserve"> HYPERLINK \l "_Toc12268" </w:instrText>
      </w:r>
      <w:r>
        <w:fldChar w:fldCharType="separate"/>
      </w:r>
      <w:r>
        <w:rPr>
          <w:rFonts w:hint="eastAsia"/>
          <w:szCs w:val="24"/>
          <w:lang w:val="zh-TW"/>
        </w:rPr>
        <w:t xml:space="preserve">4.4 </w:t>
      </w:r>
      <w:r>
        <w:rPr>
          <w:szCs w:val="24"/>
          <w:lang w:val="zh-TW"/>
        </w:rPr>
        <w:t>试验结束后获得试验干预</w:t>
      </w:r>
      <w:r>
        <w:tab/>
      </w:r>
      <w:r>
        <w:fldChar w:fldCharType="begin"/>
      </w:r>
      <w:r>
        <w:instrText xml:space="preserve"> PAGEREF _Toc12268 \h </w:instrText>
      </w:r>
      <w:r>
        <w:fldChar w:fldCharType="separate"/>
      </w:r>
      <w:r>
        <w:t>45</w:t>
      </w:r>
      <w:r>
        <w:fldChar w:fldCharType="end"/>
      </w:r>
      <w:r>
        <w:fldChar w:fldCharType="end"/>
      </w:r>
    </w:p>
    <w:p w14:paraId="0102DD8D">
      <w:pPr>
        <w:pStyle w:val="33"/>
        <w:tabs>
          <w:tab w:val="right" w:leader="dot" w:pos="9348"/>
        </w:tabs>
        <w:ind w:left="480"/>
      </w:pPr>
      <w:r>
        <w:fldChar w:fldCharType="begin"/>
      </w:r>
      <w:r>
        <w:instrText xml:space="preserve"> HYPERLINK \l "_Toc13746" </w:instrText>
      </w:r>
      <w:r>
        <w:fldChar w:fldCharType="separate"/>
      </w:r>
      <w:r>
        <w:rPr>
          <w:rFonts w:hint="eastAsia"/>
          <w:szCs w:val="24"/>
          <w:lang w:val="zh-TW" w:eastAsia="zh-TW"/>
        </w:rPr>
        <w:t xml:space="preserve">4.5 </w:t>
      </w:r>
      <w:r>
        <w:rPr>
          <w:szCs w:val="24"/>
          <w:lang w:val="zh-TW" w:eastAsia="zh-TW"/>
        </w:rPr>
        <w:t>试验开始和试验结束</w:t>
      </w:r>
      <w:r>
        <w:tab/>
      </w:r>
      <w:r>
        <w:fldChar w:fldCharType="begin"/>
      </w:r>
      <w:r>
        <w:instrText xml:space="preserve"> PAGEREF _Toc13746 \h </w:instrText>
      </w:r>
      <w:r>
        <w:fldChar w:fldCharType="separate"/>
      </w:r>
      <w:r>
        <w:t>45</w:t>
      </w:r>
      <w:r>
        <w:fldChar w:fldCharType="end"/>
      </w:r>
      <w:r>
        <w:fldChar w:fldCharType="end"/>
      </w:r>
    </w:p>
    <w:p w14:paraId="2D6433A5">
      <w:pPr>
        <w:pStyle w:val="28"/>
        <w:tabs>
          <w:tab w:val="right" w:leader="dot" w:pos="9348"/>
        </w:tabs>
      </w:pPr>
      <w:r>
        <w:fldChar w:fldCharType="begin"/>
      </w:r>
      <w:r>
        <w:instrText xml:space="preserve"> HYPERLINK \l "_Toc25380" </w:instrText>
      </w:r>
      <w:r>
        <w:fldChar w:fldCharType="separate"/>
      </w:r>
      <w:r>
        <w:rPr>
          <w:rFonts w:hint="eastAsia"/>
          <w:szCs w:val="24"/>
        </w:rPr>
        <w:t xml:space="preserve">5 </w:t>
      </w:r>
      <w:r>
        <w:rPr>
          <w:szCs w:val="24"/>
        </w:rPr>
        <w:t>试验人群</w:t>
      </w:r>
      <w:r>
        <w:tab/>
      </w:r>
      <w:r>
        <w:fldChar w:fldCharType="begin"/>
      </w:r>
      <w:r>
        <w:instrText xml:space="preserve"> PAGEREF _Toc25380 \h </w:instrText>
      </w:r>
      <w:r>
        <w:fldChar w:fldCharType="separate"/>
      </w:r>
      <w:r>
        <w:t>46</w:t>
      </w:r>
      <w:r>
        <w:fldChar w:fldCharType="end"/>
      </w:r>
      <w:r>
        <w:fldChar w:fldCharType="end"/>
      </w:r>
    </w:p>
    <w:p w14:paraId="5301B051">
      <w:pPr>
        <w:pStyle w:val="33"/>
        <w:tabs>
          <w:tab w:val="right" w:leader="dot" w:pos="9348"/>
        </w:tabs>
        <w:ind w:left="480"/>
      </w:pPr>
      <w:r>
        <w:fldChar w:fldCharType="begin"/>
      </w:r>
      <w:r>
        <w:instrText xml:space="preserve"> HYPERLINK \l "_Toc29297" </w:instrText>
      </w:r>
      <w:r>
        <w:fldChar w:fldCharType="separate"/>
      </w:r>
      <w:r>
        <w:rPr>
          <w:rFonts w:hint="eastAsia"/>
          <w:szCs w:val="24"/>
          <w:lang w:val="zh-TW" w:eastAsia="zh-TW"/>
        </w:rPr>
        <w:t xml:space="preserve">5.1 </w:t>
      </w:r>
      <w:r>
        <w:rPr>
          <w:szCs w:val="24"/>
          <w:lang w:val="zh-TW" w:eastAsia="zh-TW"/>
        </w:rPr>
        <w:t>试验人群的选择</w:t>
      </w:r>
      <w:r>
        <w:tab/>
      </w:r>
      <w:r>
        <w:fldChar w:fldCharType="begin"/>
      </w:r>
      <w:r>
        <w:instrText xml:space="preserve"> PAGEREF _Toc29297 \h </w:instrText>
      </w:r>
      <w:r>
        <w:fldChar w:fldCharType="separate"/>
      </w:r>
      <w:r>
        <w:t>46</w:t>
      </w:r>
      <w:r>
        <w:fldChar w:fldCharType="end"/>
      </w:r>
      <w:r>
        <w:fldChar w:fldCharType="end"/>
      </w:r>
    </w:p>
    <w:p w14:paraId="700DE47D">
      <w:pPr>
        <w:pStyle w:val="33"/>
        <w:tabs>
          <w:tab w:val="right" w:leader="dot" w:pos="9348"/>
        </w:tabs>
        <w:ind w:left="480"/>
      </w:pPr>
      <w:r>
        <w:fldChar w:fldCharType="begin"/>
      </w:r>
      <w:r>
        <w:instrText xml:space="preserve"> HYPERLINK \l "_Toc16848" </w:instrText>
      </w:r>
      <w:r>
        <w:fldChar w:fldCharType="separate"/>
      </w:r>
      <w:r>
        <w:rPr>
          <w:rFonts w:hint="eastAsia"/>
          <w:szCs w:val="24"/>
          <w:lang w:val="zh-TW" w:eastAsia="zh-TW"/>
        </w:rPr>
        <w:t xml:space="preserve">5.2 </w:t>
      </w:r>
      <w:r>
        <w:rPr>
          <w:szCs w:val="24"/>
          <w:lang w:val="zh-TW" w:eastAsia="zh-TW"/>
        </w:rPr>
        <w:t>试验人群的选择依据</w:t>
      </w:r>
      <w:r>
        <w:tab/>
      </w:r>
      <w:r>
        <w:fldChar w:fldCharType="begin"/>
      </w:r>
      <w:r>
        <w:instrText xml:space="preserve"> PAGEREF _Toc16848 \h </w:instrText>
      </w:r>
      <w:r>
        <w:fldChar w:fldCharType="separate"/>
      </w:r>
      <w:r>
        <w:t>46</w:t>
      </w:r>
      <w:r>
        <w:fldChar w:fldCharType="end"/>
      </w:r>
      <w:r>
        <w:fldChar w:fldCharType="end"/>
      </w:r>
    </w:p>
    <w:p w14:paraId="2AF10525">
      <w:pPr>
        <w:pStyle w:val="33"/>
        <w:tabs>
          <w:tab w:val="right" w:leader="dot" w:pos="9348"/>
        </w:tabs>
        <w:ind w:left="480"/>
      </w:pPr>
      <w:r>
        <w:fldChar w:fldCharType="begin"/>
      </w:r>
      <w:r>
        <w:instrText xml:space="preserve"> HYPERLINK \l "_Toc20304" </w:instrText>
      </w:r>
      <w:r>
        <w:fldChar w:fldCharType="separate"/>
      </w:r>
      <w:r>
        <w:rPr>
          <w:rFonts w:hint="eastAsia"/>
          <w:szCs w:val="24"/>
          <w:lang w:val="zh-TW" w:eastAsia="zh-TW"/>
        </w:rPr>
        <w:t xml:space="preserve">5.3 </w:t>
      </w:r>
      <w:r>
        <w:rPr>
          <w:szCs w:val="24"/>
          <w:lang w:val="zh-TW" w:eastAsia="zh-TW"/>
        </w:rPr>
        <w:t>入选标准</w:t>
      </w:r>
      <w:r>
        <w:tab/>
      </w:r>
      <w:r>
        <w:fldChar w:fldCharType="begin"/>
      </w:r>
      <w:r>
        <w:instrText xml:space="preserve"> PAGEREF _Toc20304 \h </w:instrText>
      </w:r>
      <w:r>
        <w:fldChar w:fldCharType="separate"/>
      </w:r>
      <w:r>
        <w:t>46</w:t>
      </w:r>
      <w:r>
        <w:fldChar w:fldCharType="end"/>
      </w:r>
      <w:r>
        <w:fldChar w:fldCharType="end"/>
      </w:r>
    </w:p>
    <w:p w14:paraId="413CDC82">
      <w:pPr>
        <w:pStyle w:val="33"/>
        <w:tabs>
          <w:tab w:val="right" w:leader="dot" w:pos="9348"/>
        </w:tabs>
        <w:ind w:left="480"/>
      </w:pPr>
      <w:r>
        <w:fldChar w:fldCharType="begin"/>
      </w:r>
      <w:r>
        <w:instrText xml:space="preserve"> HYPERLINK \l "_Toc6566" </w:instrText>
      </w:r>
      <w:r>
        <w:fldChar w:fldCharType="separate"/>
      </w:r>
      <w:r>
        <w:rPr>
          <w:rFonts w:hint="eastAsia"/>
          <w:szCs w:val="24"/>
          <w:lang w:val="zh-TW" w:eastAsia="zh-TW"/>
        </w:rPr>
        <w:t xml:space="preserve">5.4 </w:t>
      </w:r>
      <w:r>
        <w:rPr>
          <w:szCs w:val="24"/>
          <w:lang w:val="zh-TW" w:eastAsia="zh-TW"/>
        </w:rPr>
        <w:t>排除标准</w:t>
      </w:r>
      <w:r>
        <w:tab/>
      </w:r>
      <w:r>
        <w:fldChar w:fldCharType="begin"/>
      </w:r>
      <w:r>
        <w:instrText xml:space="preserve"> PAGEREF _Toc6566 \h </w:instrText>
      </w:r>
      <w:r>
        <w:fldChar w:fldCharType="separate"/>
      </w:r>
      <w:r>
        <w:t>46</w:t>
      </w:r>
      <w:r>
        <w:fldChar w:fldCharType="end"/>
      </w:r>
      <w:r>
        <w:fldChar w:fldCharType="end"/>
      </w:r>
    </w:p>
    <w:p w14:paraId="2DEF662C">
      <w:pPr>
        <w:pStyle w:val="33"/>
        <w:tabs>
          <w:tab w:val="right" w:leader="dot" w:pos="9348"/>
        </w:tabs>
        <w:ind w:left="480"/>
      </w:pPr>
      <w:r>
        <w:fldChar w:fldCharType="begin"/>
      </w:r>
      <w:r>
        <w:instrText xml:space="preserve"> HYPERLINK \l "_Toc28944" </w:instrText>
      </w:r>
      <w:r>
        <w:fldChar w:fldCharType="separate"/>
      </w:r>
      <w:r>
        <w:rPr>
          <w:rFonts w:hint="eastAsia"/>
          <w:szCs w:val="24"/>
          <w:lang w:val="zh-TW" w:eastAsia="zh-TW"/>
        </w:rPr>
        <w:t xml:space="preserve">5.5 </w:t>
      </w:r>
      <w:r>
        <w:rPr>
          <w:szCs w:val="24"/>
          <w:lang w:val="zh-TW" w:eastAsia="zh-TW"/>
        </w:rPr>
        <w:t>生活方式考虑</w:t>
      </w:r>
      <w:r>
        <w:tab/>
      </w:r>
      <w:r>
        <w:fldChar w:fldCharType="begin"/>
      </w:r>
      <w:r>
        <w:instrText xml:space="preserve"> PAGEREF _Toc28944 \h </w:instrText>
      </w:r>
      <w:r>
        <w:fldChar w:fldCharType="separate"/>
      </w:r>
      <w:r>
        <w:t>47</w:t>
      </w:r>
      <w:r>
        <w:fldChar w:fldCharType="end"/>
      </w:r>
      <w:r>
        <w:fldChar w:fldCharType="end"/>
      </w:r>
    </w:p>
    <w:p w14:paraId="73AD9F94">
      <w:pPr>
        <w:pStyle w:val="20"/>
        <w:tabs>
          <w:tab w:val="right" w:leader="dot" w:pos="9348"/>
        </w:tabs>
        <w:ind w:left="960"/>
      </w:pPr>
      <w:r>
        <w:fldChar w:fldCharType="begin"/>
      </w:r>
      <w:r>
        <w:instrText xml:space="preserve"> HYPERLINK \l "_Toc23233" </w:instrText>
      </w:r>
      <w:r>
        <w:fldChar w:fldCharType="separate"/>
      </w:r>
      <w:r>
        <w:rPr>
          <w:rFonts w:hint="eastAsia"/>
          <w:szCs w:val="24"/>
          <w:lang w:val="zh-TW" w:eastAsia="zh-TW"/>
        </w:rPr>
        <w:t xml:space="preserve">5.5.1 </w:t>
      </w:r>
      <w:r>
        <w:rPr>
          <w:szCs w:val="24"/>
          <w:lang w:val="zh-TW" w:eastAsia="zh-TW"/>
        </w:rPr>
        <w:t>膳食和饮食限制</w:t>
      </w:r>
      <w:r>
        <w:tab/>
      </w:r>
      <w:r>
        <w:fldChar w:fldCharType="begin"/>
      </w:r>
      <w:r>
        <w:instrText xml:space="preserve"> PAGEREF _Toc23233 \h </w:instrText>
      </w:r>
      <w:r>
        <w:fldChar w:fldCharType="separate"/>
      </w:r>
      <w:r>
        <w:t>47</w:t>
      </w:r>
      <w:r>
        <w:fldChar w:fldCharType="end"/>
      </w:r>
      <w:r>
        <w:fldChar w:fldCharType="end"/>
      </w:r>
    </w:p>
    <w:p w14:paraId="499D2A4D">
      <w:pPr>
        <w:pStyle w:val="20"/>
        <w:tabs>
          <w:tab w:val="right" w:leader="dot" w:pos="9348"/>
        </w:tabs>
        <w:ind w:left="960"/>
      </w:pPr>
      <w:r>
        <w:fldChar w:fldCharType="begin"/>
      </w:r>
      <w:r>
        <w:instrText xml:space="preserve"> HYPERLINK \l "_Toc21586" </w:instrText>
      </w:r>
      <w:r>
        <w:fldChar w:fldCharType="separate"/>
      </w:r>
      <w:r>
        <w:rPr>
          <w:rFonts w:hint="eastAsia"/>
          <w:szCs w:val="24"/>
          <w:lang w:val="zh-TW"/>
        </w:rPr>
        <w:t xml:space="preserve">5.5.2 </w:t>
      </w:r>
      <w:r>
        <w:rPr>
          <w:szCs w:val="24"/>
          <w:lang w:val="zh-TW"/>
        </w:rPr>
        <w:t>咖啡因、酒精、烟草和其他习惯</w:t>
      </w:r>
      <w:r>
        <w:tab/>
      </w:r>
      <w:r>
        <w:fldChar w:fldCharType="begin"/>
      </w:r>
      <w:r>
        <w:instrText xml:space="preserve"> PAGEREF _Toc21586 \h </w:instrText>
      </w:r>
      <w:r>
        <w:fldChar w:fldCharType="separate"/>
      </w:r>
      <w:r>
        <w:t>47</w:t>
      </w:r>
      <w:r>
        <w:fldChar w:fldCharType="end"/>
      </w:r>
      <w:r>
        <w:fldChar w:fldCharType="end"/>
      </w:r>
    </w:p>
    <w:p w14:paraId="08526BAF">
      <w:pPr>
        <w:pStyle w:val="20"/>
        <w:tabs>
          <w:tab w:val="right" w:leader="dot" w:pos="9348"/>
        </w:tabs>
        <w:ind w:left="960"/>
      </w:pPr>
      <w:r>
        <w:fldChar w:fldCharType="begin"/>
      </w:r>
      <w:r>
        <w:instrText xml:space="preserve"> HYPERLINK \l "_Toc28771" </w:instrText>
      </w:r>
      <w:r>
        <w:fldChar w:fldCharType="separate"/>
      </w:r>
      <w:r>
        <w:rPr>
          <w:rFonts w:hint="eastAsia"/>
          <w:szCs w:val="24"/>
          <w:lang w:val="zh-TW" w:eastAsia="zh-TW"/>
        </w:rPr>
        <w:t xml:space="preserve">5.5.3 </w:t>
      </w:r>
      <w:r>
        <w:rPr>
          <w:szCs w:val="24"/>
          <w:lang w:val="zh-TW" w:eastAsia="zh-TW"/>
        </w:rPr>
        <w:t>体育活动</w:t>
      </w:r>
      <w:r>
        <w:tab/>
      </w:r>
      <w:r>
        <w:fldChar w:fldCharType="begin"/>
      </w:r>
      <w:r>
        <w:instrText xml:space="preserve"> PAGEREF _Toc28771 \h </w:instrText>
      </w:r>
      <w:r>
        <w:fldChar w:fldCharType="separate"/>
      </w:r>
      <w:r>
        <w:t>47</w:t>
      </w:r>
      <w:r>
        <w:fldChar w:fldCharType="end"/>
      </w:r>
      <w:r>
        <w:fldChar w:fldCharType="end"/>
      </w:r>
    </w:p>
    <w:p w14:paraId="0F9C7543">
      <w:pPr>
        <w:pStyle w:val="33"/>
        <w:tabs>
          <w:tab w:val="right" w:leader="dot" w:pos="9348"/>
        </w:tabs>
        <w:ind w:left="480"/>
      </w:pPr>
      <w:r>
        <w:fldChar w:fldCharType="begin"/>
      </w:r>
      <w:r>
        <w:instrText xml:space="preserve"> HYPERLINK \l "_Toc15311" </w:instrText>
      </w:r>
      <w:r>
        <w:fldChar w:fldCharType="separate"/>
      </w:r>
      <w:r>
        <w:rPr>
          <w:rFonts w:hint="eastAsia"/>
          <w:szCs w:val="24"/>
          <w:lang w:val="zh-TW" w:eastAsia="zh-TW"/>
        </w:rPr>
        <w:t xml:space="preserve">5.6 </w:t>
      </w:r>
      <w:r>
        <w:rPr>
          <w:szCs w:val="24"/>
          <w:lang w:val="zh-TW" w:eastAsia="zh-TW"/>
        </w:rPr>
        <w:t>筛选失败</w:t>
      </w:r>
      <w:r>
        <w:tab/>
      </w:r>
      <w:r>
        <w:fldChar w:fldCharType="begin"/>
      </w:r>
      <w:r>
        <w:instrText xml:space="preserve"> PAGEREF _Toc15311 \h </w:instrText>
      </w:r>
      <w:r>
        <w:fldChar w:fldCharType="separate"/>
      </w:r>
      <w:r>
        <w:t>47</w:t>
      </w:r>
      <w:r>
        <w:fldChar w:fldCharType="end"/>
      </w:r>
      <w:r>
        <w:fldChar w:fldCharType="end"/>
      </w:r>
    </w:p>
    <w:p w14:paraId="0D90C664">
      <w:pPr>
        <w:pStyle w:val="28"/>
        <w:tabs>
          <w:tab w:val="right" w:leader="dot" w:pos="9348"/>
        </w:tabs>
      </w:pPr>
      <w:r>
        <w:fldChar w:fldCharType="begin"/>
      </w:r>
      <w:r>
        <w:instrText xml:space="preserve"> HYPERLINK \l "_Toc3294" </w:instrText>
      </w:r>
      <w:r>
        <w:fldChar w:fldCharType="separate"/>
      </w:r>
      <w:r>
        <w:rPr>
          <w:rFonts w:hint="eastAsia"/>
          <w:szCs w:val="24"/>
        </w:rPr>
        <w:t xml:space="preserve">6 </w:t>
      </w:r>
      <w:r>
        <w:rPr>
          <w:szCs w:val="24"/>
        </w:rPr>
        <w:t>试验干预和伴随治疗</w:t>
      </w:r>
      <w:r>
        <w:tab/>
      </w:r>
      <w:r>
        <w:fldChar w:fldCharType="begin"/>
      </w:r>
      <w:r>
        <w:instrText xml:space="preserve"> PAGEREF _Toc3294 \h </w:instrText>
      </w:r>
      <w:r>
        <w:fldChar w:fldCharType="separate"/>
      </w:r>
      <w:r>
        <w:t>47</w:t>
      </w:r>
      <w:r>
        <w:fldChar w:fldCharType="end"/>
      </w:r>
      <w:r>
        <w:fldChar w:fldCharType="end"/>
      </w:r>
    </w:p>
    <w:p w14:paraId="5611222D">
      <w:pPr>
        <w:pStyle w:val="33"/>
        <w:tabs>
          <w:tab w:val="right" w:leader="dot" w:pos="9348"/>
        </w:tabs>
        <w:ind w:left="480"/>
      </w:pPr>
      <w:r>
        <w:fldChar w:fldCharType="begin"/>
      </w:r>
      <w:r>
        <w:instrText xml:space="preserve"> HYPERLINK \l "_Toc2342" </w:instrText>
      </w:r>
      <w:r>
        <w:fldChar w:fldCharType="separate"/>
      </w:r>
      <w:r>
        <w:rPr>
          <w:rFonts w:hint="eastAsia"/>
          <w:szCs w:val="24"/>
          <w:lang w:val="zh-TW" w:eastAsia="zh-TW"/>
        </w:rPr>
        <w:t xml:space="preserve">6.1 </w:t>
      </w:r>
      <w:r>
        <w:rPr>
          <w:szCs w:val="24"/>
          <w:lang w:val="zh-TW" w:eastAsia="zh-TW"/>
        </w:rPr>
        <w:t>试验干预描述</w:t>
      </w:r>
      <w:r>
        <w:tab/>
      </w:r>
      <w:r>
        <w:fldChar w:fldCharType="begin"/>
      </w:r>
      <w:r>
        <w:instrText xml:space="preserve"> PAGEREF _Toc2342 \h </w:instrText>
      </w:r>
      <w:r>
        <w:fldChar w:fldCharType="separate"/>
      </w:r>
      <w:r>
        <w:t>47</w:t>
      </w:r>
      <w:r>
        <w:fldChar w:fldCharType="end"/>
      </w:r>
      <w:r>
        <w:fldChar w:fldCharType="end"/>
      </w:r>
    </w:p>
    <w:p w14:paraId="557AC1BF">
      <w:pPr>
        <w:pStyle w:val="33"/>
        <w:tabs>
          <w:tab w:val="right" w:leader="dot" w:pos="9348"/>
        </w:tabs>
        <w:ind w:left="480"/>
      </w:pPr>
      <w:r>
        <w:fldChar w:fldCharType="begin"/>
      </w:r>
      <w:r>
        <w:instrText xml:space="preserve"> HYPERLINK \l "_Toc27039" </w:instrText>
      </w:r>
      <w:r>
        <w:fldChar w:fldCharType="separate"/>
      </w:r>
      <w:r>
        <w:rPr>
          <w:rFonts w:hint="eastAsia"/>
          <w:szCs w:val="24"/>
          <w:lang w:val="zh-TW" w:eastAsia="zh-TW"/>
        </w:rPr>
        <w:t xml:space="preserve">6.2 </w:t>
      </w:r>
      <w:r>
        <w:rPr>
          <w:szCs w:val="24"/>
          <w:lang w:val="zh-TW" w:eastAsia="zh-TW"/>
        </w:rPr>
        <w:t>试验干预的选择依据</w:t>
      </w:r>
      <w:r>
        <w:tab/>
      </w:r>
      <w:r>
        <w:fldChar w:fldCharType="begin"/>
      </w:r>
      <w:r>
        <w:instrText xml:space="preserve"> PAGEREF _Toc27039 \h </w:instrText>
      </w:r>
      <w:r>
        <w:fldChar w:fldCharType="separate"/>
      </w:r>
      <w:r>
        <w:t>48</w:t>
      </w:r>
      <w:r>
        <w:fldChar w:fldCharType="end"/>
      </w:r>
      <w:r>
        <w:fldChar w:fldCharType="end"/>
      </w:r>
    </w:p>
    <w:p w14:paraId="65C62E5C">
      <w:pPr>
        <w:pStyle w:val="33"/>
        <w:tabs>
          <w:tab w:val="right" w:leader="dot" w:pos="9348"/>
        </w:tabs>
        <w:ind w:left="480"/>
      </w:pPr>
      <w:r>
        <w:fldChar w:fldCharType="begin"/>
      </w:r>
      <w:r>
        <w:instrText xml:space="preserve"> HYPERLINK \l "_Toc7474" </w:instrText>
      </w:r>
      <w:r>
        <w:fldChar w:fldCharType="separate"/>
      </w:r>
      <w:r>
        <w:rPr>
          <w:rFonts w:hint="eastAsia"/>
          <w:szCs w:val="24"/>
          <w:lang w:val="zh-TW" w:eastAsia="zh-TW"/>
        </w:rPr>
        <w:t xml:space="preserve">6.3 </w:t>
      </w:r>
      <w:r>
        <w:rPr>
          <w:szCs w:val="24"/>
          <w:lang w:val="zh-TW" w:eastAsia="zh-TW"/>
        </w:rPr>
        <w:t>用法用量</w:t>
      </w:r>
      <w:r>
        <w:tab/>
      </w:r>
      <w:r>
        <w:fldChar w:fldCharType="begin"/>
      </w:r>
      <w:r>
        <w:instrText xml:space="preserve"> PAGEREF _Toc7474 \h </w:instrText>
      </w:r>
      <w:r>
        <w:fldChar w:fldCharType="separate"/>
      </w:r>
      <w:r>
        <w:t>48</w:t>
      </w:r>
      <w:r>
        <w:fldChar w:fldCharType="end"/>
      </w:r>
      <w:r>
        <w:fldChar w:fldCharType="end"/>
      </w:r>
    </w:p>
    <w:p w14:paraId="3B2478B0">
      <w:pPr>
        <w:pStyle w:val="33"/>
        <w:tabs>
          <w:tab w:val="right" w:leader="dot" w:pos="9348"/>
        </w:tabs>
        <w:ind w:left="480"/>
      </w:pPr>
      <w:r>
        <w:fldChar w:fldCharType="begin"/>
      </w:r>
      <w:r>
        <w:instrText xml:space="preserve"> HYPERLINK \l "_Toc17582" </w:instrText>
      </w:r>
      <w:r>
        <w:fldChar w:fldCharType="separate"/>
      </w:r>
      <w:r>
        <w:rPr>
          <w:rFonts w:hint="eastAsia"/>
          <w:szCs w:val="24"/>
          <w:lang w:val="zh-TW" w:eastAsia="zh-TW"/>
        </w:rPr>
        <w:t xml:space="preserve">6.4 </w:t>
      </w:r>
      <w:r>
        <w:rPr>
          <w:szCs w:val="24"/>
          <w:lang w:val="zh-TW" w:eastAsia="zh-TW"/>
        </w:rPr>
        <w:t>用药过量的治疗</w:t>
      </w:r>
      <w:r>
        <w:tab/>
      </w:r>
      <w:r>
        <w:fldChar w:fldCharType="begin"/>
      </w:r>
      <w:r>
        <w:instrText xml:space="preserve"> PAGEREF _Toc17582 \h </w:instrText>
      </w:r>
      <w:r>
        <w:fldChar w:fldCharType="separate"/>
      </w:r>
      <w:r>
        <w:t>48</w:t>
      </w:r>
      <w:r>
        <w:fldChar w:fldCharType="end"/>
      </w:r>
      <w:r>
        <w:fldChar w:fldCharType="end"/>
      </w:r>
    </w:p>
    <w:p w14:paraId="55BA0832">
      <w:pPr>
        <w:pStyle w:val="33"/>
        <w:tabs>
          <w:tab w:val="right" w:leader="dot" w:pos="9348"/>
        </w:tabs>
        <w:ind w:left="480"/>
      </w:pPr>
      <w:r>
        <w:fldChar w:fldCharType="begin"/>
      </w:r>
      <w:r>
        <w:instrText xml:space="preserve"> HYPERLINK \l "_Toc1038" </w:instrText>
      </w:r>
      <w:r>
        <w:fldChar w:fldCharType="separate"/>
      </w:r>
      <w:r>
        <w:rPr>
          <w:rFonts w:hint="eastAsia"/>
          <w:szCs w:val="24"/>
          <w:lang w:val="zh-TW"/>
        </w:rPr>
        <w:t xml:space="preserve">6.5 </w:t>
      </w:r>
      <w:r>
        <w:rPr>
          <w:szCs w:val="24"/>
          <w:lang w:val="zh-TW"/>
        </w:rPr>
        <w:t>制备、处理、储存和清点</w:t>
      </w:r>
      <w:r>
        <w:tab/>
      </w:r>
      <w:r>
        <w:fldChar w:fldCharType="begin"/>
      </w:r>
      <w:r>
        <w:instrText xml:space="preserve"> PAGEREF _Toc1038 \h </w:instrText>
      </w:r>
      <w:r>
        <w:fldChar w:fldCharType="separate"/>
      </w:r>
      <w:r>
        <w:t>48</w:t>
      </w:r>
      <w:r>
        <w:fldChar w:fldCharType="end"/>
      </w:r>
      <w:r>
        <w:fldChar w:fldCharType="end"/>
      </w:r>
    </w:p>
    <w:p w14:paraId="1BD3F406">
      <w:pPr>
        <w:pStyle w:val="20"/>
        <w:tabs>
          <w:tab w:val="right" w:leader="dot" w:pos="9348"/>
        </w:tabs>
        <w:ind w:left="960"/>
      </w:pPr>
      <w:r>
        <w:fldChar w:fldCharType="begin"/>
      </w:r>
      <w:r>
        <w:instrText xml:space="preserve"> HYPERLINK \l "_Toc28453" </w:instrText>
      </w:r>
      <w:r>
        <w:fldChar w:fldCharType="separate"/>
      </w:r>
      <w:r>
        <w:rPr>
          <w:rFonts w:hint="eastAsia"/>
          <w:szCs w:val="24"/>
          <w:lang w:val="zh-TW" w:eastAsia="zh-TW"/>
        </w:rPr>
        <w:t xml:space="preserve">6.5.1 </w:t>
      </w:r>
      <w:r>
        <w:rPr>
          <w:szCs w:val="24"/>
          <w:lang w:val="zh-TW" w:eastAsia="zh-TW"/>
        </w:rPr>
        <w:t>试验干预的制备</w:t>
      </w:r>
      <w:r>
        <w:tab/>
      </w:r>
      <w:r>
        <w:fldChar w:fldCharType="begin"/>
      </w:r>
      <w:r>
        <w:instrText xml:space="preserve"> PAGEREF _Toc28453 \h </w:instrText>
      </w:r>
      <w:r>
        <w:fldChar w:fldCharType="separate"/>
      </w:r>
      <w:r>
        <w:t>48</w:t>
      </w:r>
      <w:r>
        <w:fldChar w:fldCharType="end"/>
      </w:r>
      <w:r>
        <w:fldChar w:fldCharType="end"/>
      </w:r>
    </w:p>
    <w:p w14:paraId="57EEC6F3">
      <w:pPr>
        <w:pStyle w:val="20"/>
        <w:tabs>
          <w:tab w:val="right" w:leader="dot" w:pos="9348"/>
        </w:tabs>
        <w:ind w:left="960"/>
      </w:pPr>
      <w:r>
        <w:fldChar w:fldCharType="begin"/>
      </w:r>
      <w:r>
        <w:instrText xml:space="preserve"> HYPERLINK \l "_Toc4650" </w:instrText>
      </w:r>
      <w:r>
        <w:fldChar w:fldCharType="separate"/>
      </w:r>
      <w:r>
        <w:rPr>
          <w:rFonts w:hint="eastAsia"/>
          <w:szCs w:val="24"/>
          <w:lang w:val="zh-TW" w:eastAsia="zh-TW"/>
        </w:rPr>
        <w:t xml:space="preserve">6.5.2 </w:t>
      </w:r>
      <w:r>
        <w:rPr>
          <w:szCs w:val="24"/>
          <w:lang w:val="zh-TW" w:eastAsia="zh-TW"/>
        </w:rPr>
        <w:t>试验干预的处理和储存</w:t>
      </w:r>
      <w:r>
        <w:tab/>
      </w:r>
      <w:r>
        <w:fldChar w:fldCharType="begin"/>
      </w:r>
      <w:r>
        <w:instrText xml:space="preserve"> PAGEREF _Toc4650 \h </w:instrText>
      </w:r>
      <w:r>
        <w:fldChar w:fldCharType="separate"/>
      </w:r>
      <w:r>
        <w:t>48</w:t>
      </w:r>
      <w:r>
        <w:fldChar w:fldCharType="end"/>
      </w:r>
      <w:r>
        <w:fldChar w:fldCharType="end"/>
      </w:r>
    </w:p>
    <w:p w14:paraId="2C282CBB">
      <w:pPr>
        <w:pStyle w:val="20"/>
        <w:tabs>
          <w:tab w:val="right" w:leader="dot" w:pos="9348"/>
        </w:tabs>
        <w:ind w:left="960"/>
      </w:pPr>
      <w:r>
        <w:fldChar w:fldCharType="begin"/>
      </w:r>
      <w:r>
        <w:instrText xml:space="preserve"> HYPERLINK \l "_Toc7276" </w:instrText>
      </w:r>
      <w:r>
        <w:fldChar w:fldCharType="separate"/>
      </w:r>
      <w:r>
        <w:rPr>
          <w:rFonts w:hint="eastAsia"/>
          <w:szCs w:val="24"/>
          <w:lang w:val="zh-TW" w:eastAsia="zh-TW"/>
        </w:rPr>
        <w:t xml:space="preserve">6.5.3 </w:t>
      </w:r>
      <w:r>
        <w:rPr>
          <w:szCs w:val="24"/>
          <w:lang w:val="zh-TW" w:eastAsia="zh-TW"/>
        </w:rPr>
        <w:t>试验干预的清点</w:t>
      </w:r>
      <w:r>
        <w:tab/>
      </w:r>
      <w:r>
        <w:fldChar w:fldCharType="begin"/>
      </w:r>
      <w:r>
        <w:instrText xml:space="preserve"> PAGEREF _Toc7276 \h </w:instrText>
      </w:r>
      <w:r>
        <w:fldChar w:fldCharType="separate"/>
      </w:r>
      <w:r>
        <w:t>49</w:t>
      </w:r>
      <w:r>
        <w:fldChar w:fldCharType="end"/>
      </w:r>
      <w:r>
        <w:fldChar w:fldCharType="end"/>
      </w:r>
    </w:p>
    <w:p w14:paraId="48463BD6">
      <w:pPr>
        <w:pStyle w:val="33"/>
        <w:tabs>
          <w:tab w:val="right" w:leader="dot" w:pos="9348"/>
        </w:tabs>
        <w:ind w:left="480"/>
      </w:pPr>
      <w:r>
        <w:fldChar w:fldCharType="begin"/>
      </w:r>
      <w:r>
        <w:instrText xml:space="preserve"> HYPERLINK \l "_Toc803" </w:instrText>
      </w:r>
      <w:r>
        <w:fldChar w:fldCharType="separate"/>
      </w:r>
      <w:r>
        <w:rPr>
          <w:rFonts w:hint="eastAsia"/>
          <w:szCs w:val="24"/>
          <w:lang w:val="zh-TW"/>
        </w:rPr>
        <w:t xml:space="preserve">6.6 </w:t>
      </w:r>
      <w:r>
        <w:rPr>
          <w:szCs w:val="24"/>
          <w:lang w:val="zh-TW"/>
        </w:rPr>
        <w:t>参与者分配、随机化和设盲</w:t>
      </w:r>
      <w:r>
        <w:tab/>
      </w:r>
      <w:r>
        <w:fldChar w:fldCharType="begin"/>
      </w:r>
      <w:r>
        <w:instrText xml:space="preserve"> PAGEREF _Toc803 \h </w:instrText>
      </w:r>
      <w:r>
        <w:fldChar w:fldCharType="separate"/>
      </w:r>
      <w:r>
        <w:t>49</w:t>
      </w:r>
      <w:r>
        <w:fldChar w:fldCharType="end"/>
      </w:r>
      <w:r>
        <w:fldChar w:fldCharType="end"/>
      </w:r>
    </w:p>
    <w:p w14:paraId="449314B1">
      <w:pPr>
        <w:pStyle w:val="20"/>
        <w:tabs>
          <w:tab w:val="right" w:leader="dot" w:pos="9348"/>
        </w:tabs>
        <w:ind w:left="960"/>
      </w:pPr>
      <w:r>
        <w:fldChar w:fldCharType="begin"/>
      </w:r>
      <w:r>
        <w:instrText xml:space="preserve"> HYPERLINK \l "_Toc24633" </w:instrText>
      </w:r>
      <w:r>
        <w:fldChar w:fldCharType="separate"/>
      </w:r>
      <w:r>
        <w:rPr>
          <w:rFonts w:hint="eastAsia"/>
          <w:szCs w:val="24"/>
          <w:lang w:val="zh-TW" w:eastAsia="zh-TW"/>
        </w:rPr>
        <w:t xml:space="preserve">6.6.1 </w:t>
      </w:r>
      <w:r>
        <w:rPr>
          <w:szCs w:val="24"/>
          <w:lang w:val="zh-TW" w:eastAsia="zh-TW"/>
        </w:rPr>
        <w:t>参与者分配</w:t>
      </w:r>
      <w:r>
        <w:tab/>
      </w:r>
      <w:r>
        <w:fldChar w:fldCharType="begin"/>
      </w:r>
      <w:r>
        <w:instrText xml:space="preserve"> PAGEREF _Toc24633 \h </w:instrText>
      </w:r>
      <w:r>
        <w:fldChar w:fldCharType="separate"/>
      </w:r>
      <w:r>
        <w:t>49</w:t>
      </w:r>
      <w:r>
        <w:fldChar w:fldCharType="end"/>
      </w:r>
      <w:r>
        <w:fldChar w:fldCharType="end"/>
      </w:r>
    </w:p>
    <w:p w14:paraId="7485FFB5">
      <w:pPr>
        <w:pStyle w:val="20"/>
        <w:tabs>
          <w:tab w:val="right" w:leader="dot" w:pos="9348"/>
        </w:tabs>
        <w:ind w:left="960"/>
      </w:pPr>
      <w:r>
        <w:fldChar w:fldCharType="begin"/>
      </w:r>
      <w:r>
        <w:instrText xml:space="preserve"> HYPERLINK \l "_Toc28729" </w:instrText>
      </w:r>
      <w:r>
        <w:fldChar w:fldCharType="separate"/>
      </w:r>
      <w:r>
        <w:rPr>
          <w:rFonts w:hint="eastAsia"/>
          <w:szCs w:val="24"/>
          <w:lang w:val="zh-TW" w:eastAsia="zh-TW"/>
        </w:rPr>
        <w:t xml:space="preserve">6.6.2 </w:t>
      </w:r>
      <w:r>
        <w:rPr>
          <w:szCs w:val="24"/>
          <w:lang w:val="zh-TW" w:eastAsia="zh-TW"/>
        </w:rPr>
        <w:t>随机化</w:t>
      </w:r>
      <w:r>
        <w:tab/>
      </w:r>
      <w:r>
        <w:fldChar w:fldCharType="begin"/>
      </w:r>
      <w:r>
        <w:instrText xml:space="preserve"> PAGEREF _Toc28729 \h </w:instrText>
      </w:r>
      <w:r>
        <w:fldChar w:fldCharType="separate"/>
      </w:r>
      <w:r>
        <w:t>49</w:t>
      </w:r>
      <w:r>
        <w:fldChar w:fldCharType="end"/>
      </w:r>
      <w:r>
        <w:fldChar w:fldCharType="end"/>
      </w:r>
    </w:p>
    <w:p w14:paraId="3191418A">
      <w:pPr>
        <w:pStyle w:val="20"/>
        <w:tabs>
          <w:tab w:val="right" w:leader="dot" w:pos="9348"/>
        </w:tabs>
        <w:ind w:left="960"/>
      </w:pPr>
      <w:r>
        <w:fldChar w:fldCharType="begin"/>
      </w:r>
      <w:r>
        <w:instrText xml:space="preserve"> HYPERLINK \l "_Toc31138" </w:instrText>
      </w:r>
      <w:r>
        <w:fldChar w:fldCharType="separate"/>
      </w:r>
      <w:r>
        <w:rPr>
          <w:rFonts w:hint="eastAsia"/>
          <w:szCs w:val="24"/>
          <w:lang w:val="zh-TW" w:eastAsia="zh-TW"/>
        </w:rPr>
        <w:t xml:space="preserve">6.6.3 </w:t>
      </w:r>
      <w:r>
        <w:rPr>
          <w:szCs w:val="24"/>
          <w:lang w:val="zh-TW" w:eastAsia="zh-TW"/>
        </w:rPr>
        <w:t>设盲</w:t>
      </w:r>
      <w:r>
        <w:tab/>
      </w:r>
      <w:r>
        <w:fldChar w:fldCharType="begin"/>
      </w:r>
      <w:r>
        <w:instrText xml:space="preserve"> PAGEREF _Toc31138 \h </w:instrText>
      </w:r>
      <w:r>
        <w:fldChar w:fldCharType="separate"/>
      </w:r>
      <w:r>
        <w:t>49</w:t>
      </w:r>
      <w:r>
        <w:fldChar w:fldCharType="end"/>
      </w:r>
      <w:r>
        <w:fldChar w:fldCharType="end"/>
      </w:r>
    </w:p>
    <w:p w14:paraId="08FB3B22">
      <w:pPr>
        <w:pStyle w:val="33"/>
        <w:tabs>
          <w:tab w:val="right" w:leader="dot" w:pos="9348"/>
        </w:tabs>
        <w:ind w:left="480"/>
      </w:pPr>
      <w:r>
        <w:fldChar w:fldCharType="begin"/>
      </w:r>
      <w:r>
        <w:instrText xml:space="preserve"> HYPERLINK \l "_Toc25497" </w:instrText>
      </w:r>
      <w:r>
        <w:fldChar w:fldCharType="separate"/>
      </w:r>
      <w:r>
        <w:rPr>
          <w:rFonts w:hint="eastAsia"/>
          <w:szCs w:val="24"/>
          <w:lang w:val="zh-TW" w:eastAsia="zh-TW"/>
        </w:rPr>
        <w:t xml:space="preserve">6.7 </w:t>
      </w:r>
      <w:r>
        <w:rPr>
          <w:szCs w:val="24"/>
          <w:lang w:val="zh-TW" w:eastAsia="zh-TW"/>
        </w:rPr>
        <w:t>试验干预依从性</w:t>
      </w:r>
      <w:r>
        <w:tab/>
      </w:r>
      <w:r>
        <w:fldChar w:fldCharType="begin"/>
      </w:r>
      <w:r>
        <w:instrText xml:space="preserve"> PAGEREF _Toc25497 \h </w:instrText>
      </w:r>
      <w:r>
        <w:fldChar w:fldCharType="separate"/>
      </w:r>
      <w:r>
        <w:t>49</w:t>
      </w:r>
      <w:r>
        <w:fldChar w:fldCharType="end"/>
      </w:r>
      <w:r>
        <w:fldChar w:fldCharType="end"/>
      </w:r>
    </w:p>
    <w:p w14:paraId="0253EF53">
      <w:pPr>
        <w:pStyle w:val="33"/>
        <w:tabs>
          <w:tab w:val="right" w:leader="dot" w:pos="9348"/>
        </w:tabs>
        <w:ind w:left="480"/>
      </w:pPr>
      <w:r>
        <w:fldChar w:fldCharType="begin"/>
      </w:r>
      <w:r>
        <w:instrText xml:space="preserve"> HYPERLINK \l "_Toc15309" </w:instrText>
      </w:r>
      <w:r>
        <w:fldChar w:fldCharType="separate"/>
      </w:r>
      <w:r>
        <w:rPr>
          <w:rFonts w:hint="eastAsia"/>
          <w:szCs w:val="24"/>
          <w:lang w:val="zh-TW" w:eastAsia="zh-TW"/>
        </w:rPr>
        <w:t xml:space="preserve">6.8 </w:t>
      </w:r>
      <w:r>
        <w:rPr>
          <w:szCs w:val="24"/>
          <w:lang w:val="zh-TW" w:eastAsia="zh-TW"/>
        </w:rPr>
        <w:t>伴随治疗</w:t>
      </w:r>
      <w:r>
        <w:tab/>
      </w:r>
      <w:r>
        <w:fldChar w:fldCharType="begin"/>
      </w:r>
      <w:r>
        <w:instrText xml:space="preserve"> PAGEREF _Toc15309 \h </w:instrText>
      </w:r>
      <w:r>
        <w:fldChar w:fldCharType="separate"/>
      </w:r>
      <w:r>
        <w:t>50</w:t>
      </w:r>
      <w:r>
        <w:fldChar w:fldCharType="end"/>
      </w:r>
      <w:r>
        <w:fldChar w:fldCharType="end"/>
      </w:r>
    </w:p>
    <w:p w14:paraId="7A0FDBA5">
      <w:pPr>
        <w:pStyle w:val="20"/>
        <w:tabs>
          <w:tab w:val="right" w:leader="dot" w:pos="9348"/>
        </w:tabs>
        <w:ind w:left="960"/>
      </w:pPr>
      <w:r>
        <w:fldChar w:fldCharType="begin"/>
      </w:r>
      <w:r>
        <w:instrText xml:space="preserve"> HYPERLINK \l "_Toc14038" </w:instrText>
      </w:r>
      <w:r>
        <w:fldChar w:fldCharType="separate"/>
      </w:r>
      <w:r>
        <w:rPr>
          <w:rFonts w:hint="eastAsia"/>
          <w:szCs w:val="24"/>
          <w:lang w:val="zh-TW" w:eastAsia="zh-TW"/>
        </w:rPr>
        <w:t xml:space="preserve">6.8.1 </w:t>
      </w:r>
      <w:r>
        <w:rPr>
          <w:szCs w:val="24"/>
          <w:lang w:val="zh-TW" w:eastAsia="zh-TW"/>
        </w:rPr>
        <w:t>禁止的伴随治疗</w:t>
      </w:r>
      <w:r>
        <w:tab/>
      </w:r>
      <w:r>
        <w:fldChar w:fldCharType="begin"/>
      </w:r>
      <w:r>
        <w:instrText xml:space="preserve"> PAGEREF _Toc14038 \h </w:instrText>
      </w:r>
      <w:r>
        <w:fldChar w:fldCharType="separate"/>
      </w:r>
      <w:r>
        <w:t>50</w:t>
      </w:r>
      <w:r>
        <w:fldChar w:fldCharType="end"/>
      </w:r>
      <w:r>
        <w:fldChar w:fldCharType="end"/>
      </w:r>
    </w:p>
    <w:p w14:paraId="4E81EBA1">
      <w:pPr>
        <w:pStyle w:val="20"/>
        <w:tabs>
          <w:tab w:val="right" w:leader="dot" w:pos="9348"/>
        </w:tabs>
        <w:ind w:left="960"/>
      </w:pPr>
      <w:r>
        <w:fldChar w:fldCharType="begin"/>
      </w:r>
      <w:r>
        <w:instrText xml:space="preserve"> HYPERLINK \l "_Toc10490" </w:instrText>
      </w:r>
      <w:r>
        <w:fldChar w:fldCharType="separate"/>
      </w:r>
      <w:r>
        <w:rPr>
          <w:rFonts w:hint="eastAsia"/>
          <w:szCs w:val="24"/>
          <w:lang w:val="zh-TW" w:eastAsia="zh-TW"/>
        </w:rPr>
        <w:t xml:space="preserve">6.8.2 </w:t>
      </w:r>
      <w:r>
        <w:rPr>
          <w:szCs w:val="24"/>
          <w:lang w:val="zh-TW" w:eastAsia="zh-TW"/>
        </w:rPr>
        <w:t>允许的伴随治疗</w:t>
      </w:r>
      <w:r>
        <w:tab/>
      </w:r>
      <w:r>
        <w:fldChar w:fldCharType="begin"/>
      </w:r>
      <w:r>
        <w:instrText xml:space="preserve"> PAGEREF _Toc10490 \h </w:instrText>
      </w:r>
      <w:r>
        <w:fldChar w:fldCharType="separate"/>
      </w:r>
      <w:r>
        <w:t>50</w:t>
      </w:r>
      <w:r>
        <w:fldChar w:fldCharType="end"/>
      </w:r>
      <w:r>
        <w:fldChar w:fldCharType="end"/>
      </w:r>
    </w:p>
    <w:p w14:paraId="3A413103">
      <w:pPr>
        <w:pStyle w:val="20"/>
        <w:tabs>
          <w:tab w:val="right" w:leader="dot" w:pos="9348"/>
        </w:tabs>
        <w:ind w:left="960"/>
      </w:pPr>
      <w:r>
        <w:fldChar w:fldCharType="begin"/>
      </w:r>
      <w:r>
        <w:instrText xml:space="preserve"> HYPERLINK \l "_Toc7748" </w:instrText>
      </w:r>
      <w:r>
        <w:fldChar w:fldCharType="separate"/>
      </w:r>
      <w:r>
        <w:rPr>
          <w:rFonts w:hint="eastAsia"/>
          <w:szCs w:val="24"/>
          <w:lang w:val="zh-TW" w:eastAsia="zh-TW"/>
        </w:rPr>
        <w:t xml:space="preserve">6.8.3 </w:t>
      </w:r>
      <w:r>
        <w:rPr>
          <w:szCs w:val="24"/>
          <w:lang w:val="zh-TW" w:eastAsia="zh-TW"/>
        </w:rPr>
        <w:t>补救治疗</w:t>
      </w:r>
      <w:r>
        <w:tab/>
      </w:r>
      <w:r>
        <w:fldChar w:fldCharType="begin"/>
      </w:r>
      <w:r>
        <w:instrText xml:space="preserve"> PAGEREF _Toc7748 \h </w:instrText>
      </w:r>
      <w:r>
        <w:fldChar w:fldCharType="separate"/>
      </w:r>
      <w:r>
        <w:t>50</w:t>
      </w:r>
      <w:r>
        <w:fldChar w:fldCharType="end"/>
      </w:r>
      <w:r>
        <w:fldChar w:fldCharType="end"/>
      </w:r>
    </w:p>
    <w:p w14:paraId="440661E8">
      <w:pPr>
        <w:pStyle w:val="28"/>
        <w:tabs>
          <w:tab w:val="right" w:leader="dot" w:pos="9348"/>
        </w:tabs>
      </w:pPr>
      <w:r>
        <w:fldChar w:fldCharType="begin"/>
      </w:r>
      <w:r>
        <w:instrText xml:space="preserve"> HYPERLINK \l "_Toc15096" </w:instrText>
      </w:r>
      <w:r>
        <w:fldChar w:fldCharType="separate"/>
      </w:r>
      <w:r>
        <w:rPr>
          <w:rFonts w:hint="eastAsia"/>
          <w:szCs w:val="24"/>
        </w:rPr>
        <w:t xml:space="preserve">7 </w:t>
      </w:r>
      <w:r>
        <w:rPr>
          <w:szCs w:val="24"/>
        </w:rPr>
        <w:t>试验干预中止和受试者退出试验</w:t>
      </w:r>
      <w:r>
        <w:tab/>
      </w:r>
      <w:r>
        <w:fldChar w:fldCharType="begin"/>
      </w:r>
      <w:r>
        <w:instrText xml:space="preserve"> PAGEREF _Toc15096 \h </w:instrText>
      </w:r>
      <w:r>
        <w:fldChar w:fldCharType="separate"/>
      </w:r>
      <w:r>
        <w:t>50</w:t>
      </w:r>
      <w:r>
        <w:fldChar w:fldCharType="end"/>
      </w:r>
      <w:r>
        <w:fldChar w:fldCharType="end"/>
      </w:r>
    </w:p>
    <w:p w14:paraId="4CAEE9A3">
      <w:pPr>
        <w:pStyle w:val="33"/>
        <w:tabs>
          <w:tab w:val="right" w:leader="dot" w:pos="9348"/>
        </w:tabs>
        <w:ind w:left="480"/>
      </w:pPr>
      <w:r>
        <w:fldChar w:fldCharType="begin"/>
      </w:r>
      <w:r>
        <w:instrText xml:space="preserve"> HYPERLINK \l "_Toc4115" </w:instrText>
      </w:r>
      <w:r>
        <w:fldChar w:fldCharType="separate"/>
      </w:r>
      <w:r>
        <w:rPr>
          <w:rFonts w:hint="eastAsia"/>
          <w:szCs w:val="24"/>
          <w:lang w:val="zh-TW"/>
        </w:rPr>
        <w:t xml:space="preserve">7.1 </w:t>
      </w:r>
      <w:r>
        <w:rPr>
          <w:szCs w:val="24"/>
          <w:lang w:val="zh-TW" w:eastAsia="zh-TW"/>
        </w:rPr>
        <w:t>试验干预中止</w:t>
      </w:r>
      <w:r>
        <w:tab/>
      </w:r>
      <w:r>
        <w:fldChar w:fldCharType="begin"/>
      </w:r>
      <w:r>
        <w:instrText xml:space="preserve"> PAGEREF _Toc4115 \h </w:instrText>
      </w:r>
      <w:r>
        <w:fldChar w:fldCharType="separate"/>
      </w:r>
      <w:r>
        <w:t>50</w:t>
      </w:r>
      <w:r>
        <w:fldChar w:fldCharType="end"/>
      </w:r>
      <w:r>
        <w:fldChar w:fldCharType="end"/>
      </w:r>
    </w:p>
    <w:p w14:paraId="7F15B88F">
      <w:pPr>
        <w:pStyle w:val="20"/>
        <w:tabs>
          <w:tab w:val="right" w:leader="dot" w:pos="9348"/>
        </w:tabs>
        <w:ind w:left="960"/>
      </w:pPr>
      <w:r>
        <w:fldChar w:fldCharType="begin"/>
      </w:r>
      <w:r>
        <w:instrText xml:space="preserve"> HYPERLINK \l "_Toc27728" </w:instrText>
      </w:r>
      <w:r>
        <w:fldChar w:fldCharType="separate"/>
      </w:r>
      <w:r>
        <w:rPr>
          <w:rFonts w:hint="eastAsia"/>
          <w:szCs w:val="24"/>
          <w:lang w:val="zh-TW"/>
        </w:rPr>
        <w:t xml:space="preserve">7.1.1 </w:t>
      </w:r>
      <w:r>
        <w:rPr>
          <w:szCs w:val="24"/>
          <w:lang w:val="zh-TW"/>
        </w:rPr>
        <w:t>永久终止试验干预的标准</w:t>
      </w:r>
      <w:r>
        <w:tab/>
      </w:r>
      <w:r>
        <w:fldChar w:fldCharType="begin"/>
      </w:r>
      <w:r>
        <w:instrText xml:space="preserve"> PAGEREF _Toc27728 \h </w:instrText>
      </w:r>
      <w:r>
        <w:fldChar w:fldCharType="separate"/>
      </w:r>
      <w:r>
        <w:t>50</w:t>
      </w:r>
      <w:r>
        <w:fldChar w:fldCharType="end"/>
      </w:r>
      <w:r>
        <w:fldChar w:fldCharType="end"/>
      </w:r>
    </w:p>
    <w:p w14:paraId="519E6F72">
      <w:pPr>
        <w:pStyle w:val="20"/>
        <w:tabs>
          <w:tab w:val="right" w:leader="dot" w:pos="9348"/>
        </w:tabs>
        <w:ind w:left="960"/>
      </w:pPr>
      <w:r>
        <w:fldChar w:fldCharType="begin"/>
      </w:r>
      <w:r>
        <w:instrText xml:space="preserve"> HYPERLINK \l "_Toc27995" </w:instrText>
      </w:r>
      <w:r>
        <w:fldChar w:fldCharType="separate"/>
      </w:r>
      <w:r>
        <w:rPr>
          <w:rFonts w:hint="eastAsia"/>
          <w:szCs w:val="24"/>
          <w:lang w:val="zh-TW"/>
        </w:rPr>
        <w:t xml:space="preserve">7.1.2 </w:t>
      </w:r>
      <w:r>
        <w:rPr>
          <w:szCs w:val="24"/>
          <w:lang w:val="zh-TW"/>
        </w:rPr>
        <w:t>暂时中止或中断试验干预</w:t>
      </w:r>
      <w:r>
        <w:tab/>
      </w:r>
      <w:r>
        <w:fldChar w:fldCharType="begin"/>
      </w:r>
      <w:r>
        <w:instrText xml:space="preserve"> PAGEREF _Toc27995 \h </w:instrText>
      </w:r>
      <w:r>
        <w:fldChar w:fldCharType="separate"/>
      </w:r>
      <w:r>
        <w:t>50</w:t>
      </w:r>
      <w:r>
        <w:fldChar w:fldCharType="end"/>
      </w:r>
      <w:r>
        <w:fldChar w:fldCharType="end"/>
      </w:r>
    </w:p>
    <w:p w14:paraId="32FF514D">
      <w:pPr>
        <w:pStyle w:val="20"/>
        <w:tabs>
          <w:tab w:val="right" w:leader="dot" w:pos="9348"/>
        </w:tabs>
        <w:ind w:left="960"/>
      </w:pPr>
      <w:r>
        <w:fldChar w:fldCharType="begin"/>
      </w:r>
      <w:r>
        <w:instrText xml:space="preserve"> HYPERLINK \l "_Toc28579" </w:instrText>
      </w:r>
      <w:r>
        <w:fldChar w:fldCharType="separate"/>
      </w:r>
      <w:r>
        <w:rPr>
          <w:rFonts w:hint="eastAsia"/>
          <w:szCs w:val="24"/>
          <w:lang w:val="zh-TW" w:eastAsia="zh-TW"/>
        </w:rPr>
        <w:t xml:space="preserve">7.1.3 </w:t>
      </w:r>
      <w:r>
        <w:rPr>
          <w:szCs w:val="24"/>
          <w:lang w:val="zh-TW" w:eastAsia="zh-TW"/>
        </w:rPr>
        <w:t>再激发</w:t>
      </w:r>
      <w:r>
        <w:tab/>
      </w:r>
      <w:r>
        <w:fldChar w:fldCharType="begin"/>
      </w:r>
      <w:r>
        <w:instrText xml:space="preserve"> PAGEREF _Toc28579 \h </w:instrText>
      </w:r>
      <w:r>
        <w:fldChar w:fldCharType="separate"/>
      </w:r>
      <w:r>
        <w:t>50</w:t>
      </w:r>
      <w:r>
        <w:fldChar w:fldCharType="end"/>
      </w:r>
      <w:r>
        <w:fldChar w:fldCharType="end"/>
      </w:r>
    </w:p>
    <w:p w14:paraId="1E3F482F">
      <w:pPr>
        <w:pStyle w:val="33"/>
        <w:tabs>
          <w:tab w:val="right" w:leader="dot" w:pos="9348"/>
        </w:tabs>
        <w:ind w:left="480"/>
      </w:pPr>
      <w:r>
        <w:fldChar w:fldCharType="begin"/>
      </w:r>
      <w:r>
        <w:instrText xml:space="preserve"> HYPERLINK \l "_Toc17533" </w:instrText>
      </w:r>
      <w:r>
        <w:fldChar w:fldCharType="separate"/>
      </w:r>
      <w:r>
        <w:rPr>
          <w:rFonts w:hint="eastAsia"/>
          <w:szCs w:val="24"/>
          <w:lang w:val="zh-TW" w:eastAsia="zh-TW"/>
        </w:rPr>
        <w:t xml:space="preserve">7.2 </w:t>
      </w:r>
      <w:r>
        <w:rPr>
          <w:szCs w:val="24"/>
          <w:lang w:val="zh-TW" w:eastAsia="zh-TW"/>
        </w:rPr>
        <w:t>受试者退出试验</w:t>
      </w:r>
      <w:r>
        <w:tab/>
      </w:r>
      <w:r>
        <w:fldChar w:fldCharType="begin"/>
      </w:r>
      <w:r>
        <w:instrText xml:space="preserve"> PAGEREF _Toc17533 \h </w:instrText>
      </w:r>
      <w:r>
        <w:fldChar w:fldCharType="separate"/>
      </w:r>
      <w:r>
        <w:t>50</w:t>
      </w:r>
      <w:r>
        <w:fldChar w:fldCharType="end"/>
      </w:r>
      <w:r>
        <w:fldChar w:fldCharType="end"/>
      </w:r>
    </w:p>
    <w:p w14:paraId="4BD2A3A8">
      <w:pPr>
        <w:pStyle w:val="33"/>
        <w:tabs>
          <w:tab w:val="right" w:leader="dot" w:pos="9348"/>
        </w:tabs>
        <w:ind w:left="480"/>
      </w:pPr>
      <w:r>
        <w:fldChar w:fldCharType="begin"/>
      </w:r>
      <w:r>
        <w:instrText xml:space="preserve"> HYPERLINK \l "_Toc12043" </w:instrText>
      </w:r>
      <w:r>
        <w:fldChar w:fldCharType="separate"/>
      </w:r>
      <w:r>
        <w:rPr>
          <w:rFonts w:hint="eastAsia"/>
          <w:szCs w:val="24"/>
          <w:lang w:val="zh-TW" w:eastAsia="zh-TW"/>
        </w:rPr>
        <w:t xml:space="preserve">7.3 </w:t>
      </w:r>
      <w:r>
        <w:rPr>
          <w:szCs w:val="24"/>
          <w:lang w:val="zh-TW" w:eastAsia="zh-TW"/>
        </w:rPr>
        <w:t>失访</w:t>
      </w:r>
      <w:r>
        <w:tab/>
      </w:r>
      <w:r>
        <w:fldChar w:fldCharType="begin"/>
      </w:r>
      <w:r>
        <w:instrText xml:space="preserve"> PAGEREF _Toc12043 \h </w:instrText>
      </w:r>
      <w:r>
        <w:fldChar w:fldCharType="separate"/>
      </w:r>
      <w:r>
        <w:t>51</w:t>
      </w:r>
      <w:r>
        <w:fldChar w:fldCharType="end"/>
      </w:r>
      <w:r>
        <w:fldChar w:fldCharType="end"/>
      </w:r>
    </w:p>
    <w:p w14:paraId="45F50C7B">
      <w:pPr>
        <w:pStyle w:val="33"/>
        <w:tabs>
          <w:tab w:val="right" w:leader="dot" w:pos="9348"/>
        </w:tabs>
        <w:ind w:left="480"/>
      </w:pPr>
      <w:r>
        <w:fldChar w:fldCharType="begin"/>
      </w:r>
      <w:r>
        <w:instrText xml:space="preserve"> HYPERLINK \l "_Toc32637" </w:instrText>
      </w:r>
      <w:r>
        <w:fldChar w:fldCharType="separate"/>
      </w:r>
      <w:r>
        <w:rPr>
          <w:rFonts w:hint="eastAsia"/>
          <w:szCs w:val="24"/>
          <w:lang w:val="zh-TW" w:eastAsia="zh-TW"/>
        </w:rPr>
        <w:t xml:space="preserve">7.4 </w:t>
      </w:r>
      <w:r>
        <w:rPr>
          <w:szCs w:val="24"/>
          <w:lang w:val="zh-TW" w:eastAsia="zh-TW"/>
        </w:rPr>
        <w:t>试验</w:t>
      </w:r>
      <w:r>
        <w:rPr>
          <w:szCs w:val="24"/>
        </w:rPr>
        <w:t>提前终止或暂停</w:t>
      </w:r>
      <w:r>
        <w:tab/>
      </w:r>
      <w:r>
        <w:fldChar w:fldCharType="begin"/>
      </w:r>
      <w:r>
        <w:instrText xml:space="preserve"> PAGEREF _Toc32637 \h </w:instrText>
      </w:r>
      <w:r>
        <w:fldChar w:fldCharType="separate"/>
      </w:r>
      <w:r>
        <w:t>51</w:t>
      </w:r>
      <w:r>
        <w:fldChar w:fldCharType="end"/>
      </w:r>
      <w:r>
        <w:fldChar w:fldCharType="end"/>
      </w:r>
    </w:p>
    <w:p w14:paraId="5419ADE8">
      <w:pPr>
        <w:pStyle w:val="28"/>
        <w:tabs>
          <w:tab w:val="right" w:leader="dot" w:pos="9348"/>
        </w:tabs>
      </w:pPr>
      <w:r>
        <w:fldChar w:fldCharType="begin"/>
      </w:r>
      <w:r>
        <w:instrText xml:space="preserve"> HYPERLINK \l "_Toc15238" </w:instrText>
      </w:r>
      <w:r>
        <w:fldChar w:fldCharType="separate"/>
      </w:r>
      <w:r>
        <w:rPr>
          <w:rFonts w:hint="eastAsia"/>
          <w:szCs w:val="24"/>
        </w:rPr>
        <w:t xml:space="preserve">8 </w:t>
      </w:r>
      <w:r>
        <w:rPr>
          <w:szCs w:val="24"/>
        </w:rPr>
        <w:t>试验评估和程序</w:t>
      </w:r>
      <w:r>
        <w:tab/>
      </w:r>
      <w:r>
        <w:fldChar w:fldCharType="begin"/>
      </w:r>
      <w:r>
        <w:instrText xml:space="preserve"> PAGEREF _Toc15238 \h </w:instrText>
      </w:r>
      <w:r>
        <w:fldChar w:fldCharType="separate"/>
      </w:r>
      <w:r>
        <w:t>52</w:t>
      </w:r>
      <w:r>
        <w:fldChar w:fldCharType="end"/>
      </w:r>
      <w:r>
        <w:fldChar w:fldCharType="end"/>
      </w:r>
    </w:p>
    <w:p w14:paraId="514AEB8B">
      <w:pPr>
        <w:pStyle w:val="33"/>
        <w:tabs>
          <w:tab w:val="right" w:leader="dot" w:pos="9348"/>
        </w:tabs>
        <w:ind w:left="480"/>
      </w:pPr>
      <w:r>
        <w:fldChar w:fldCharType="begin"/>
      </w:r>
      <w:r>
        <w:instrText xml:space="preserve"> HYPERLINK \l "_Toc9796" </w:instrText>
      </w:r>
      <w:r>
        <w:fldChar w:fldCharType="separate"/>
      </w:r>
      <w:r>
        <w:rPr>
          <w:rFonts w:hint="eastAsia"/>
          <w:szCs w:val="24"/>
          <w:lang w:val="zh-TW" w:eastAsia="zh-TW"/>
        </w:rPr>
        <w:t xml:space="preserve">8.1 </w:t>
      </w:r>
      <w:r>
        <w:rPr>
          <w:szCs w:val="24"/>
          <w:lang w:val="zh-TW" w:eastAsia="zh-TW"/>
        </w:rPr>
        <w:t>筛选/基线评估和程序</w:t>
      </w:r>
      <w:r>
        <w:tab/>
      </w:r>
      <w:r>
        <w:fldChar w:fldCharType="begin"/>
      </w:r>
      <w:r>
        <w:instrText xml:space="preserve"> PAGEREF _Toc9796 \h </w:instrText>
      </w:r>
      <w:r>
        <w:fldChar w:fldCharType="separate"/>
      </w:r>
      <w:r>
        <w:t>52</w:t>
      </w:r>
      <w:r>
        <w:fldChar w:fldCharType="end"/>
      </w:r>
      <w:r>
        <w:fldChar w:fldCharType="end"/>
      </w:r>
    </w:p>
    <w:p w14:paraId="0F7C4463">
      <w:pPr>
        <w:pStyle w:val="33"/>
        <w:tabs>
          <w:tab w:val="right" w:leader="dot" w:pos="9348"/>
        </w:tabs>
        <w:ind w:left="480"/>
      </w:pPr>
      <w:r>
        <w:fldChar w:fldCharType="begin"/>
      </w:r>
      <w:r>
        <w:instrText xml:space="preserve"> HYPERLINK \l "_Toc21678" </w:instrText>
      </w:r>
      <w:r>
        <w:fldChar w:fldCharType="separate"/>
      </w:r>
      <w:r>
        <w:rPr>
          <w:rFonts w:hint="eastAsia"/>
          <w:szCs w:val="24"/>
          <w:lang w:val="zh-TW" w:eastAsia="zh-TW"/>
        </w:rPr>
        <w:t xml:space="preserve">8.2 </w:t>
      </w:r>
      <w:r>
        <w:rPr>
          <w:szCs w:val="24"/>
          <w:lang w:val="zh-TW" w:eastAsia="zh-TW"/>
        </w:rPr>
        <w:t>有效性评估和程序</w:t>
      </w:r>
      <w:r>
        <w:tab/>
      </w:r>
      <w:r>
        <w:fldChar w:fldCharType="begin"/>
      </w:r>
      <w:r>
        <w:instrText xml:space="preserve"> PAGEREF _Toc21678 \h </w:instrText>
      </w:r>
      <w:r>
        <w:fldChar w:fldCharType="separate"/>
      </w:r>
      <w:r>
        <w:t>53</w:t>
      </w:r>
      <w:r>
        <w:fldChar w:fldCharType="end"/>
      </w:r>
      <w:r>
        <w:fldChar w:fldCharType="end"/>
      </w:r>
    </w:p>
    <w:p w14:paraId="5F5EFBAE">
      <w:pPr>
        <w:pStyle w:val="33"/>
        <w:tabs>
          <w:tab w:val="right" w:leader="dot" w:pos="9348"/>
        </w:tabs>
        <w:ind w:left="480"/>
      </w:pPr>
      <w:r>
        <w:fldChar w:fldCharType="begin"/>
      </w:r>
      <w:r>
        <w:instrText xml:space="preserve"> HYPERLINK \l "_Toc23537" </w:instrText>
      </w:r>
      <w:r>
        <w:fldChar w:fldCharType="separate"/>
      </w:r>
      <w:r>
        <w:rPr>
          <w:rFonts w:hint="eastAsia"/>
          <w:szCs w:val="24"/>
          <w:lang w:val="zh-TW" w:eastAsia="zh-TW"/>
        </w:rPr>
        <w:t xml:space="preserve">8.3 </w:t>
      </w:r>
      <w:r>
        <w:rPr>
          <w:szCs w:val="24"/>
          <w:lang w:val="zh-TW" w:eastAsia="zh-TW"/>
        </w:rPr>
        <w:t>安全性评估和程序</w:t>
      </w:r>
      <w:r>
        <w:tab/>
      </w:r>
      <w:r>
        <w:fldChar w:fldCharType="begin"/>
      </w:r>
      <w:r>
        <w:instrText xml:space="preserve"> PAGEREF _Toc23537 \h </w:instrText>
      </w:r>
      <w:r>
        <w:fldChar w:fldCharType="separate"/>
      </w:r>
      <w:r>
        <w:t>54</w:t>
      </w:r>
      <w:r>
        <w:fldChar w:fldCharType="end"/>
      </w:r>
      <w:r>
        <w:fldChar w:fldCharType="end"/>
      </w:r>
    </w:p>
    <w:p w14:paraId="08EFFC01">
      <w:pPr>
        <w:pStyle w:val="20"/>
        <w:tabs>
          <w:tab w:val="right" w:leader="dot" w:pos="9348"/>
        </w:tabs>
        <w:ind w:left="960"/>
      </w:pPr>
      <w:r>
        <w:fldChar w:fldCharType="begin"/>
      </w:r>
      <w:r>
        <w:instrText xml:space="preserve"> HYPERLINK \l "_Toc13139" </w:instrText>
      </w:r>
      <w:r>
        <w:fldChar w:fldCharType="separate"/>
      </w:r>
      <w:r>
        <w:rPr>
          <w:rFonts w:hint="eastAsia"/>
          <w:szCs w:val="24"/>
          <w:lang w:val="zh-TW"/>
        </w:rPr>
        <w:t xml:space="preserve">8.3.1 </w:t>
      </w:r>
      <w:r>
        <w:rPr>
          <w:szCs w:val="24"/>
          <w:lang w:val="zh-TW"/>
        </w:rPr>
        <w:t>体格检查</w:t>
      </w:r>
      <w:r>
        <w:tab/>
      </w:r>
      <w:r>
        <w:fldChar w:fldCharType="begin"/>
      </w:r>
      <w:r>
        <w:instrText xml:space="preserve"> PAGEREF _Toc13139 \h </w:instrText>
      </w:r>
      <w:r>
        <w:fldChar w:fldCharType="separate"/>
      </w:r>
      <w:r>
        <w:t>54</w:t>
      </w:r>
      <w:r>
        <w:fldChar w:fldCharType="end"/>
      </w:r>
      <w:r>
        <w:fldChar w:fldCharType="end"/>
      </w:r>
    </w:p>
    <w:p w14:paraId="6282CAA7">
      <w:pPr>
        <w:pStyle w:val="20"/>
        <w:tabs>
          <w:tab w:val="right" w:leader="dot" w:pos="9348"/>
        </w:tabs>
        <w:ind w:left="960"/>
      </w:pPr>
      <w:r>
        <w:fldChar w:fldCharType="begin"/>
      </w:r>
      <w:r>
        <w:instrText xml:space="preserve"> HYPERLINK \l "_Toc14236" </w:instrText>
      </w:r>
      <w:r>
        <w:fldChar w:fldCharType="separate"/>
      </w:r>
      <w:r>
        <w:rPr>
          <w:rFonts w:hint="eastAsia"/>
          <w:szCs w:val="24"/>
          <w:lang w:val="zh-TW" w:eastAsia="zh-TW"/>
        </w:rPr>
        <w:t xml:space="preserve">8.3.2 </w:t>
      </w:r>
      <w:r>
        <w:rPr>
          <w:szCs w:val="24"/>
          <w:lang w:val="zh-TW"/>
        </w:rPr>
        <w:t>生命体征</w:t>
      </w:r>
      <w:r>
        <w:tab/>
      </w:r>
      <w:r>
        <w:fldChar w:fldCharType="begin"/>
      </w:r>
      <w:r>
        <w:instrText xml:space="preserve"> PAGEREF _Toc14236 \h </w:instrText>
      </w:r>
      <w:r>
        <w:fldChar w:fldCharType="separate"/>
      </w:r>
      <w:r>
        <w:t>54</w:t>
      </w:r>
      <w:r>
        <w:fldChar w:fldCharType="end"/>
      </w:r>
      <w:r>
        <w:fldChar w:fldCharType="end"/>
      </w:r>
    </w:p>
    <w:p w14:paraId="4DA0FDB3">
      <w:pPr>
        <w:pStyle w:val="20"/>
        <w:tabs>
          <w:tab w:val="right" w:leader="dot" w:pos="9348"/>
        </w:tabs>
        <w:ind w:left="960"/>
      </w:pPr>
      <w:r>
        <w:fldChar w:fldCharType="begin"/>
      </w:r>
      <w:r>
        <w:instrText xml:space="preserve"> HYPERLINK \l "_Toc21930" </w:instrText>
      </w:r>
      <w:r>
        <w:fldChar w:fldCharType="separate"/>
      </w:r>
      <w:r>
        <w:rPr>
          <w:rFonts w:hint="eastAsia"/>
          <w:szCs w:val="24"/>
          <w:lang w:val="zh-TW"/>
        </w:rPr>
        <w:t xml:space="preserve">8.3.3 </w:t>
      </w:r>
      <w:r>
        <w:rPr>
          <w:szCs w:val="24"/>
          <w:lang w:val="zh-TW"/>
        </w:rPr>
        <w:t>12导联心电图</w:t>
      </w:r>
      <w:r>
        <w:tab/>
      </w:r>
      <w:r>
        <w:fldChar w:fldCharType="begin"/>
      </w:r>
      <w:r>
        <w:instrText xml:space="preserve"> PAGEREF _Toc21930 \h </w:instrText>
      </w:r>
      <w:r>
        <w:fldChar w:fldCharType="separate"/>
      </w:r>
      <w:r>
        <w:t>54</w:t>
      </w:r>
      <w:r>
        <w:fldChar w:fldCharType="end"/>
      </w:r>
      <w:r>
        <w:fldChar w:fldCharType="end"/>
      </w:r>
    </w:p>
    <w:p w14:paraId="280B2917">
      <w:pPr>
        <w:pStyle w:val="20"/>
        <w:tabs>
          <w:tab w:val="right" w:leader="dot" w:pos="9348"/>
        </w:tabs>
        <w:ind w:left="960"/>
      </w:pPr>
      <w:r>
        <w:fldChar w:fldCharType="begin"/>
      </w:r>
      <w:r>
        <w:instrText xml:space="preserve"> HYPERLINK \l "_Toc23602" </w:instrText>
      </w:r>
      <w:r>
        <w:fldChar w:fldCharType="separate"/>
      </w:r>
      <w:r>
        <w:rPr>
          <w:rFonts w:hint="eastAsia"/>
          <w:szCs w:val="24"/>
          <w:lang w:val="zh-TW"/>
        </w:rPr>
        <w:t xml:space="preserve">8.3.4 </w:t>
      </w:r>
      <w:r>
        <w:rPr>
          <w:szCs w:val="24"/>
          <w:lang w:val="zh-TW"/>
        </w:rPr>
        <w:t>临床实验室评估</w:t>
      </w:r>
      <w:r>
        <w:tab/>
      </w:r>
      <w:r>
        <w:fldChar w:fldCharType="begin"/>
      </w:r>
      <w:r>
        <w:instrText xml:space="preserve"> PAGEREF _Toc23602 \h </w:instrText>
      </w:r>
      <w:r>
        <w:fldChar w:fldCharType="separate"/>
      </w:r>
      <w:r>
        <w:t>54</w:t>
      </w:r>
      <w:r>
        <w:fldChar w:fldCharType="end"/>
      </w:r>
      <w:r>
        <w:fldChar w:fldCharType="end"/>
      </w:r>
    </w:p>
    <w:p w14:paraId="27E7129F">
      <w:pPr>
        <w:pStyle w:val="33"/>
        <w:tabs>
          <w:tab w:val="right" w:leader="dot" w:pos="9348"/>
        </w:tabs>
        <w:ind w:left="480"/>
      </w:pPr>
      <w:r>
        <w:fldChar w:fldCharType="begin"/>
      </w:r>
      <w:r>
        <w:instrText xml:space="preserve"> HYPERLINK \l "_Toc16944" </w:instrText>
      </w:r>
      <w:r>
        <w:fldChar w:fldCharType="separate"/>
      </w:r>
      <w:r>
        <w:rPr>
          <w:rFonts w:hint="eastAsia"/>
          <w:szCs w:val="24"/>
          <w:lang w:val="zh-TW"/>
        </w:rPr>
        <w:t xml:space="preserve">8.4 </w:t>
      </w:r>
      <w:r>
        <w:rPr>
          <w:szCs w:val="24"/>
          <w:lang w:val="zh-TW"/>
        </w:rPr>
        <w:t>不良事件和严重不良事件</w:t>
      </w:r>
      <w:r>
        <w:tab/>
      </w:r>
      <w:r>
        <w:fldChar w:fldCharType="begin"/>
      </w:r>
      <w:r>
        <w:instrText xml:space="preserve"> PAGEREF _Toc16944 \h </w:instrText>
      </w:r>
      <w:r>
        <w:fldChar w:fldCharType="separate"/>
      </w:r>
      <w:r>
        <w:t>54</w:t>
      </w:r>
      <w:r>
        <w:fldChar w:fldCharType="end"/>
      </w:r>
      <w:r>
        <w:fldChar w:fldCharType="end"/>
      </w:r>
    </w:p>
    <w:p w14:paraId="628753A5">
      <w:pPr>
        <w:pStyle w:val="20"/>
        <w:tabs>
          <w:tab w:val="right" w:leader="dot" w:pos="9348"/>
        </w:tabs>
        <w:ind w:left="960"/>
      </w:pPr>
      <w:r>
        <w:fldChar w:fldCharType="begin"/>
      </w:r>
      <w:r>
        <w:instrText xml:space="preserve"> HYPERLINK \l "_Toc4194" </w:instrText>
      </w:r>
      <w:r>
        <w:fldChar w:fldCharType="separate"/>
      </w:r>
      <w:r>
        <w:rPr>
          <w:rFonts w:hint="eastAsia"/>
          <w:szCs w:val="24"/>
          <w:lang w:val="zh-TW"/>
        </w:rPr>
        <w:t xml:space="preserve">8.4.1 </w:t>
      </w:r>
      <w:r>
        <w:rPr>
          <w:rFonts w:hint="eastAsia"/>
          <w:szCs w:val="24"/>
        </w:rPr>
        <w:t>不良事件</w:t>
      </w:r>
      <w:r>
        <w:rPr>
          <w:szCs w:val="24"/>
          <w:lang w:val="zh-TW"/>
        </w:rPr>
        <w:t>和</w:t>
      </w:r>
      <w:r>
        <w:rPr>
          <w:rFonts w:hint="eastAsia"/>
          <w:szCs w:val="24"/>
        </w:rPr>
        <w:t>严重不良事件</w:t>
      </w:r>
      <w:r>
        <w:rPr>
          <w:szCs w:val="24"/>
          <w:lang w:val="zh-TW"/>
        </w:rPr>
        <w:t>的定义</w:t>
      </w:r>
      <w:r>
        <w:tab/>
      </w:r>
      <w:r>
        <w:fldChar w:fldCharType="begin"/>
      </w:r>
      <w:r>
        <w:instrText xml:space="preserve"> PAGEREF _Toc4194 \h </w:instrText>
      </w:r>
      <w:r>
        <w:fldChar w:fldCharType="separate"/>
      </w:r>
      <w:r>
        <w:t>54</w:t>
      </w:r>
      <w:r>
        <w:fldChar w:fldCharType="end"/>
      </w:r>
      <w:r>
        <w:fldChar w:fldCharType="end"/>
      </w:r>
    </w:p>
    <w:p w14:paraId="3A9C33F5">
      <w:pPr>
        <w:pStyle w:val="20"/>
        <w:tabs>
          <w:tab w:val="right" w:leader="dot" w:pos="9348"/>
        </w:tabs>
        <w:ind w:left="960"/>
      </w:pPr>
      <w:r>
        <w:fldChar w:fldCharType="begin"/>
      </w:r>
      <w:r>
        <w:instrText xml:space="preserve"> HYPERLINK \l "_Toc7799" </w:instrText>
      </w:r>
      <w:r>
        <w:fldChar w:fldCharType="separate"/>
      </w:r>
      <w:r>
        <w:rPr>
          <w:rFonts w:hint="eastAsia"/>
          <w:szCs w:val="24"/>
          <w:lang w:val="zh-TW"/>
        </w:rPr>
        <w:t xml:space="preserve">8.4.2 </w:t>
      </w:r>
      <w:r>
        <w:rPr>
          <w:szCs w:val="24"/>
          <w:lang w:val="zh-TW"/>
        </w:rPr>
        <w:t>收集</w:t>
      </w:r>
      <w:r>
        <w:rPr>
          <w:rFonts w:hint="eastAsia"/>
          <w:szCs w:val="24"/>
        </w:rPr>
        <w:t>不良事件</w:t>
      </w:r>
      <w:r>
        <w:rPr>
          <w:szCs w:val="24"/>
          <w:lang w:val="zh-TW"/>
        </w:rPr>
        <w:t>和</w:t>
      </w:r>
      <w:r>
        <w:rPr>
          <w:rFonts w:hint="eastAsia"/>
          <w:szCs w:val="24"/>
        </w:rPr>
        <w:t>严重不良事件</w:t>
      </w:r>
      <w:r>
        <w:rPr>
          <w:szCs w:val="24"/>
          <w:lang w:val="zh-TW"/>
        </w:rPr>
        <w:t>信息的时间段和频率</w:t>
      </w:r>
      <w:r>
        <w:tab/>
      </w:r>
      <w:r>
        <w:fldChar w:fldCharType="begin"/>
      </w:r>
      <w:r>
        <w:instrText xml:space="preserve"> PAGEREF _Toc7799 \h </w:instrText>
      </w:r>
      <w:r>
        <w:fldChar w:fldCharType="separate"/>
      </w:r>
      <w:r>
        <w:t>56</w:t>
      </w:r>
      <w:r>
        <w:fldChar w:fldCharType="end"/>
      </w:r>
      <w:r>
        <w:fldChar w:fldCharType="end"/>
      </w:r>
    </w:p>
    <w:p w14:paraId="2BFC8CA0">
      <w:pPr>
        <w:pStyle w:val="20"/>
        <w:tabs>
          <w:tab w:val="right" w:leader="dot" w:pos="9348"/>
        </w:tabs>
        <w:ind w:left="960"/>
      </w:pPr>
      <w:r>
        <w:fldChar w:fldCharType="begin"/>
      </w:r>
      <w:r>
        <w:instrText xml:space="preserve"> HYPERLINK \l "_Toc24235" </w:instrText>
      </w:r>
      <w:r>
        <w:fldChar w:fldCharType="separate"/>
      </w:r>
      <w:r>
        <w:rPr>
          <w:rFonts w:hint="eastAsia"/>
          <w:szCs w:val="24"/>
          <w:lang w:val="zh-TW"/>
        </w:rPr>
        <w:t xml:space="preserve">8.4.3 </w:t>
      </w:r>
      <w:r>
        <w:rPr>
          <w:rFonts w:hint="eastAsia"/>
          <w:szCs w:val="24"/>
        </w:rPr>
        <w:t>不良事件</w:t>
      </w:r>
      <w:r>
        <w:rPr>
          <w:szCs w:val="24"/>
          <w:lang w:val="zh-TW"/>
        </w:rPr>
        <w:t>和</w:t>
      </w:r>
      <w:r>
        <w:rPr>
          <w:rFonts w:hint="eastAsia"/>
          <w:szCs w:val="24"/>
        </w:rPr>
        <w:t>严重不良事件</w:t>
      </w:r>
      <w:r>
        <w:rPr>
          <w:szCs w:val="24"/>
          <w:lang w:val="zh-TW"/>
        </w:rPr>
        <w:t>的识别</w:t>
      </w:r>
      <w:r>
        <w:tab/>
      </w:r>
      <w:r>
        <w:fldChar w:fldCharType="begin"/>
      </w:r>
      <w:r>
        <w:instrText xml:space="preserve"> PAGEREF _Toc24235 \h </w:instrText>
      </w:r>
      <w:r>
        <w:fldChar w:fldCharType="separate"/>
      </w:r>
      <w:r>
        <w:t>56</w:t>
      </w:r>
      <w:r>
        <w:fldChar w:fldCharType="end"/>
      </w:r>
      <w:r>
        <w:fldChar w:fldCharType="end"/>
      </w:r>
    </w:p>
    <w:p w14:paraId="51BC0859">
      <w:pPr>
        <w:pStyle w:val="20"/>
        <w:tabs>
          <w:tab w:val="right" w:leader="dot" w:pos="9348"/>
        </w:tabs>
        <w:ind w:left="960"/>
      </w:pPr>
      <w:r>
        <w:fldChar w:fldCharType="begin"/>
      </w:r>
      <w:r>
        <w:instrText xml:space="preserve"> HYPERLINK \l "_Toc8555" </w:instrText>
      </w:r>
      <w:r>
        <w:fldChar w:fldCharType="separate"/>
      </w:r>
      <w:r>
        <w:rPr>
          <w:rFonts w:hint="eastAsia"/>
          <w:szCs w:val="24"/>
          <w:lang w:val="zh-TW"/>
        </w:rPr>
        <w:t xml:space="preserve">8.4.4 </w:t>
      </w:r>
      <w:r>
        <w:rPr>
          <w:rFonts w:hint="eastAsia"/>
          <w:szCs w:val="24"/>
        </w:rPr>
        <w:t>不良事件</w:t>
      </w:r>
      <w:r>
        <w:rPr>
          <w:szCs w:val="24"/>
          <w:lang w:val="zh-TW"/>
        </w:rPr>
        <w:t>和</w:t>
      </w:r>
      <w:r>
        <w:rPr>
          <w:rFonts w:hint="eastAsia"/>
          <w:szCs w:val="24"/>
        </w:rPr>
        <w:t>严重不良事件</w:t>
      </w:r>
      <w:r>
        <w:rPr>
          <w:szCs w:val="24"/>
          <w:lang w:val="zh-TW"/>
        </w:rPr>
        <w:t>的记录</w:t>
      </w:r>
      <w:r>
        <w:tab/>
      </w:r>
      <w:r>
        <w:fldChar w:fldCharType="begin"/>
      </w:r>
      <w:r>
        <w:instrText xml:space="preserve"> PAGEREF _Toc8555 \h </w:instrText>
      </w:r>
      <w:r>
        <w:fldChar w:fldCharType="separate"/>
      </w:r>
      <w:r>
        <w:t>56</w:t>
      </w:r>
      <w:r>
        <w:fldChar w:fldCharType="end"/>
      </w:r>
      <w:r>
        <w:fldChar w:fldCharType="end"/>
      </w:r>
    </w:p>
    <w:p w14:paraId="3C2095A4">
      <w:pPr>
        <w:pStyle w:val="20"/>
        <w:tabs>
          <w:tab w:val="right" w:leader="dot" w:pos="9348"/>
        </w:tabs>
        <w:ind w:left="960"/>
      </w:pPr>
      <w:r>
        <w:fldChar w:fldCharType="begin"/>
      </w:r>
      <w:r>
        <w:instrText xml:space="preserve"> HYPERLINK \l "_Toc18179" </w:instrText>
      </w:r>
      <w:r>
        <w:fldChar w:fldCharType="separate"/>
      </w:r>
      <w:r>
        <w:rPr>
          <w:rFonts w:hint="eastAsia"/>
          <w:szCs w:val="24"/>
          <w:lang w:val="zh-TW"/>
        </w:rPr>
        <w:t xml:space="preserve">8.4.5 </w:t>
      </w:r>
      <w:r>
        <w:rPr>
          <w:rFonts w:hint="eastAsia"/>
          <w:szCs w:val="24"/>
        </w:rPr>
        <w:t>不良事件</w:t>
      </w:r>
      <w:r>
        <w:rPr>
          <w:szCs w:val="24"/>
          <w:lang w:val="zh-TW"/>
        </w:rPr>
        <w:t>和</w:t>
      </w:r>
      <w:r>
        <w:rPr>
          <w:rFonts w:hint="eastAsia"/>
          <w:szCs w:val="24"/>
        </w:rPr>
        <w:t>严重不良事件</w:t>
      </w:r>
      <w:r>
        <w:rPr>
          <w:szCs w:val="24"/>
          <w:lang w:val="zh-TW"/>
        </w:rPr>
        <w:t>的随访</w:t>
      </w:r>
      <w:r>
        <w:tab/>
      </w:r>
      <w:r>
        <w:fldChar w:fldCharType="begin"/>
      </w:r>
      <w:r>
        <w:instrText xml:space="preserve"> PAGEREF _Toc18179 \h </w:instrText>
      </w:r>
      <w:r>
        <w:fldChar w:fldCharType="separate"/>
      </w:r>
      <w:r>
        <w:t>57</w:t>
      </w:r>
      <w:r>
        <w:fldChar w:fldCharType="end"/>
      </w:r>
      <w:r>
        <w:fldChar w:fldCharType="end"/>
      </w:r>
    </w:p>
    <w:p w14:paraId="2F83B54A">
      <w:pPr>
        <w:pStyle w:val="20"/>
        <w:tabs>
          <w:tab w:val="right" w:leader="dot" w:pos="9348"/>
        </w:tabs>
        <w:ind w:left="960"/>
      </w:pPr>
      <w:r>
        <w:fldChar w:fldCharType="begin"/>
      </w:r>
      <w:r>
        <w:instrText xml:space="preserve"> HYPERLINK \l "_Toc25826" </w:instrText>
      </w:r>
      <w:r>
        <w:fldChar w:fldCharType="separate"/>
      </w:r>
      <w:r>
        <w:rPr>
          <w:rFonts w:hint="eastAsia"/>
          <w:szCs w:val="24"/>
          <w:lang w:val="zh-TW"/>
        </w:rPr>
        <w:t xml:space="preserve">8.4.6 </w:t>
      </w:r>
      <w:r>
        <w:rPr>
          <w:rFonts w:hint="eastAsia"/>
          <w:szCs w:val="24"/>
        </w:rPr>
        <w:t>严重不良事件</w:t>
      </w:r>
      <w:r>
        <w:rPr>
          <w:szCs w:val="24"/>
          <w:lang w:val="zh-TW"/>
        </w:rPr>
        <w:t>的报告</w:t>
      </w:r>
      <w:r>
        <w:tab/>
      </w:r>
      <w:r>
        <w:fldChar w:fldCharType="begin"/>
      </w:r>
      <w:r>
        <w:instrText xml:space="preserve"> PAGEREF _Toc25826 \h </w:instrText>
      </w:r>
      <w:r>
        <w:fldChar w:fldCharType="separate"/>
      </w:r>
      <w:r>
        <w:t>57</w:t>
      </w:r>
      <w:r>
        <w:fldChar w:fldCharType="end"/>
      </w:r>
      <w:r>
        <w:fldChar w:fldCharType="end"/>
      </w:r>
    </w:p>
    <w:p w14:paraId="0D8B166D">
      <w:pPr>
        <w:pStyle w:val="20"/>
        <w:tabs>
          <w:tab w:val="right" w:leader="dot" w:pos="9348"/>
        </w:tabs>
        <w:ind w:left="960"/>
      </w:pPr>
      <w:r>
        <w:fldChar w:fldCharType="begin"/>
      </w:r>
      <w:r>
        <w:instrText xml:space="preserve"> HYPERLINK \l "_Toc5823" </w:instrText>
      </w:r>
      <w:r>
        <w:fldChar w:fldCharType="separate"/>
      </w:r>
      <w:r>
        <w:rPr>
          <w:rFonts w:hint="eastAsia"/>
          <w:szCs w:val="24"/>
          <w:lang w:val="zh-TW"/>
        </w:rPr>
        <w:t xml:space="preserve">8.4.7 </w:t>
      </w:r>
      <w:r>
        <w:rPr>
          <w:rFonts w:hint="eastAsia"/>
          <w:szCs w:val="24"/>
        </w:rPr>
        <w:t>严重不良事件</w:t>
      </w:r>
      <w:r>
        <w:rPr>
          <w:szCs w:val="24"/>
          <w:lang w:val="zh-TW"/>
        </w:rPr>
        <w:t>的监管报告要求</w:t>
      </w:r>
      <w:r>
        <w:tab/>
      </w:r>
      <w:r>
        <w:fldChar w:fldCharType="begin"/>
      </w:r>
      <w:r>
        <w:instrText xml:space="preserve"> PAGEREF _Toc5823 \h </w:instrText>
      </w:r>
      <w:r>
        <w:fldChar w:fldCharType="separate"/>
      </w:r>
      <w:r>
        <w:t>57</w:t>
      </w:r>
      <w:r>
        <w:fldChar w:fldCharType="end"/>
      </w:r>
      <w:r>
        <w:fldChar w:fldCharType="end"/>
      </w:r>
    </w:p>
    <w:p w14:paraId="3DE74FF9">
      <w:pPr>
        <w:pStyle w:val="20"/>
        <w:tabs>
          <w:tab w:val="right" w:leader="dot" w:pos="9348"/>
        </w:tabs>
        <w:ind w:left="960"/>
      </w:pPr>
      <w:r>
        <w:fldChar w:fldCharType="begin"/>
      </w:r>
      <w:r>
        <w:instrText xml:space="preserve"> HYPERLINK \l "_Toc30825" </w:instrText>
      </w:r>
      <w:r>
        <w:fldChar w:fldCharType="separate"/>
      </w:r>
      <w:r>
        <w:rPr>
          <w:rFonts w:hint="eastAsia"/>
          <w:szCs w:val="24"/>
          <w:lang w:val="zh-TW"/>
        </w:rPr>
        <w:t xml:space="preserve">8.4.8 </w:t>
      </w:r>
      <w:r>
        <w:rPr>
          <w:rFonts w:hint="eastAsia"/>
          <w:szCs w:val="24"/>
        </w:rPr>
        <w:t>可疑且</w:t>
      </w:r>
      <w:r>
        <w:rPr>
          <w:szCs w:val="24"/>
          <w:lang w:val="zh-TW"/>
        </w:rPr>
        <w:t>非预期</w:t>
      </w:r>
      <w:r>
        <w:rPr>
          <w:rFonts w:hint="eastAsia"/>
          <w:szCs w:val="24"/>
        </w:rPr>
        <w:t>严重</w:t>
      </w:r>
      <w:r>
        <w:rPr>
          <w:szCs w:val="24"/>
          <w:lang w:val="zh-TW"/>
        </w:rPr>
        <w:t>不良反应报告</w:t>
      </w:r>
      <w:r>
        <w:tab/>
      </w:r>
      <w:r>
        <w:fldChar w:fldCharType="begin"/>
      </w:r>
      <w:r>
        <w:instrText xml:space="preserve"> PAGEREF _Toc30825 \h </w:instrText>
      </w:r>
      <w:r>
        <w:fldChar w:fldCharType="separate"/>
      </w:r>
      <w:r>
        <w:t>57</w:t>
      </w:r>
      <w:r>
        <w:fldChar w:fldCharType="end"/>
      </w:r>
      <w:r>
        <w:fldChar w:fldCharType="end"/>
      </w:r>
    </w:p>
    <w:p w14:paraId="1071288E">
      <w:pPr>
        <w:pStyle w:val="20"/>
        <w:tabs>
          <w:tab w:val="right" w:leader="dot" w:pos="9348"/>
        </w:tabs>
        <w:ind w:left="960"/>
      </w:pPr>
      <w:r>
        <w:fldChar w:fldCharType="begin"/>
      </w:r>
      <w:r>
        <w:instrText xml:space="preserve"> HYPERLINK \l "_Toc24730" </w:instrText>
      </w:r>
      <w:r>
        <w:fldChar w:fldCharType="separate"/>
      </w:r>
      <w:r>
        <w:rPr>
          <w:rFonts w:hint="eastAsia"/>
          <w:szCs w:val="24"/>
          <w:lang w:val="zh-TW"/>
        </w:rPr>
        <w:t xml:space="preserve">8.4.9 </w:t>
      </w:r>
      <w:r>
        <w:rPr>
          <w:szCs w:val="24"/>
          <w:lang w:val="zh-TW"/>
        </w:rPr>
        <w:t>特别关注的不良事件</w:t>
      </w:r>
      <w:r>
        <w:tab/>
      </w:r>
      <w:r>
        <w:fldChar w:fldCharType="begin"/>
      </w:r>
      <w:r>
        <w:instrText xml:space="preserve"> PAGEREF _Toc24730 \h </w:instrText>
      </w:r>
      <w:r>
        <w:fldChar w:fldCharType="separate"/>
      </w:r>
      <w:r>
        <w:t>58</w:t>
      </w:r>
      <w:r>
        <w:fldChar w:fldCharType="end"/>
      </w:r>
      <w:r>
        <w:fldChar w:fldCharType="end"/>
      </w:r>
    </w:p>
    <w:p w14:paraId="6AC10513">
      <w:pPr>
        <w:pStyle w:val="20"/>
        <w:tabs>
          <w:tab w:val="right" w:leader="dot" w:pos="9348"/>
        </w:tabs>
        <w:ind w:left="960"/>
      </w:pPr>
      <w:r>
        <w:fldChar w:fldCharType="begin"/>
      </w:r>
      <w:r>
        <w:instrText xml:space="preserve"> HYPERLINK \l "_Toc26537" </w:instrText>
      </w:r>
      <w:r>
        <w:fldChar w:fldCharType="separate"/>
      </w:r>
      <w:r>
        <w:rPr>
          <w:rFonts w:hint="eastAsia"/>
          <w:szCs w:val="24"/>
          <w:lang w:val="zh-TW"/>
        </w:rPr>
        <w:t xml:space="preserve">8.4.10 </w:t>
      </w:r>
      <w:r>
        <w:rPr>
          <w:szCs w:val="24"/>
          <w:lang w:val="zh-TW"/>
        </w:rPr>
        <w:t>不符合</w:t>
      </w:r>
      <w:r>
        <w:rPr>
          <w:rFonts w:hint="eastAsia"/>
          <w:szCs w:val="24"/>
        </w:rPr>
        <w:t>不良事件</w:t>
      </w:r>
      <w:r>
        <w:rPr>
          <w:szCs w:val="24"/>
          <w:lang w:val="zh-TW"/>
        </w:rPr>
        <w:t>或</w:t>
      </w:r>
      <w:r>
        <w:rPr>
          <w:rFonts w:hint="eastAsia"/>
          <w:szCs w:val="24"/>
        </w:rPr>
        <w:t>严重不良事件</w:t>
      </w:r>
      <w:r>
        <w:rPr>
          <w:szCs w:val="24"/>
          <w:lang w:val="zh-TW"/>
        </w:rPr>
        <w:t>标准的疾病相关事件或结局</w:t>
      </w:r>
      <w:r>
        <w:tab/>
      </w:r>
      <w:r>
        <w:fldChar w:fldCharType="begin"/>
      </w:r>
      <w:r>
        <w:instrText xml:space="preserve"> PAGEREF _Toc26537 \h </w:instrText>
      </w:r>
      <w:r>
        <w:fldChar w:fldCharType="separate"/>
      </w:r>
      <w:r>
        <w:t>58</w:t>
      </w:r>
      <w:r>
        <w:fldChar w:fldCharType="end"/>
      </w:r>
      <w:r>
        <w:fldChar w:fldCharType="end"/>
      </w:r>
    </w:p>
    <w:p w14:paraId="53889E54">
      <w:pPr>
        <w:pStyle w:val="33"/>
        <w:tabs>
          <w:tab w:val="right" w:leader="dot" w:pos="9348"/>
        </w:tabs>
        <w:ind w:left="480"/>
      </w:pPr>
      <w:r>
        <w:fldChar w:fldCharType="begin"/>
      </w:r>
      <w:r>
        <w:instrText xml:space="preserve"> HYPERLINK \l "_Toc7692" </w:instrText>
      </w:r>
      <w:r>
        <w:fldChar w:fldCharType="separate"/>
      </w:r>
      <w:r>
        <w:rPr>
          <w:rFonts w:hint="eastAsia"/>
          <w:szCs w:val="24"/>
          <w:lang w:val="zh-TW" w:eastAsia="zh-TW"/>
        </w:rPr>
        <w:t xml:space="preserve">8.5 </w:t>
      </w:r>
      <w:r>
        <w:rPr>
          <w:szCs w:val="24"/>
          <w:lang w:val="zh-TW" w:eastAsia="zh-TW"/>
        </w:rPr>
        <w:t>妊娠和产后信息</w:t>
      </w:r>
      <w:r>
        <w:tab/>
      </w:r>
      <w:r>
        <w:fldChar w:fldCharType="begin"/>
      </w:r>
      <w:r>
        <w:instrText xml:space="preserve"> PAGEREF _Toc7692 \h </w:instrText>
      </w:r>
      <w:r>
        <w:fldChar w:fldCharType="separate"/>
      </w:r>
      <w:r>
        <w:t>58</w:t>
      </w:r>
      <w:r>
        <w:fldChar w:fldCharType="end"/>
      </w:r>
      <w:r>
        <w:fldChar w:fldCharType="end"/>
      </w:r>
    </w:p>
    <w:p w14:paraId="31593146">
      <w:pPr>
        <w:pStyle w:val="20"/>
        <w:tabs>
          <w:tab w:val="right" w:leader="dot" w:pos="9348"/>
        </w:tabs>
        <w:ind w:left="960"/>
      </w:pPr>
      <w:r>
        <w:fldChar w:fldCharType="begin"/>
      </w:r>
      <w:r>
        <w:instrText xml:space="preserve"> HYPERLINK \l "_Toc14560" </w:instrText>
      </w:r>
      <w:r>
        <w:fldChar w:fldCharType="separate"/>
      </w:r>
      <w:r>
        <w:rPr>
          <w:rFonts w:hint="eastAsia"/>
          <w:szCs w:val="24"/>
          <w:lang w:val="zh-TW"/>
        </w:rPr>
        <w:t xml:space="preserve">8.5.1 </w:t>
      </w:r>
      <w:r>
        <w:rPr>
          <w:szCs w:val="24"/>
          <w:lang w:val="zh-TW"/>
        </w:rPr>
        <w:t>试验期间妊娠的参与者</w:t>
      </w:r>
      <w:r>
        <w:tab/>
      </w:r>
      <w:r>
        <w:fldChar w:fldCharType="begin"/>
      </w:r>
      <w:r>
        <w:instrText xml:space="preserve"> PAGEREF _Toc14560 \h </w:instrText>
      </w:r>
      <w:r>
        <w:fldChar w:fldCharType="separate"/>
      </w:r>
      <w:r>
        <w:t>58</w:t>
      </w:r>
      <w:r>
        <w:fldChar w:fldCharType="end"/>
      </w:r>
      <w:r>
        <w:fldChar w:fldCharType="end"/>
      </w:r>
    </w:p>
    <w:p w14:paraId="15982D20">
      <w:pPr>
        <w:pStyle w:val="20"/>
        <w:tabs>
          <w:tab w:val="right" w:leader="dot" w:pos="9348"/>
        </w:tabs>
        <w:ind w:left="960"/>
      </w:pPr>
      <w:r>
        <w:fldChar w:fldCharType="begin"/>
      </w:r>
      <w:r>
        <w:instrText xml:space="preserve"> HYPERLINK \l "_Toc3160" </w:instrText>
      </w:r>
      <w:r>
        <w:fldChar w:fldCharType="separate"/>
      </w:r>
      <w:r>
        <w:rPr>
          <w:rFonts w:hint="eastAsia"/>
          <w:szCs w:val="24"/>
          <w:lang w:val="zh-TW"/>
        </w:rPr>
        <w:t xml:space="preserve">8.5.2 </w:t>
      </w:r>
      <w:r>
        <w:rPr>
          <w:szCs w:val="24"/>
          <w:lang w:val="zh-TW"/>
        </w:rPr>
        <w:t>伴侣妊娠的参与者</w:t>
      </w:r>
      <w:r>
        <w:tab/>
      </w:r>
      <w:r>
        <w:fldChar w:fldCharType="begin"/>
      </w:r>
      <w:r>
        <w:instrText xml:space="preserve"> PAGEREF _Toc3160 \h </w:instrText>
      </w:r>
      <w:r>
        <w:fldChar w:fldCharType="separate"/>
      </w:r>
      <w:r>
        <w:t>58</w:t>
      </w:r>
      <w:r>
        <w:fldChar w:fldCharType="end"/>
      </w:r>
      <w:r>
        <w:fldChar w:fldCharType="end"/>
      </w:r>
    </w:p>
    <w:p w14:paraId="128082BE">
      <w:pPr>
        <w:pStyle w:val="33"/>
        <w:tabs>
          <w:tab w:val="right" w:leader="dot" w:pos="9348"/>
        </w:tabs>
        <w:ind w:left="480"/>
      </w:pPr>
      <w:r>
        <w:fldChar w:fldCharType="begin"/>
      </w:r>
      <w:r>
        <w:instrText xml:space="preserve"> HYPERLINK \l "_Toc19525" </w:instrText>
      </w:r>
      <w:r>
        <w:fldChar w:fldCharType="separate"/>
      </w:r>
      <w:r>
        <w:rPr>
          <w:rFonts w:hint="eastAsia"/>
          <w:szCs w:val="24"/>
          <w:lang w:val="zh-TW"/>
        </w:rPr>
        <w:t xml:space="preserve">8.6 </w:t>
      </w:r>
      <w:r>
        <w:rPr>
          <w:szCs w:val="24"/>
          <w:lang w:val="zh-TW" w:eastAsia="zh-TW"/>
        </w:rPr>
        <w:t>诊断效能</w:t>
      </w:r>
      <w:r>
        <w:rPr>
          <w:szCs w:val="24"/>
        </w:rPr>
        <w:t>评价指标</w:t>
      </w:r>
      <w:r>
        <w:tab/>
      </w:r>
      <w:r>
        <w:fldChar w:fldCharType="begin"/>
      </w:r>
      <w:r>
        <w:instrText xml:space="preserve"> PAGEREF _Toc19525 \h </w:instrText>
      </w:r>
      <w:r>
        <w:fldChar w:fldCharType="separate"/>
      </w:r>
      <w:r>
        <w:t>59</w:t>
      </w:r>
      <w:r>
        <w:fldChar w:fldCharType="end"/>
      </w:r>
      <w:r>
        <w:fldChar w:fldCharType="end"/>
      </w:r>
    </w:p>
    <w:p w14:paraId="7D9BE775">
      <w:pPr>
        <w:pStyle w:val="33"/>
        <w:tabs>
          <w:tab w:val="right" w:leader="dot" w:pos="9348"/>
        </w:tabs>
        <w:ind w:left="480"/>
      </w:pPr>
      <w:r>
        <w:fldChar w:fldCharType="begin"/>
      </w:r>
      <w:r>
        <w:instrText xml:space="preserve"> HYPERLINK \l "_Toc10993" </w:instrText>
      </w:r>
      <w:r>
        <w:fldChar w:fldCharType="separate"/>
      </w:r>
      <w:r>
        <w:rPr>
          <w:rFonts w:hint="eastAsia"/>
          <w:szCs w:val="24"/>
          <w:lang w:val="zh-TW" w:eastAsia="zh-TW"/>
        </w:rPr>
        <w:t xml:space="preserve">8.7 </w:t>
      </w:r>
      <w:r>
        <w:rPr>
          <w:szCs w:val="24"/>
          <w:lang w:val="zh-TW" w:eastAsia="zh-TW"/>
        </w:rPr>
        <w:t>遗传学</w:t>
      </w:r>
      <w:r>
        <w:tab/>
      </w:r>
      <w:r>
        <w:fldChar w:fldCharType="begin"/>
      </w:r>
      <w:r>
        <w:instrText xml:space="preserve"> PAGEREF _Toc10993 \h </w:instrText>
      </w:r>
      <w:r>
        <w:fldChar w:fldCharType="separate"/>
      </w:r>
      <w:r>
        <w:t>59</w:t>
      </w:r>
      <w:r>
        <w:fldChar w:fldCharType="end"/>
      </w:r>
      <w:r>
        <w:fldChar w:fldCharType="end"/>
      </w:r>
    </w:p>
    <w:p w14:paraId="4A63C55C">
      <w:pPr>
        <w:pStyle w:val="33"/>
        <w:tabs>
          <w:tab w:val="right" w:leader="dot" w:pos="9348"/>
        </w:tabs>
        <w:ind w:left="480"/>
      </w:pPr>
      <w:r>
        <w:fldChar w:fldCharType="begin"/>
      </w:r>
      <w:r>
        <w:instrText xml:space="preserve"> HYPERLINK \l "_Toc2886" </w:instrText>
      </w:r>
      <w:r>
        <w:fldChar w:fldCharType="separate"/>
      </w:r>
      <w:r>
        <w:rPr>
          <w:rFonts w:hint="eastAsia"/>
          <w:szCs w:val="24"/>
          <w:lang w:val="zh-TW" w:eastAsia="zh-TW"/>
        </w:rPr>
        <w:t xml:space="preserve">8.8 </w:t>
      </w:r>
      <w:r>
        <w:rPr>
          <w:szCs w:val="24"/>
          <w:lang w:val="zh-TW" w:eastAsia="zh-TW"/>
        </w:rPr>
        <w:t>生物标志物</w:t>
      </w:r>
      <w:r>
        <w:tab/>
      </w:r>
      <w:r>
        <w:fldChar w:fldCharType="begin"/>
      </w:r>
      <w:r>
        <w:instrText xml:space="preserve"> PAGEREF _Toc2886 \h </w:instrText>
      </w:r>
      <w:r>
        <w:fldChar w:fldCharType="separate"/>
      </w:r>
      <w:r>
        <w:t>59</w:t>
      </w:r>
      <w:r>
        <w:fldChar w:fldCharType="end"/>
      </w:r>
      <w:r>
        <w:fldChar w:fldCharType="end"/>
      </w:r>
    </w:p>
    <w:p w14:paraId="78E990F6">
      <w:pPr>
        <w:pStyle w:val="33"/>
        <w:tabs>
          <w:tab w:val="right" w:leader="dot" w:pos="9348"/>
        </w:tabs>
        <w:ind w:left="480"/>
      </w:pPr>
      <w:r>
        <w:fldChar w:fldCharType="begin"/>
      </w:r>
      <w:r>
        <w:instrText xml:space="preserve"> HYPERLINK \l "_Toc11817" </w:instrText>
      </w:r>
      <w:r>
        <w:fldChar w:fldCharType="separate"/>
      </w:r>
      <w:r>
        <w:rPr>
          <w:rFonts w:hint="eastAsia"/>
          <w:szCs w:val="24"/>
          <w:lang w:val="zh-TW" w:eastAsia="zh-TW"/>
        </w:rPr>
        <w:t xml:space="preserve">8.9 </w:t>
      </w:r>
      <w:r>
        <w:rPr>
          <w:szCs w:val="24"/>
          <w:lang w:val="zh-TW" w:eastAsia="zh-TW"/>
        </w:rPr>
        <w:t>免疫原性评估</w:t>
      </w:r>
      <w:r>
        <w:tab/>
      </w:r>
      <w:r>
        <w:fldChar w:fldCharType="begin"/>
      </w:r>
      <w:r>
        <w:instrText xml:space="preserve"> PAGEREF _Toc11817 \h </w:instrText>
      </w:r>
      <w:r>
        <w:fldChar w:fldCharType="separate"/>
      </w:r>
      <w:r>
        <w:t>59</w:t>
      </w:r>
      <w:r>
        <w:fldChar w:fldCharType="end"/>
      </w:r>
      <w:r>
        <w:fldChar w:fldCharType="end"/>
      </w:r>
    </w:p>
    <w:p w14:paraId="41EADF9A">
      <w:pPr>
        <w:pStyle w:val="33"/>
        <w:tabs>
          <w:tab w:val="right" w:leader="dot" w:pos="9348"/>
        </w:tabs>
        <w:ind w:left="480"/>
      </w:pPr>
      <w:r>
        <w:fldChar w:fldCharType="begin"/>
      </w:r>
      <w:r>
        <w:instrText xml:space="preserve"> HYPERLINK \l "_Toc3847" </w:instrText>
      </w:r>
      <w:r>
        <w:fldChar w:fldCharType="separate"/>
      </w:r>
      <w:r>
        <w:rPr>
          <w:rFonts w:hint="eastAsia"/>
          <w:szCs w:val="24"/>
          <w:lang w:val="zh-TW"/>
        </w:rPr>
        <w:t xml:space="preserve">8.10 </w:t>
      </w:r>
      <w:r>
        <w:rPr>
          <w:szCs w:val="24"/>
          <w:lang w:val="zh-TW"/>
        </w:rPr>
        <w:t>医疗资料利用和健康经济学</w:t>
      </w:r>
      <w:r>
        <w:tab/>
      </w:r>
      <w:r>
        <w:fldChar w:fldCharType="begin"/>
      </w:r>
      <w:r>
        <w:instrText xml:space="preserve"> PAGEREF _Toc3847 \h </w:instrText>
      </w:r>
      <w:r>
        <w:fldChar w:fldCharType="separate"/>
      </w:r>
      <w:r>
        <w:t>59</w:t>
      </w:r>
      <w:r>
        <w:fldChar w:fldCharType="end"/>
      </w:r>
      <w:r>
        <w:fldChar w:fldCharType="end"/>
      </w:r>
    </w:p>
    <w:p w14:paraId="2D3DFA3E">
      <w:pPr>
        <w:pStyle w:val="28"/>
        <w:tabs>
          <w:tab w:val="right" w:leader="dot" w:pos="9348"/>
        </w:tabs>
      </w:pPr>
      <w:r>
        <w:fldChar w:fldCharType="begin"/>
      </w:r>
      <w:r>
        <w:instrText xml:space="preserve"> HYPERLINK \l "_Toc4173" </w:instrText>
      </w:r>
      <w:r>
        <w:fldChar w:fldCharType="separate"/>
      </w:r>
      <w:r>
        <w:rPr>
          <w:rFonts w:hint="eastAsia"/>
          <w:szCs w:val="24"/>
        </w:rPr>
        <w:t xml:space="preserve">9 </w:t>
      </w:r>
      <w:r>
        <w:rPr>
          <w:szCs w:val="24"/>
        </w:rPr>
        <w:t>统计学考虑</w:t>
      </w:r>
      <w:r>
        <w:tab/>
      </w:r>
      <w:r>
        <w:fldChar w:fldCharType="begin"/>
      </w:r>
      <w:r>
        <w:instrText xml:space="preserve"> PAGEREF _Toc4173 \h </w:instrText>
      </w:r>
      <w:r>
        <w:fldChar w:fldCharType="separate"/>
      </w:r>
      <w:r>
        <w:t>59</w:t>
      </w:r>
      <w:r>
        <w:fldChar w:fldCharType="end"/>
      </w:r>
      <w:r>
        <w:fldChar w:fldCharType="end"/>
      </w:r>
    </w:p>
    <w:p w14:paraId="28E8F00A">
      <w:pPr>
        <w:pStyle w:val="33"/>
        <w:tabs>
          <w:tab w:val="right" w:leader="dot" w:pos="9348"/>
        </w:tabs>
        <w:ind w:left="480"/>
      </w:pPr>
      <w:r>
        <w:fldChar w:fldCharType="begin"/>
      </w:r>
      <w:r>
        <w:instrText xml:space="preserve"> HYPERLINK \l "_Toc24458" </w:instrText>
      </w:r>
      <w:r>
        <w:fldChar w:fldCharType="separate"/>
      </w:r>
      <w:r>
        <w:rPr>
          <w:rFonts w:hint="eastAsia"/>
          <w:szCs w:val="24"/>
          <w:lang w:val="zh-TW" w:eastAsia="zh-TW"/>
        </w:rPr>
        <w:t xml:space="preserve">9.1 </w:t>
      </w:r>
      <w:r>
        <w:rPr>
          <w:szCs w:val="24"/>
          <w:lang w:val="zh-TW" w:eastAsia="zh-TW"/>
        </w:rPr>
        <w:t>分析集</w:t>
      </w:r>
      <w:r>
        <w:tab/>
      </w:r>
      <w:r>
        <w:fldChar w:fldCharType="begin"/>
      </w:r>
      <w:r>
        <w:instrText xml:space="preserve"> PAGEREF _Toc24458 \h </w:instrText>
      </w:r>
      <w:r>
        <w:fldChar w:fldCharType="separate"/>
      </w:r>
      <w:r>
        <w:t>59</w:t>
      </w:r>
      <w:r>
        <w:fldChar w:fldCharType="end"/>
      </w:r>
      <w:r>
        <w:fldChar w:fldCharType="end"/>
      </w:r>
    </w:p>
    <w:p w14:paraId="3F58F750">
      <w:pPr>
        <w:pStyle w:val="33"/>
        <w:tabs>
          <w:tab w:val="right" w:leader="dot" w:pos="9348"/>
        </w:tabs>
        <w:ind w:left="480"/>
      </w:pPr>
      <w:r>
        <w:fldChar w:fldCharType="begin"/>
      </w:r>
      <w:r>
        <w:instrText xml:space="preserve"> HYPERLINK \l "_Toc31892" </w:instrText>
      </w:r>
      <w:r>
        <w:fldChar w:fldCharType="separate"/>
      </w:r>
      <w:r>
        <w:rPr>
          <w:rFonts w:hint="eastAsia"/>
          <w:szCs w:val="24"/>
          <w:lang w:val="zh-TW" w:eastAsia="zh-TW"/>
        </w:rPr>
        <w:t xml:space="preserve">9.2 </w:t>
      </w:r>
      <w:r>
        <w:rPr>
          <w:szCs w:val="24"/>
          <w:lang w:val="zh-TW" w:eastAsia="zh-TW"/>
        </w:rPr>
        <w:t>统计分析</w:t>
      </w:r>
      <w:r>
        <w:tab/>
      </w:r>
      <w:r>
        <w:fldChar w:fldCharType="begin"/>
      </w:r>
      <w:r>
        <w:instrText xml:space="preserve"> PAGEREF _Toc31892 \h </w:instrText>
      </w:r>
      <w:r>
        <w:fldChar w:fldCharType="separate"/>
      </w:r>
      <w:r>
        <w:t>60</w:t>
      </w:r>
      <w:r>
        <w:fldChar w:fldCharType="end"/>
      </w:r>
      <w:r>
        <w:fldChar w:fldCharType="end"/>
      </w:r>
    </w:p>
    <w:p w14:paraId="57B724A3">
      <w:pPr>
        <w:pStyle w:val="20"/>
        <w:tabs>
          <w:tab w:val="right" w:leader="dot" w:pos="9348"/>
        </w:tabs>
        <w:ind w:left="960"/>
      </w:pPr>
      <w:r>
        <w:fldChar w:fldCharType="begin"/>
      </w:r>
      <w:r>
        <w:instrText xml:space="preserve"> HYPERLINK \l "_Toc14694" </w:instrText>
      </w:r>
      <w:r>
        <w:fldChar w:fldCharType="separate"/>
      </w:r>
      <w:r>
        <w:rPr>
          <w:rFonts w:hint="eastAsia"/>
          <w:szCs w:val="24"/>
          <w:lang w:val="zh-TW" w:eastAsia="zh-TW"/>
        </w:rPr>
        <w:t xml:space="preserve">9.2.1 </w:t>
      </w:r>
      <w:r>
        <w:rPr>
          <w:szCs w:val="24"/>
          <w:lang w:val="zh-TW" w:eastAsia="zh-TW"/>
        </w:rPr>
        <w:t>受试者分布分析</w:t>
      </w:r>
      <w:r>
        <w:tab/>
      </w:r>
      <w:r>
        <w:fldChar w:fldCharType="begin"/>
      </w:r>
      <w:r>
        <w:instrText xml:space="preserve"> PAGEREF _Toc14694 \h </w:instrText>
      </w:r>
      <w:r>
        <w:fldChar w:fldCharType="separate"/>
      </w:r>
      <w:r>
        <w:t>60</w:t>
      </w:r>
      <w:r>
        <w:fldChar w:fldCharType="end"/>
      </w:r>
      <w:r>
        <w:fldChar w:fldCharType="end"/>
      </w:r>
    </w:p>
    <w:p w14:paraId="7E51A764">
      <w:pPr>
        <w:pStyle w:val="20"/>
        <w:tabs>
          <w:tab w:val="right" w:leader="dot" w:pos="9348"/>
        </w:tabs>
        <w:ind w:left="960"/>
      </w:pPr>
      <w:r>
        <w:fldChar w:fldCharType="begin"/>
      </w:r>
      <w:r>
        <w:instrText xml:space="preserve"> HYPERLINK \l "_Toc27274" </w:instrText>
      </w:r>
      <w:r>
        <w:fldChar w:fldCharType="separate"/>
      </w:r>
      <w:r>
        <w:rPr>
          <w:rFonts w:hint="eastAsia"/>
          <w:szCs w:val="24"/>
          <w:lang w:val="zh-TW"/>
        </w:rPr>
        <w:t xml:space="preserve">9.2.2 </w:t>
      </w:r>
      <w:r>
        <w:rPr>
          <w:szCs w:val="24"/>
          <w:lang w:val="zh-TW"/>
        </w:rPr>
        <w:t>人口学资料和基线特征分析</w:t>
      </w:r>
      <w:r>
        <w:tab/>
      </w:r>
      <w:r>
        <w:fldChar w:fldCharType="begin"/>
      </w:r>
      <w:r>
        <w:instrText xml:space="preserve"> PAGEREF _Toc27274 \h </w:instrText>
      </w:r>
      <w:r>
        <w:fldChar w:fldCharType="separate"/>
      </w:r>
      <w:r>
        <w:t>60</w:t>
      </w:r>
      <w:r>
        <w:fldChar w:fldCharType="end"/>
      </w:r>
      <w:r>
        <w:fldChar w:fldCharType="end"/>
      </w:r>
    </w:p>
    <w:p w14:paraId="02B946C1">
      <w:pPr>
        <w:pStyle w:val="20"/>
        <w:tabs>
          <w:tab w:val="right" w:leader="dot" w:pos="9348"/>
        </w:tabs>
        <w:ind w:left="960"/>
      </w:pPr>
      <w:r>
        <w:fldChar w:fldCharType="begin"/>
      </w:r>
      <w:r>
        <w:instrText xml:space="preserve"> HYPERLINK \l "_Toc30209" </w:instrText>
      </w:r>
      <w:r>
        <w:fldChar w:fldCharType="separate"/>
      </w:r>
      <w:r>
        <w:rPr>
          <w:rFonts w:hint="eastAsia"/>
          <w:szCs w:val="24"/>
          <w:lang w:val="zh-TW" w:eastAsia="zh-TW"/>
        </w:rPr>
        <w:t xml:space="preserve">9.2.3 </w:t>
      </w:r>
      <w:r>
        <w:rPr>
          <w:szCs w:val="24"/>
          <w:lang w:val="zh-TW" w:eastAsia="zh-TW"/>
        </w:rPr>
        <w:t>药物暴露和依从性分析</w:t>
      </w:r>
      <w:r>
        <w:tab/>
      </w:r>
      <w:r>
        <w:fldChar w:fldCharType="begin"/>
      </w:r>
      <w:r>
        <w:instrText xml:space="preserve"> PAGEREF _Toc30209 \h </w:instrText>
      </w:r>
      <w:r>
        <w:fldChar w:fldCharType="separate"/>
      </w:r>
      <w:r>
        <w:t>60</w:t>
      </w:r>
      <w:r>
        <w:fldChar w:fldCharType="end"/>
      </w:r>
      <w:r>
        <w:fldChar w:fldCharType="end"/>
      </w:r>
    </w:p>
    <w:p w14:paraId="009DE799">
      <w:pPr>
        <w:pStyle w:val="20"/>
        <w:tabs>
          <w:tab w:val="right" w:leader="dot" w:pos="9348"/>
        </w:tabs>
        <w:ind w:left="960"/>
      </w:pPr>
      <w:r>
        <w:fldChar w:fldCharType="begin"/>
      </w:r>
      <w:r>
        <w:instrText xml:space="preserve"> HYPERLINK \l "_Toc13795" </w:instrText>
      </w:r>
      <w:r>
        <w:fldChar w:fldCharType="separate"/>
      </w:r>
      <w:r>
        <w:rPr>
          <w:rFonts w:hint="eastAsia"/>
          <w:szCs w:val="24"/>
          <w:lang w:val="zh-TW" w:eastAsia="zh-TW"/>
        </w:rPr>
        <w:t xml:space="preserve">9.2.4 </w:t>
      </w:r>
      <w:r>
        <w:rPr>
          <w:szCs w:val="24"/>
          <w:lang w:val="zh-TW" w:eastAsia="zh-TW"/>
        </w:rPr>
        <w:t>有效性分析</w:t>
      </w:r>
      <w:r>
        <w:tab/>
      </w:r>
      <w:r>
        <w:fldChar w:fldCharType="begin"/>
      </w:r>
      <w:r>
        <w:instrText xml:space="preserve"> PAGEREF _Toc13795 \h </w:instrText>
      </w:r>
      <w:r>
        <w:fldChar w:fldCharType="separate"/>
      </w:r>
      <w:r>
        <w:t>60</w:t>
      </w:r>
      <w:r>
        <w:fldChar w:fldCharType="end"/>
      </w:r>
      <w:r>
        <w:fldChar w:fldCharType="end"/>
      </w:r>
    </w:p>
    <w:p w14:paraId="2D6FB065">
      <w:pPr>
        <w:pStyle w:val="20"/>
        <w:tabs>
          <w:tab w:val="right" w:leader="dot" w:pos="9348"/>
        </w:tabs>
        <w:ind w:left="960"/>
      </w:pPr>
      <w:r>
        <w:fldChar w:fldCharType="begin"/>
      </w:r>
      <w:r>
        <w:instrText xml:space="preserve"> HYPERLINK \l "_Toc21144" </w:instrText>
      </w:r>
      <w:r>
        <w:fldChar w:fldCharType="separate"/>
      </w:r>
      <w:r>
        <w:rPr>
          <w:rFonts w:hint="eastAsia"/>
          <w:szCs w:val="24"/>
          <w:lang w:val="zh-TW" w:eastAsia="zh-TW"/>
        </w:rPr>
        <w:t xml:space="preserve">9.2.5 </w:t>
      </w:r>
      <w:r>
        <w:rPr>
          <w:szCs w:val="24"/>
          <w:lang w:val="zh-TW" w:eastAsia="zh-TW"/>
        </w:rPr>
        <w:t>安全性分析</w:t>
      </w:r>
      <w:r>
        <w:tab/>
      </w:r>
      <w:r>
        <w:fldChar w:fldCharType="begin"/>
      </w:r>
      <w:r>
        <w:instrText xml:space="preserve"> PAGEREF _Toc21144 \h </w:instrText>
      </w:r>
      <w:r>
        <w:fldChar w:fldCharType="separate"/>
      </w:r>
      <w:r>
        <w:t>63</w:t>
      </w:r>
      <w:r>
        <w:fldChar w:fldCharType="end"/>
      </w:r>
      <w:r>
        <w:fldChar w:fldCharType="end"/>
      </w:r>
    </w:p>
    <w:p w14:paraId="357C0844">
      <w:pPr>
        <w:pStyle w:val="20"/>
        <w:tabs>
          <w:tab w:val="right" w:leader="dot" w:pos="9348"/>
        </w:tabs>
        <w:ind w:left="960"/>
      </w:pPr>
      <w:r>
        <w:fldChar w:fldCharType="begin"/>
      </w:r>
      <w:r>
        <w:instrText xml:space="preserve"> HYPERLINK \l "_Toc7643" </w:instrText>
      </w:r>
      <w:r>
        <w:fldChar w:fldCharType="separate"/>
      </w:r>
      <w:r>
        <w:rPr>
          <w:rFonts w:hint="eastAsia"/>
          <w:szCs w:val="24"/>
          <w:lang w:val="zh-TW" w:eastAsia="zh-TW"/>
        </w:rPr>
        <w:t xml:space="preserve">9.2.6 </w:t>
      </w:r>
      <w:r>
        <w:rPr>
          <w:szCs w:val="24"/>
          <w:lang w:val="zh-TW" w:eastAsia="zh-TW"/>
        </w:rPr>
        <w:t>期中分析</w:t>
      </w:r>
      <w:r>
        <w:tab/>
      </w:r>
      <w:r>
        <w:fldChar w:fldCharType="begin"/>
      </w:r>
      <w:r>
        <w:instrText xml:space="preserve"> PAGEREF _Toc7643 \h </w:instrText>
      </w:r>
      <w:r>
        <w:fldChar w:fldCharType="separate"/>
      </w:r>
      <w:r>
        <w:t>64</w:t>
      </w:r>
      <w:r>
        <w:fldChar w:fldCharType="end"/>
      </w:r>
      <w:r>
        <w:fldChar w:fldCharType="end"/>
      </w:r>
    </w:p>
    <w:p w14:paraId="052C2AD4">
      <w:pPr>
        <w:pStyle w:val="33"/>
        <w:tabs>
          <w:tab w:val="right" w:leader="dot" w:pos="9348"/>
        </w:tabs>
        <w:ind w:left="480"/>
      </w:pPr>
      <w:r>
        <w:fldChar w:fldCharType="begin"/>
      </w:r>
      <w:r>
        <w:instrText xml:space="preserve"> HYPERLINK \l "_Toc29859" </w:instrText>
      </w:r>
      <w:r>
        <w:fldChar w:fldCharType="separate"/>
      </w:r>
      <w:r>
        <w:rPr>
          <w:rFonts w:hint="eastAsia"/>
          <w:szCs w:val="24"/>
          <w:lang w:val="zh-TW" w:eastAsia="zh-TW"/>
        </w:rPr>
        <w:t xml:space="preserve">9.3 </w:t>
      </w:r>
      <w:r>
        <w:rPr>
          <w:szCs w:val="24"/>
          <w:lang w:val="zh-TW" w:eastAsia="zh-TW"/>
        </w:rPr>
        <w:t>样本量确定</w:t>
      </w:r>
      <w:r>
        <w:tab/>
      </w:r>
      <w:r>
        <w:fldChar w:fldCharType="begin"/>
      </w:r>
      <w:r>
        <w:instrText xml:space="preserve"> PAGEREF _Toc29859 \h </w:instrText>
      </w:r>
      <w:r>
        <w:fldChar w:fldCharType="separate"/>
      </w:r>
      <w:r>
        <w:t>64</w:t>
      </w:r>
      <w:r>
        <w:fldChar w:fldCharType="end"/>
      </w:r>
      <w:r>
        <w:fldChar w:fldCharType="end"/>
      </w:r>
    </w:p>
    <w:p w14:paraId="36897F19">
      <w:pPr>
        <w:pStyle w:val="33"/>
        <w:tabs>
          <w:tab w:val="right" w:leader="dot" w:pos="9348"/>
        </w:tabs>
        <w:ind w:left="480"/>
      </w:pPr>
      <w:r>
        <w:fldChar w:fldCharType="begin"/>
      </w:r>
      <w:r>
        <w:instrText xml:space="preserve"> HYPERLINK \l "_Toc12421" </w:instrText>
      </w:r>
      <w:r>
        <w:fldChar w:fldCharType="separate"/>
      </w:r>
      <w:r>
        <w:rPr>
          <w:rFonts w:hint="eastAsia"/>
          <w:szCs w:val="24"/>
          <w:lang w:val="zh-TW" w:eastAsia="zh-TW"/>
        </w:rPr>
        <w:t xml:space="preserve">9.4 </w:t>
      </w:r>
      <w:r>
        <w:rPr>
          <w:szCs w:val="24"/>
          <w:lang w:val="zh-TW" w:eastAsia="zh-TW"/>
        </w:rPr>
        <w:t>方案偏离</w:t>
      </w:r>
      <w:r>
        <w:tab/>
      </w:r>
      <w:r>
        <w:fldChar w:fldCharType="begin"/>
      </w:r>
      <w:r>
        <w:instrText xml:space="preserve"> PAGEREF _Toc12421 \h </w:instrText>
      </w:r>
      <w:r>
        <w:fldChar w:fldCharType="separate"/>
      </w:r>
      <w:r>
        <w:t>64</w:t>
      </w:r>
      <w:r>
        <w:fldChar w:fldCharType="end"/>
      </w:r>
      <w:r>
        <w:fldChar w:fldCharType="end"/>
      </w:r>
    </w:p>
    <w:p w14:paraId="7C199019">
      <w:pPr>
        <w:pStyle w:val="28"/>
        <w:tabs>
          <w:tab w:val="right" w:leader="dot" w:pos="9348"/>
        </w:tabs>
      </w:pPr>
      <w:r>
        <w:fldChar w:fldCharType="begin"/>
      </w:r>
      <w:r>
        <w:instrText xml:space="preserve"> HYPERLINK \l "_Toc15967" </w:instrText>
      </w:r>
      <w:r>
        <w:fldChar w:fldCharType="separate"/>
      </w:r>
      <w:r>
        <w:rPr>
          <w:rFonts w:hint="eastAsia"/>
          <w:szCs w:val="24"/>
        </w:rPr>
        <w:t xml:space="preserve">10 </w:t>
      </w:r>
      <w:r>
        <w:rPr>
          <w:szCs w:val="24"/>
        </w:rPr>
        <w:t>一般考虑：监管、伦理和试验监督</w:t>
      </w:r>
      <w:r>
        <w:tab/>
      </w:r>
      <w:r>
        <w:fldChar w:fldCharType="begin"/>
      </w:r>
      <w:r>
        <w:instrText xml:space="preserve"> PAGEREF _Toc15967 \h </w:instrText>
      </w:r>
      <w:r>
        <w:fldChar w:fldCharType="separate"/>
      </w:r>
      <w:r>
        <w:t>64</w:t>
      </w:r>
      <w:r>
        <w:fldChar w:fldCharType="end"/>
      </w:r>
      <w:r>
        <w:fldChar w:fldCharType="end"/>
      </w:r>
    </w:p>
    <w:p w14:paraId="6B1260A2">
      <w:pPr>
        <w:pStyle w:val="33"/>
        <w:tabs>
          <w:tab w:val="right" w:leader="dot" w:pos="9348"/>
        </w:tabs>
        <w:ind w:left="480"/>
      </w:pPr>
      <w:r>
        <w:fldChar w:fldCharType="begin"/>
      </w:r>
      <w:r>
        <w:instrText xml:space="preserve"> HYPERLINK \l "_Toc2497" </w:instrText>
      </w:r>
      <w:r>
        <w:fldChar w:fldCharType="separate"/>
      </w:r>
      <w:r>
        <w:rPr>
          <w:rFonts w:hint="eastAsia"/>
          <w:szCs w:val="24"/>
          <w:lang w:val="zh-TW" w:eastAsia="zh-TW"/>
        </w:rPr>
        <w:t xml:space="preserve">10.1 </w:t>
      </w:r>
      <w:r>
        <w:rPr>
          <w:szCs w:val="24"/>
          <w:lang w:val="zh-TW" w:eastAsia="zh-TW"/>
        </w:rPr>
        <w:t>监管和伦理考虑</w:t>
      </w:r>
      <w:r>
        <w:tab/>
      </w:r>
      <w:r>
        <w:fldChar w:fldCharType="begin"/>
      </w:r>
      <w:r>
        <w:instrText xml:space="preserve"> PAGEREF _Toc2497 \h </w:instrText>
      </w:r>
      <w:r>
        <w:fldChar w:fldCharType="separate"/>
      </w:r>
      <w:r>
        <w:t>64</w:t>
      </w:r>
      <w:r>
        <w:fldChar w:fldCharType="end"/>
      </w:r>
      <w:r>
        <w:fldChar w:fldCharType="end"/>
      </w:r>
    </w:p>
    <w:p w14:paraId="3032C7F2">
      <w:pPr>
        <w:pStyle w:val="33"/>
        <w:tabs>
          <w:tab w:val="right" w:leader="dot" w:pos="9348"/>
        </w:tabs>
        <w:ind w:left="480"/>
      </w:pPr>
      <w:r>
        <w:fldChar w:fldCharType="begin"/>
      </w:r>
      <w:r>
        <w:instrText xml:space="preserve"> HYPERLINK \l "_Toc23671" </w:instrText>
      </w:r>
      <w:r>
        <w:fldChar w:fldCharType="separate"/>
      </w:r>
      <w:r>
        <w:rPr>
          <w:rFonts w:hint="eastAsia"/>
          <w:szCs w:val="24"/>
          <w:lang w:val="zh-TW" w:eastAsia="zh-TW"/>
        </w:rPr>
        <w:t xml:space="preserve">10.2 </w:t>
      </w:r>
      <w:r>
        <w:rPr>
          <w:szCs w:val="24"/>
          <w:lang w:val="zh-TW" w:eastAsia="zh-TW"/>
        </w:rPr>
        <w:t>伦理委员会</w:t>
      </w:r>
      <w:r>
        <w:tab/>
      </w:r>
      <w:r>
        <w:fldChar w:fldCharType="begin"/>
      </w:r>
      <w:r>
        <w:instrText xml:space="preserve"> PAGEREF _Toc23671 \h </w:instrText>
      </w:r>
      <w:r>
        <w:fldChar w:fldCharType="separate"/>
      </w:r>
      <w:r>
        <w:t>65</w:t>
      </w:r>
      <w:r>
        <w:fldChar w:fldCharType="end"/>
      </w:r>
      <w:r>
        <w:fldChar w:fldCharType="end"/>
      </w:r>
    </w:p>
    <w:p w14:paraId="4748989F">
      <w:pPr>
        <w:pStyle w:val="33"/>
        <w:tabs>
          <w:tab w:val="right" w:leader="dot" w:pos="9348"/>
        </w:tabs>
        <w:ind w:left="480"/>
      </w:pPr>
      <w:r>
        <w:fldChar w:fldCharType="begin"/>
      </w:r>
      <w:r>
        <w:instrText xml:space="preserve"> HYPERLINK \l "_Toc19120" </w:instrText>
      </w:r>
      <w:r>
        <w:fldChar w:fldCharType="separate"/>
      </w:r>
      <w:r>
        <w:rPr>
          <w:rFonts w:hint="eastAsia"/>
          <w:szCs w:val="24"/>
          <w:lang w:val="zh-TW" w:eastAsia="zh-TW"/>
        </w:rPr>
        <w:t xml:space="preserve">10.3 </w:t>
      </w:r>
      <w:r>
        <w:rPr>
          <w:szCs w:val="24"/>
          <w:lang w:val="zh-TW" w:eastAsia="zh-TW"/>
        </w:rPr>
        <w:t>知情同意过程</w:t>
      </w:r>
      <w:r>
        <w:tab/>
      </w:r>
      <w:r>
        <w:fldChar w:fldCharType="begin"/>
      </w:r>
      <w:r>
        <w:instrText xml:space="preserve"> PAGEREF _Toc19120 \h </w:instrText>
      </w:r>
      <w:r>
        <w:fldChar w:fldCharType="separate"/>
      </w:r>
      <w:r>
        <w:t>65</w:t>
      </w:r>
      <w:r>
        <w:fldChar w:fldCharType="end"/>
      </w:r>
      <w:r>
        <w:fldChar w:fldCharType="end"/>
      </w:r>
    </w:p>
    <w:p w14:paraId="61798E64">
      <w:pPr>
        <w:pStyle w:val="33"/>
        <w:tabs>
          <w:tab w:val="right" w:leader="dot" w:pos="9348"/>
        </w:tabs>
        <w:ind w:left="480"/>
      </w:pPr>
      <w:r>
        <w:fldChar w:fldCharType="begin"/>
      </w:r>
      <w:r>
        <w:instrText xml:space="preserve"> HYPERLINK \l "_Toc32294" </w:instrText>
      </w:r>
      <w:r>
        <w:fldChar w:fldCharType="separate"/>
      </w:r>
      <w:r>
        <w:rPr>
          <w:rFonts w:hint="eastAsia"/>
          <w:szCs w:val="24"/>
          <w:lang w:val="zh-TW" w:eastAsia="zh-TW"/>
        </w:rPr>
        <w:t xml:space="preserve">10.4 </w:t>
      </w:r>
      <w:r>
        <w:rPr>
          <w:szCs w:val="24"/>
          <w:lang w:val="zh-TW" w:eastAsia="zh-TW"/>
        </w:rPr>
        <w:t>数据保护</w:t>
      </w:r>
      <w:r>
        <w:tab/>
      </w:r>
      <w:r>
        <w:fldChar w:fldCharType="begin"/>
      </w:r>
      <w:r>
        <w:instrText xml:space="preserve"> PAGEREF _Toc32294 \h </w:instrText>
      </w:r>
      <w:r>
        <w:fldChar w:fldCharType="separate"/>
      </w:r>
      <w:r>
        <w:t>66</w:t>
      </w:r>
      <w:r>
        <w:fldChar w:fldCharType="end"/>
      </w:r>
      <w:r>
        <w:fldChar w:fldCharType="end"/>
      </w:r>
    </w:p>
    <w:p w14:paraId="074511C4">
      <w:pPr>
        <w:pStyle w:val="33"/>
        <w:tabs>
          <w:tab w:val="right" w:leader="dot" w:pos="9348"/>
        </w:tabs>
        <w:ind w:left="480"/>
      </w:pPr>
      <w:r>
        <w:fldChar w:fldCharType="begin"/>
      </w:r>
      <w:r>
        <w:instrText xml:space="preserve"> HYPERLINK \l "_Toc5588" </w:instrText>
      </w:r>
      <w:r>
        <w:fldChar w:fldCharType="separate"/>
      </w:r>
      <w:r>
        <w:rPr>
          <w:rFonts w:hint="eastAsia"/>
          <w:szCs w:val="24"/>
          <w:lang w:val="zh-TW"/>
        </w:rPr>
        <w:t xml:space="preserve">10.5 </w:t>
      </w:r>
      <w:r>
        <w:rPr>
          <w:szCs w:val="24"/>
          <w:lang w:val="zh-TW"/>
        </w:rPr>
        <w:t>研究中心提前关闭或试验终止</w:t>
      </w:r>
      <w:r>
        <w:tab/>
      </w:r>
      <w:r>
        <w:fldChar w:fldCharType="begin"/>
      </w:r>
      <w:r>
        <w:instrText xml:space="preserve"> PAGEREF _Toc5588 \h </w:instrText>
      </w:r>
      <w:r>
        <w:fldChar w:fldCharType="separate"/>
      </w:r>
      <w:r>
        <w:t>66</w:t>
      </w:r>
      <w:r>
        <w:fldChar w:fldCharType="end"/>
      </w:r>
      <w:r>
        <w:fldChar w:fldCharType="end"/>
      </w:r>
    </w:p>
    <w:p w14:paraId="4913A101">
      <w:pPr>
        <w:pStyle w:val="28"/>
        <w:tabs>
          <w:tab w:val="right" w:leader="dot" w:pos="9348"/>
        </w:tabs>
      </w:pPr>
      <w:r>
        <w:fldChar w:fldCharType="begin"/>
      </w:r>
      <w:r>
        <w:instrText xml:space="preserve"> HYPERLINK \l "_Toc29516" </w:instrText>
      </w:r>
      <w:r>
        <w:fldChar w:fldCharType="separate"/>
      </w:r>
      <w:r>
        <w:rPr>
          <w:rFonts w:hint="eastAsia"/>
          <w:szCs w:val="24"/>
        </w:rPr>
        <w:t xml:space="preserve">11 </w:t>
      </w:r>
      <w:r>
        <w:rPr>
          <w:szCs w:val="24"/>
        </w:rPr>
        <w:t>一般考虑：风险管理和质量保证</w:t>
      </w:r>
      <w:r>
        <w:tab/>
      </w:r>
      <w:r>
        <w:fldChar w:fldCharType="begin"/>
      </w:r>
      <w:r>
        <w:instrText xml:space="preserve"> PAGEREF _Toc29516 \h </w:instrText>
      </w:r>
      <w:r>
        <w:fldChar w:fldCharType="separate"/>
      </w:r>
      <w:r>
        <w:t>66</w:t>
      </w:r>
      <w:r>
        <w:fldChar w:fldCharType="end"/>
      </w:r>
      <w:r>
        <w:fldChar w:fldCharType="end"/>
      </w:r>
    </w:p>
    <w:p w14:paraId="1921B56D">
      <w:pPr>
        <w:pStyle w:val="33"/>
        <w:tabs>
          <w:tab w:val="right" w:leader="dot" w:pos="9348"/>
        </w:tabs>
        <w:ind w:left="480"/>
      </w:pPr>
      <w:r>
        <w:fldChar w:fldCharType="begin"/>
      </w:r>
      <w:r>
        <w:instrText xml:space="preserve"> HYPERLINK \l "_Toc32075" </w:instrText>
      </w:r>
      <w:r>
        <w:fldChar w:fldCharType="separate"/>
      </w:r>
      <w:r>
        <w:rPr>
          <w:rFonts w:hint="eastAsia"/>
          <w:szCs w:val="24"/>
          <w:lang w:val="zh-TW" w:eastAsia="zh-TW"/>
        </w:rPr>
        <w:t xml:space="preserve">11.1 </w:t>
      </w:r>
      <w:r>
        <w:rPr>
          <w:szCs w:val="24"/>
          <w:lang w:val="zh-TW" w:eastAsia="zh-TW"/>
        </w:rPr>
        <w:t>质量容许限度</w:t>
      </w:r>
      <w:r>
        <w:tab/>
      </w:r>
      <w:r>
        <w:fldChar w:fldCharType="begin"/>
      </w:r>
      <w:r>
        <w:instrText xml:space="preserve"> PAGEREF _Toc32075 \h </w:instrText>
      </w:r>
      <w:r>
        <w:fldChar w:fldCharType="separate"/>
      </w:r>
      <w:r>
        <w:t>66</w:t>
      </w:r>
      <w:r>
        <w:fldChar w:fldCharType="end"/>
      </w:r>
      <w:r>
        <w:fldChar w:fldCharType="end"/>
      </w:r>
    </w:p>
    <w:p w14:paraId="7DE5713C">
      <w:pPr>
        <w:pStyle w:val="33"/>
        <w:tabs>
          <w:tab w:val="right" w:leader="dot" w:pos="9348"/>
        </w:tabs>
        <w:ind w:left="480"/>
      </w:pPr>
      <w:r>
        <w:fldChar w:fldCharType="begin"/>
      </w:r>
      <w:r>
        <w:instrText xml:space="preserve"> HYPERLINK \l "_Toc2124" </w:instrText>
      </w:r>
      <w:r>
        <w:fldChar w:fldCharType="separate"/>
      </w:r>
      <w:r>
        <w:rPr>
          <w:rFonts w:hint="eastAsia"/>
          <w:szCs w:val="24"/>
          <w:lang w:val="zh-TW" w:eastAsia="zh-TW"/>
        </w:rPr>
        <w:t xml:space="preserve">11.2 </w:t>
      </w:r>
      <w:r>
        <w:rPr>
          <w:szCs w:val="24"/>
          <w:lang w:val="zh-TW" w:eastAsia="zh-TW"/>
        </w:rPr>
        <w:t>数据质量保证</w:t>
      </w:r>
      <w:r>
        <w:tab/>
      </w:r>
      <w:r>
        <w:fldChar w:fldCharType="begin"/>
      </w:r>
      <w:r>
        <w:instrText xml:space="preserve"> PAGEREF _Toc2124 \h </w:instrText>
      </w:r>
      <w:r>
        <w:fldChar w:fldCharType="separate"/>
      </w:r>
      <w:r>
        <w:t>66</w:t>
      </w:r>
      <w:r>
        <w:fldChar w:fldCharType="end"/>
      </w:r>
      <w:r>
        <w:fldChar w:fldCharType="end"/>
      </w:r>
    </w:p>
    <w:p w14:paraId="010ECDD4">
      <w:pPr>
        <w:pStyle w:val="33"/>
        <w:tabs>
          <w:tab w:val="right" w:leader="dot" w:pos="9348"/>
        </w:tabs>
        <w:ind w:left="480"/>
      </w:pPr>
      <w:r>
        <w:fldChar w:fldCharType="begin"/>
      </w:r>
      <w:r>
        <w:instrText xml:space="preserve"> HYPERLINK \l "_Toc31680" </w:instrText>
      </w:r>
      <w:r>
        <w:fldChar w:fldCharType="separate"/>
      </w:r>
      <w:r>
        <w:rPr>
          <w:rFonts w:hint="eastAsia"/>
          <w:szCs w:val="24"/>
          <w:lang w:val="zh-TW" w:eastAsia="zh-TW"/>
        </w:rPr>
        <w:t xml:space="preserve">11.3 </w:t>
      </w:r>
      <w:r>
        <w:rPr>
          <w:szCs w:val="24"/>
          <w:lang w:val="zh-TW" w:eastAsia="zh-TW"/>
        </w:rPr>
        <w:t>源数据</w:t>
      </w:r>
      <w:r>
        <w:tab/>
      </w:r>
      <w:r>
        <w:fldChar w:fldCharType="begin"/>
      </w:r>
      <w:r>
        <w:instrText xml:space="preserve"> PAGEREF _Toc31680 \h </w:instrText>
      </w:r>
      <w:r>
        <w:fldChar w:fldCharType="separate"/>
      </w:r>
      <w:r>
        <w:t>67</w:t>
      </w:r>
      <w:r>
        <w:fldChar w:fldCharType="end"/>
      </w:r>
      <w:r>
        <w:fldChar w:fldCharType="end"/>
      </w:r>
    </w:p>
    <w:p w14:paraId="392A269E">
      <w:pPr>
        <w:pStyle w:val="28"/>
        <w:tabs>
          <w:tab w:val="right" w:leader="dot" w:pos="9348"/>
        </w:tabs>
      </w:pPr>
      <w:r>
        <w:fldChar w:fldCharType="begin"/>
      </w:r>
      <w:r>
        <w:instrText xml:space="preserve"> HYPERLINK \l "_Toc30122" </w:instrText>
      </w:r>
      <w:r>
        <w:fldChar w:fldCharType="separate"/>
      </w:r>
      <w:r>
        <w:rPr>
          <w:rFonts w:hint="eastAsia"/>
          <w:szCs w:val="24"/>
        </w:rPr>
        <w:t xml:space="preserve">12 </w:t>
      </w:r>
      <w:r>
        <w:rPr>
          <w:szCs w:val="24"/>
        </w:rPr>
        <w:t>附录1：不良事件和严重不良事件-定义、严重程度和因果关系</w:t>
      </w:r>
      <w:r>
        <w:tab/>
      </w:r>
      <w:r>
        <w:fldChar w:fldCharType="begin"/>
      </w:r>
      <w:r>
        <w:instrText xml:space="preserve"> PAGEREF _Toc30122 \h </w:instrText>
      </w:r>
      <w:r>
        <w:fldChar w:fldCharType="separate"/>
      </w:r>
      <w:r>
        <w:t>68</w:t>
      </w:r>
      <w:r>
        <w:fldChar w:fldCharType="end"/>
      </w:r>
      <w:r>
        <w:fldChar w:fldCharType="end"/>
      </w:r>
    </w:p>
    <w:p w14:paraId="4948DAD2">
      <w:pPr>
        <w:pStyle w:val="33"/>
        <w:tabs>
          <w:tab w:val="right" w:leader="dot" w:pos="9348"/>
        </w:tabs>
        <w:ind w:left="480"/>
      </w:pPr>
      <w:r>
        <w:fldChar w:fldCharType="begin"/>
      </w:r>
      <w:r>
        <w:instrText xml:space="preserve"> HYPERLINK \l "_Toc5642" </w:instrText>
      </w:r>
      <w:r>
        <w:fldChar w:fldCharType="separate"/>
      </w:r>
      <w:r>
        <w:rPr>
          <w:rFonts w:hint="eastAsia"/>
          <w:szCs w:val="24"/>
          <w:lang w:val="zh-TW"/>
        </w:rPr>
        <w:t xml:space="preserve">12.1 </w:t>
      </w:r>
      <w:r>
        <w:rPr>
          <w:szCs w:val="24"/>
          <w:lang w:val="zh-TW"/>
        </w:rPr>
        <w:t>关于AE定义的更多详细信息和说明</w:t>
      </w:r>
      <w:r>
        <w:tab/>
      </w:r>
      <w:r>
        <w:fldChar w:fldCharType="begin"/>
      </w:r>
      <w:r>
        <w:instrText xml:space="preserve"> PAGEREF _Toc5642 \h </w:instrText>
      </w:r>
      <w:r>
        <w:fldChar w:fldCharType="separate"/>
      </w:r>
      <w:r>
        <w:t>68</w:t>
      </w:r>
      <w:r>
        <w:fldChar w:fldCharType="end"/>
      </w:r>
      <w:r>
        <w:fldChar w:fldCharType="end"/>
      </w:r>
    </w:p>
    <w:p w14:paraId="10429758">
      <w:pPr>
        <w:pStyle w:val="33"/>
        <w:tabs>
          <w:tab w:val="right" w:leader="dot" w:pos="9348"/>
        </w:tabs>
        <w:ind w:left="480"/>
      </w:pPr>
      <w:r>
        <w:fldChar w:fldCharType="begin"/>
      </w:r>
      <w:r>
        <w:instrText xml:space="preserve"> HYPERLINK \l "_Toc10688" </w:instrText>
      </w:r>
      <w:r>
        <w:fldChar w:fldCharType="separate"/>
      </w:r>
      <w:r>
        <w:rPr>
          <w:rFonts w:hint="eastAsia"/>
          <w:szCs w:val="24"/>
          <w:lang w:val="zh-TW"/>
        </w:rPr>
        <w:t xml:space="preserve">12.2 </w:t>
      </w:r>
      <w:r>
        <w:rPr>
          <w:szCs w:val="24"/>
          <w:lang w:val="zh-TW"/>
        </w:rPr>
        <w:t>关于SAE定义的更多详细信息和说明</w:t>
      </w:r>
      <w:r>
        <w:tab/>
      </w:r>
      <w:r>
        <w:fldChar w:fldCharType="begin"/>
      </w:r>
      <w:r>
        <w:instrText xml:space="preserve"> PAGEREF _Toc10688 \h </w:instrText>
      </w:r>
      <w:r>
        <w:fldChar w:fldCharType="separate"/>
      </w:r>
      <w:r>
        <w:t>68</w:t>
      </w:r>
      <w:r>
        <w:fldChar w:fldCharType="end"/>
      </w:r>
      <w:r>
        <w:fldChar w:fldCharType="end"/>
      </w:r>
    </w:p>
    <w:p w14:paraId="39C5D644">
      <w:pPr>
        <w:pStyle w:val="33"/>
        <w:tabs>
          <w:tab w:val="right" w:leader="dot" w:pos="9348"/>
        </w:tabs>
        <w:ind w:left="480"/>
      </w:pPr>
      <w:r>
        <w:fldChar w:fldCharType="begin"/>
      </w:r>
      <w:r>
        <w:instrText xml:space="preserve"> HYPERLINK \l "_Toc29326" </w:instrText>
      </w:r>
      <w:r>
        <w:fldChar w:fldCharType="separate"/>
      </w:r>
      <w:r>
        <w:rPr>
          <w:rFonts w:hint="eastAsia"/>
          <w:szCs w:val="24"/>
          <w:lang w:val="zh-TW" w:eastAsia="zh-TW"/>
        </w:rPr>
        <w:t xml:space="preserve">12.3 </w:t>
      </w:r>
      <w:r>
        <w:rPr>
          <w:szCs w:val="24"/>
          <w:lang w:val="zh-TW" w:eastAsia="zh-TW"/>
        </w:rPr>
        <w:t>严重程度</w:t>
      </w:r>
      <w:r>
        <w:tab/>
      </w:r>
      <w:r>
        <w:fldChar w:fldCharType="begin"/>
      </w:r>
      <w:r>
        <w:instrText xml:space="preserve"> PAGEREF _Toc29326 \h </w:instrText>
      </w:r>
      <w:r>
        <w:fldChar w:fldCharType="separate"/>
      </w:r>
      <w:r>
        <w:t>68</w:t>
      </w:r>
      <w:r>
        <w:fldChar w:fldCharType="end"/>
      </w:r>
      <w:r>
        <w:fldChar w:fldCharType="end"/>
      </w:r>
    </w:p>
    <w:p w14:paraId="1169E1BF">
      <w:pPr>
        <w:pStyle w:val="33"/>
        <w:tabs>
          <w:tab w:val="right" w:leader="dot" w:pos="9348"/>
        </w:tabs>
        <w:ind w:left="480"/>
      </w:pPr>
      <w:r>
        <w:fldChar w:fldCharType="begin"/>
      </w:r>
      <w:r>
        <w:instrText xml:space="preserve"> HYPERLINK \l "_Toc9480" </w:instrText>
      </w:r>
      <w:r>
        <w:fldChar w:fldCharType="separate"/>
      </w:r>
      <w:r>
        <w:rPr>
          <w:rFonts w:hint="eastAsia"/>
          <w:szCs w:val="24"/>
          <w:lang w:val="zh-TW" w:eastAsia="zh-TW"/>
        </w:rPr>
        <w:t xml:space="preserve">12.4 </w:t>
      </w:r>
      <w:r>
        <w:rPr>
          <w:szCs w:val="24"/>
          <w:lang w:val="zh-TW" w:eastAsia="zh-TW"/>
        </w:rPr>
        <w:t>因果关系</w:t>
      </w:r>
      <w:r>
        <w:tab/>
      </w:r>
      <w:r>
        <w:fldChar w:fldCharType="begin"/>
      </w:r>
      <w:r>
        <w:instrText xml:space="preserve"> PAGEREF _Toc9480 \h </w:instrText>
      </w:r>
      <w:r>
        <w:fldChar w:fldCharType="separate"/>
      </w:r>
      <w:r>
        <w:t>69</w:t>
      </w:r>
      <w:r>
        <w:fldChar w:fldCharType="end"/>
      </w:r>
      <w:r>
        <w:fldChar w:fldCharType="end"/>
      </w:r>
    </w:p>
    <w:p w14:paraId="59907E37">
      <w:pPr>
        <w:pStyle w:val="28"/>
        <w:tabs>
          <w:tab w:val="right" w:leader="dot" w:pos="9348"/>
        </w:tabs>
      </w:pPr>
      <w:r>
        <w:fldChar w:fldCharType="begin"/>
      </w:r>
      <w:r>
        <w:instrText xml:space="preserve"> HYPERLINK \l "_Toc23771" </w:instrText>
      </w:r>
      <w:r>
        <w:fldChar w:fldCharType="separate"/>
      </w:r>
      <w:r>
        <w:rPr>
          <w:rFonts w:hint="eastAsia"/>
          <w:szCs w:val="24"/>
        </w:rPr>
        <w:t xml:space="preserve">13 </w:t>
      </w:r>
      <w:r>
        <w:rPr>
          <w:szCs w:val="24"/>
        </w:rPr>
        <w:t>附录2：定义和支持性操作详情</w:t>
      </w:r>
      <w:r>
        <w:tab/>
      </w:r>
      <w:r>
        <w:fldChar w:fldCharType="begin"/>
      </w:r>
      <w:r>
        <w:instrText xml:space="preserve"> PAGEREF _Toc23771 \h </w:instrText>
      </w:r>
      <w:r>
        <w:fldChar w:fldCharType="separate"/>
      </w:r>
      <w:r>
        <w:t>69</w:t>
      </w:r>
      <w:r>
        <w:fldChar w:fldCharType="end"/>
      </w:r>
      <w:r>
        <w:fldChar w:fldCharType="end"/>
      </w:r>
    </w:p>
    <w:p w14:paraId="0F282CAB">
      <w:pPr>
        <w:pStyle w:val="33"/>
        <w:tabs>
          <w:tab w:val="right" w:leader="dot" w:pos="9348"/>
        </w:tabs>
        <w:ind w:left="480"/>
      </w:pPr>
      <w:r>
        <w:fldChar w:fldCharType="begin"/>
      </w:r>
      <w:r>
        <w:instrText xml:space="preserve"> HYPERLINK \l "_Toc9678" </w:instrText>
      </w:r>
      <w:r>
        <w:fldChar w:fldCharType="separate"/>
      </w:r>
      <w:r>
        <w:rPr>
          <w:rFonts w:hint="eastAsia"/>
          <w:szCs w:val="24"/>
          <w:lang w:val="zh-TW" w:eastAsia="zh-TW"/>
        </w:rPr>
        <w:t xml:space="preserve">13.1 </w:t>
      </w:r>
      <w:r>
        <w:rPr>
          <w:szCs w:val="24"/>
          <w:lang w:val="zh-TW" w:eastAsia="zh-TW"/>
        </w:rPr>
        <w:t>避孕和妊娠试验</w:t>
      </w:r>
      <w:r>
        <w:tab/>
      </w:r>
      <w:r>
        <w:fldChar w:fldCharType="begin"/>
      </w:r>
      <w:r>
        <w:instrText xml:space="preserve"> PAGEREF _Toc9678 \h </w:instrText>
      </w:r>
      <w:r>
        <w:fldChar w:fldCharType="separate"/>
      </w:r>
      <w:r>
        <w:t>69</w:t>
      </w:r>
      <w:r>
        <w:fldChar w:fldCharType="end"/>
      </w:r>
      <w:r>
        <w:fldChar w:fldCharType="end"/>
      </w:r>
    </w:p>
    <w:p w14:paraId="72304CC6">
      <w:pPr>
        <w:pStyle w:val="20"/>
        <w:tabs>
          <w:tab w:val="right" w:leader="dot" w:pos="9348"/>
        </w:tabs>
        <w:ind w:left="960"/>
      </w:pPr>
      <w:r>
        <w:fldChar w:fldCharType="begin"/>
      </w:r>
      <w:r>
        <w:instrText xml:space="preserve"> HYPERLINK \l "_Toc7973" </w:instrText>
      </w:r>
      <w:r>
        <w:fldChar w:fldCharType="separate"/>
      </w:r>
      <w:r>
        <w:rPr>
          <w:rFonts w:hint="eastAsia"/>
          <w:szCs w:val="24"/>
          <w:lang w:val="zh-TW" w:eastAsia="zh-TW"/>
        </w:rPr>
        <w:t xml:space="preserve">13.1.1 </w:t>
      </w:r>
      <w:r>
        <w:rPr>
          <w:szCs w:val="24"/>
          <w:lang w:val="zh-TW" w:eastAsia="zh-TW"/>
        </w:rPr>
        <w:t>与生育能力相关的定义</w:t>
      </w:r>
      <w:r>
        <w:tab/>
      </w:r>
      <w:r>
        <w:fldChar w:fldCharType="begin"/>
      </w:r>
      <w:r>
        <w:instrText xml:space="preserve"> PAGEREF _Toc7973 \h </w:instrText>
      </w:r>
      <w:r>
        <w:fldChar w:fldCharType="separate"/>
      </w:r>
      <w:r>
        <w:t>69</w:t>
      </w:r>
      <w:r>
        <w:fldChar w:fldCharType="end"/>
      </w:r>
      <w:r>
        <w:fldChar w:fldCharType="end"/>
      </w:r>
    </w:p>
    <w:p w14:paraId="74E93EA6">
      <w:pPr>
        <w:pStyle w:val="20"/>
        <w:tabs>
          <w:tab w:val="right" w:leader="dot" w:pos="9348"/>
        </w:tabs>
        <w:ind w:left="960"/>
      </w:pPr>
      <w:r>
        <w:fldChar w:fldCharType="begin"/>
      </w:r>
      <w:r>
        <w:instrText xml:space="preserve"> HYPERLINK \l "_Toc1599" </w:instrText>
      </w:r>
      <w:r>
        <w:fldChar w:fldCharType="separate"/>
      </w:r>
      <w:r>
        <w:rPr>
          <w:rFonts w:hint="eastAsia"/>
          <w:szCs w:val="24"/>
          <w:lang w:val="zh-TW" w:eastAsia="zh-TW"/>
        </w:rPr>
        <w:t xml:space="preserve">13.1.2 </w:t>
      </w:r>
      <w:r>
        <w:rPr>
          <w:szCs w:val="24"/>
          <w:lang w:val="zh-TW" w:eastAsia="zh-TW"/>
        </w:rPr>
        <w:t>避孕</w:t>
      </w:r>
      <w:r>
        <w:tab/>
      </w:r>
      <w:r>
        <w:fldChar w:fldCharType="begin"/>
      </w:r>
      <w:r>
        <w:instrText xml:space="preserve"> PAGEREF _Toc1599 \h </w:instrText>
      </w:r>
      <w:r>
        <w:fldChar w:fldCharType="separate"/>
      </w:r>
      <w:r>
        <w:t>70</w:t>
      </w:r>
      <w:r>
        <w:fldChar w:fldCharType="end"/>
      </w:r>
      <w:r>
        <w:fldChar w:fldCharType="end"/>
      </w:r>
    </w:p>
    <w:p w14:paraId="52A334DA">
      <w:pPr>
        <w:pStyle w:val="20"/>
        <w:tabs>
          <w:tab w:val="right" w:leader="dot" w:pos="9348"/>
        </w:tabs>
        <w:ind w:left="960"/>
      </w:pPr>
      <w:r>
        <w:fldChar w:fldCharType="begin"/>
      </w:r>
      <w:r>
        <w:instrText xml:space="preserve"> HYPERLINK \l "_Toc10369" </w:instrText>
      </w:r>
      <w:r>
        <w:fldChar w:fldCharType="separate"/>
      </w:r>
      <w:r>
        <w:rPr>
          <w:rFonts w:hint="eastAsia"/>
          <w:szCs w:val="24"/>
          <w:lang w:val="zh-TW" w:eastAsia="zh-TW"/>
        </w:rPr>
        <w:t xml:space="preserve">13.1.3 </w:t>
      </w:r>
      <w:r>
        <w:rPr>
          <w:szCs w:val="24"/>
          <w:lang w:val="zh-TW" w:eastAsia="zh-TW"/>
        </w:rPr>
        <w:t>妊娠试验</w:t>
      </w:r>
      <w:r>
        <w:tab/>
      </w:r>
      <w:r>
        <w:fldChar w:fldCharType="begin"/>
      </w:r>
      <w:r>
        <w:instrText xml:space="preserve"> PAGEREF _Toc10369 \h </w:instrText>
      </w:r>
      <w:r>
        <w:fldChar w:fldCharType="separate"/>
      </w:r>
      <w:r>
        <w:t>70</w:t>
      </w:r>
      <w:r>
        <w:fldChar w:fldCharType="end"/>
      </w:r>
      <w:r>
        <w:fldChar w:fldCharType="end"/>
      </w:r>
    </w:p>
    <w:p w14:paraId="7A4CE7C2">
      <w:pPr>
        <w:pStyle w:val="33"/>
        <w:tabs>
          <w:tab w:val="right" w:leader="dot" w:pos="9348"/>
        </w:tabs>
        <w:ind w:left="480"/>
      </w:pPr>
      <w:r>
        <w:fldChar w:fldCharType="begin"/>
      </w:r>
      <w:r>
        <w:instrText xml:space="preserve"> HYPERLINK \l "_Toc2104" </w:instrText>
      </w:r>
      <w:r>
        <w:fldChar w:fldCharType="separate"/>
      </w:r>
      <w:r>
        <w:rPr>
          <w:rFonts w:hint="eastAsia"/>
          <w:szCs w:val="24"/>
          <w:lang w:val="zh-TW" w:eastAsia="zh-TW"/>
        </w:rPr>
        <w:t xml:space="preserve">13.2 </w:t>
      </w:r>
      <w:r>
        <w:rPr>
          <w:szCs w:val="24"/>
          <w:lang w:val="zh-TW" w:eastAsia="zh-TW"/>
        </w:rPr>
        <w:t>临床实验室检查</w:t>
      </w:r>
      <w:r>
        <w:tab/>
      </w:r>
      <w:r>
        <w:fldChar w:fldCharType="begin"/>
      </w:r>
      <w:r>
        <w:instrText xml:space="preserve"> PAGEREF _Toc2104 \h </w:instrText>
      </w:r>
      <w:r>
        <w:fldChar w:fldCharType="separate"/>
      </w:r>
      <w:r>
        <w:t>71</w:t>
      </w:r>
      <w:r>
        <w:fldChar w:fldCharType="end"/>
      </w:r>
      <w:r>
        <w:fldChar w:fldCharType="end"/>
      </w:r>
    </w:p>
    <w:p w14:paraId="1ADFDF3A">
      <w:pPr>
        <w:pStyle w:val="33"/>
        <w:tabs>
          <w:tab w:val="right" w:leader="dot" w:pos="9348"/>
        </w:tabs>
        <w:ind w:left="480"/>
      </w:pPr>
      <w:r>
        <w:fldChar w:fldCharType="begin"/>
      </w:r>
      <w:r>
        <w:instrText xml:space="preserve"> HYPERLINK \l "_Toc28176" </w:instrText>
      </w:r>
      <w:r>
        <w:fldChar w:fldCharType="separate"/>
      </w:r>
      <w:r>
        <w:rPr>
          <w:rFonts w:hint="eastAsia"/>
          <w:szCs w:val="24"/>
          <w:lang w:val="zh-TW" w:eastAsia="zh-TW"/>
        </w:rPr>
        <w:t xml:space="preserve">13.3 </w:t>
      </w:r>
      <w:r>
        <w:rPr>
          <w:szCs w:val="24"/>
          <w:lang w:val="zh-TW" w:eastAsia="zh-TW"/>
        </w:rPr>
        <w:t>国家/地区特定差异</w:t>
      </w:r>
      <w:r>
        <w:tab/>
      </w:r>
      <w:r>
        <w:fldChar w:fldCharType="begin"/>
      </w:r>
      <w:r>
        <w:instrText xml:space="preserve"> PAGEREF _Toc28176 \h </w:instrText>
      </w:r>
      <w:r>
        <w:fldChar w:fldCharType="separate"/>
      </w:r>
      <w:r>
        <w:t>71</w:t>
      </w:r>
      <w:r>
        <w:fldChar w:fldCharType="end"/>
      </w:r>
      <w:r>
        <w:fldChar w:fldCharType="end"/>
      </w:r>
    </w:p>
    <w:p w14:paraId="7D673A55">
      <w:pPr>
        <w:pStyle w:val="28"/>
        <w:tabs>
          <w:tab w:val="right" w:leader="dot" w:pos="9348"/>
        </w:tabs>
      </w:pPr>
      <w:r>
        <w:fldChar w:fldCharType="begin"/>
      </w:r>
      <w:r>
        <w:instrText xml:space="preserve"> HYPERLINK \l "_Toc25663" </w:instrText>
      </w:r>
      <w:r>
        <w:fldChar w:fldCharType="separate"/>
      </w:r>
      <w:r>
        <w:rPr>
          <w:rFonts w:hint="eastAsia"/>
          <w:szCs w:val="24"/>
        </w:rPr>
        <w:t xml:space="preserve">14 </w:t>
      </w:r>
      <w:r>
        <w:rPr>
          <w:szCs w:val="24"/>
        </w:rPr>
        <w:t>附录3：术语表</w:t>
      </w:r>
      <w:r>
        <w:tab/>
      </w:r>
      <w:r>
        <w:fldChar w:fldCharType="begin"/>
      </w:r>
      <w:r>
        <w:instrText xml:space="preserve"> PAGEREF _Toc25663 \h </w:instrText>
      </w:r>
      <w:r>
        <w:fldChar w:fldCharType="separate"/>
      </w:r>
      <w:r>
        <w:t>72</w:t>
      </w:r>
      <w:r>
        <w:fldChar w:fldCharType="end"/>
      </w:r>
      <w:r>
        <w:fldChar w:fldCharType="end"/>
      </w:r>
    </w:p>
    <w:p w14:paraId="20370705">
      <w:pPr>
        <w:pStyle w:val="28"/>
        <w:tabs>
          <w:tab w:val="right" w:leader="dot" w:pos="9348"/>
        </w:tabs>
      </w:pPr>
      <w:r>
        <w:fldChar w:fldCharType="begin"/>
      </w:r>
      <w:r>
        <w:instrText xml:space="preserve"> HYPERLINK \l "_Toc9854" </w:instrText>
      </w:r>
      <w:r>
        <w:fldChar w:fldCharType="separate"/>
      </w:r>
      <w:r>
        <w:rPr>
          <w:rFonts w:hint="eastAsia"/>
          <w:szCs w:val="24"/>
        </w:rPr>
        <w:t xml:space="preserve">15 </w:t>
      </w:r>
      <w:r>
        <w:rPr>
          <w:szCs w:val="24"/>
        </w:rPr>
        <w:t>附录4：东部肿瘤协作组（ECOG）体力状态评分</w:t>
      </w:r>
      <w:r>
        <w:tab/>
      </w:r>
      <w:r>
        <w:fldChar w:fldCharType="begin"/>
      </w:r>
      <w:r>
        <w:instrText xml:space="preserve"> PAGEREF _Toc9854 \h </w:instrText>
      </w:r>
      <w:r>
        <w:fldChar w:fldCharType="separate"/>
      </w:r>
      <w:r>
        <w:t>75</w:t>
      </w:r>
      <w:r>
        <w:fldChar w:fldCharType="end"/>
      </w:r>
      <w:r>
        <w:fldChar w:fldCharType="end"/>
      </w:r>
    </w:p>
    <w:p w14:paraId="0F28C62E">
      <w:pPr>
        <w:pStyle w:val="28"/>
        <w:tabs>
          <w:tab w:val="right" w:leader="dot" w:pos="9348"/>
        </w:tabs>
      </w:pPr>
      <w:r>
        <w:fldChar w:fldCharType="begin"/>
      </w:r>
      <w:r>
        <w:instrText xml:space="preserve"> HYPERLINK \l "_Toc23945" </w:instrText>
      </w:r>
      <w:r>
        <w:fldChar w:fldCharType="separate"/>
      </w:r>
      <w:r>
        <w:rPr>
          <w:rFonts w:hint="eastAsia"/>
          <w:szCs w:val="24"/>
        </w:rPr>
        <w:t xml:space="preserve">16 </w:t>
      </w:r>
      <w:r>
        <w:rPr>
          <w:szCs w:val="24"/>
        </w:rPr>
        <w:t>参考文献</w:t>
      </w:r>
      <w:r>
        <w:tab/>
      </w:r>
      <w:r>
        <w:fldChar w:fldCharType="begin"/>
      </w:r>
      <w:r>
        <w:instrText xml:space="preserve"> PAGEREF _Toc23945 \h </w:instrText>
      </w:r>
      <w:r>
        <w:fldChar w:fldCharType="separate"/>
      </w:r>
      <w:r>
        <w:t>76</w:t>
      </w:r>
      <w:r>
        <w:fldChar w:fldCharType="end"/>
      </w:r>
      <w:r>
        <w:fldChar w:fldCharType="end"/>
      </w:r>
    </w:p>
    <w:p w14:paraId="7633C134">
      <w:pPr>
        <w:pStyle w:val="3"/>
        <w:keepNext/>
        <w:keepLines/>
        <w:pageBreakBefore/>
        <w:adjustRightInd w:val="0"/>
        <w:spacing w:line="360" w:lineRule="auto"/>
        <w:jc w:val="center"/>
        <w:outlineLvl w:val="0"/>
        <w:rPr>
          <w:rFonts w:ascii="Times New Roman" w:hAnsi="Times New Roman" w:cs="Times New Roman"/>
          <w:b/>
          <w:bCs/>
          <w:color w:val="auto"/>
          <w:sz w:val="24"/>
          <w:szCs w:val="24"/>
        </w:rPr>
      </w:pPr>
      <w:r>
        <w:rPr>
          <w:rFonts w:ascii="Times New Roman" w:hAnsi="Times New Roman" w:cs="Times New Roman"/>
          <w:caps/>
          <w:color w:val="auto"/>
          <w:sz w:val="24"/>
          <w:szCs w:val="24"/>
        </w:rPr>
        <w:fldChar w:fldCharType="end"/>
      </w:r>
      <w:bookmarkStart w:id="7" w:name="_Toc183522958"/>
      <w:bookmarkStart w:id="8" w:name="_Toc11880"/>
      <w:bookmarkStart w:id="9" w:name="_Toc32539"/>
      <w:bookmarkStart w:id="10" w:name="_Toc28672"/>
      <w:r>
        <w:rPr>
          <w:rFonts w:ascii="Times New Roman" w:hAnsi="Times New Roman" w:cs="Times New Roman"/>
          <w:b/>
          <w:bCs/>
          <w:caps/>
          <w:color w:val="auto"/>
          <w:sz w:val="24"/>
          <w:szCs w:val="24"/>
        </w:rPr>
        <w:t>表目录</w:t>
      </w:r>
      <w:bookmarkEnd w:id="7"/>
      <w:bookmarkEnd w:id="8"/>
      <w:bookmarkEnd w:id="9"/>
      <w:bookmarkEnd w:id="10"/>
    </w:p>
    <w:p w14:paraId="3A87CF24">
      <w:pPr>
        <w:pStyle w:val="32"/>
        <w:tabs>
          <w:tab w:val="right" w:leader="dot" w:pos="9338"/>
        </w:tabs>
        <w:ind w:left="480" w:hanging="480"/>
        <w:rPr>
          <w:rFonts w:asciiTheme="minorHAnsi" w:hAnsiTheme="minorHAnsi" w:eastAsiaTheme="minorEastAsia" w:cstheme="minorBidi"/>
          <w:sz w:val="21"/>
          <w:szCs w:val="22"/>
          <w14:ligatures w14:val="standardContextual"/>
        </w:rPr>
      </w:pPr>
      <w:r>
        <w:rPr>
          <w:bCs/>
          <w:kern w:val="0"/>
          <w:szCs w:val="24"/>
          <w:lang w:eastAsia="en-US"/>
        </w:rPr>
        <w:fldChar w:fldCharType="begin"/>
      </w:r>
      <w:r>
        <w:rPr>
          <w:bCs/>
        </w:rPr>
        <w:instrText xml:space="preserve"> TOC \h \z \c "表" </w:instrText>
      </w:r>
      <w:r>
        <w:rPr>
          <w:bCs/>
          <w:kern w:val="0"/>
          <w:szCs w:val="24"/>
          <w:lang w:eastAsia="en-US"/>
        </w:rPr>
        <w:fldChar w:fldCharType="separate"/>
      </w:r>
      <w:r>
        <w:fldChar w:fldCharType="begin"/>
      </w:r>
      <w:r>
        <w:instrText xml:space="preserve"> HYPERLINK \l "_Toc183523084" </w:instrText>
      </w:r>
      <w:r>
        <w:fldChar w:fldCharType="separate"/>
      </w:r>
      <w:r>
        <w:rPr>
          <w:rStyle w:val="49"/>
          <w:rFonts w:hint="eastAsia"/>
        </w:rPr>
        <w:t>表 1：基于患者水平的PET/CT的诊断</w:t>
      </w:r>
      <w:r>
        <w:rPr>
          <w:rFonts w:hint="eastAsia"/>
        </w:rPr>
        <w:tab/>
      </w:r>
      <w:r>
        <w:rPr>
          <w:rFonts w:hint="eastAsia"/>
        </w:rPr>
        <w:fldChar w:fldCharType="begin"/>
      </w:r>
      <w:r>
        <w:rPr>
          <w:rFonts w:hint="eastAsia"/>
        </w:rPr>
        <w:instrText xml:space="preserve"> </w:instrText>
      </w:r>
      <w:r>
        <w:instrText xml:space="preserve">PAGEREF _Toc183523084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7227D9C">
      <w:pPr>
        <w:pStyle w:val="32"/>
        <w:tabs>
          <w:tab w:val="right" w:leader="dot" w:pos="9338"/>
        </w:tabs>
        <w:ind w:left="480" w:hanging="480"/>
        <w:rPr>
          <w:rFonts w:asciiTheme="minorHAnsi" w:hAnsiTheme="minorHAnsi" w:eastAsiaTheme="minorEastAsia" w:cstheme="minorBidi"/>
          <w:sz w:val="21"/>
          <w:szCs w:val="22"/>
          <w14:ligatures w14:val="standardContextual"/>
        </w:rPr>
      </w:pPr>
      <w:r>
        <w:fldChar w:fldCharType="begin"/>
      </w:r>
      <w:r>
        <w:instrText xml:space="preserve"> HYPERLINK \l "_Toc183523085" </w:instrText>
      </w:r>
      <w:r>
        <w:fldChar w:fldCharType="separate"/>
      </w:r>
      <w:r>
        <w:rPr>
          <w:rStyle w:val="49"/>
          <w:rFonts w:hint="eastAsia"/>
        </w:rPr>
        <w:t>表 2：INR101注射液PET/CT 阳性率与基线PSA水平和</w:t>
      </w:r>
      <w:r>
        <w:rPr>
          <w:rStyle w:val="49"/>
          <w:rFonts w:hint="eastAsia"/>
          <w:lang w:bidi="ar"/>
        </w:rPr>
        <w:t>Gleason 评分的相关性分析</w:t>
      </w:r>
      <w:r>
        <w:rPr>
          <w:rFonts w:hint="eastAsia"/>
        </w:rPr>
        <w:tab/>
      </w:r>
      <w:r>
        <w:rPr>
          <w:rFonts w:hint="eastAsia"/>
        </w:rPr>
        <w:fldChar w:fldCharType="begin"/>
      </w:r>
      <w:r>
        <w:rPr>
          <w:rFonts w:hint="eastAsia"/>
        </w:rPr>
        <w:instrText xml:space="preserve"> </w:instrText>
      </w:r>
      <w:r>
        <w:instrText xml:space="preserve">PAGEREF _Toc183523085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513981DE">
      <w:pPr>
        <w:pStyle w:val="32"/>
        <w:tabs>
          <w:tab w:val="right" w:leader="dot" w:pos="9338"/>
        </w:tabs>
        <w:ind w:left="480" w:hanging="480"/>
        <w:rPr>
          <w:rFonts w:asciiTheme="minorHAnsi" w:hAnsiTheme="minorHAnsi" w:eastAsiaTheme="minorEastAsia" w:cstheme="minorBidi"/>
          <w:sz w:val="21"/>
          <w:szCs w:val="22"/>
          <w14:ligatures w14:val="standardContextual"/>
        </w:rPr>
      </w:pPr>
      <w:r>
        <w:fldChar w:fldCharType="begin"/>
      </w:r>
      <w:r>
        <w:instrText xml:space="preserve"> HYPERLINK \l "_Toc183523086" </w:instrText>
      </w:r>
      <w:r>
        <w:fldChar w:fldCharType="separate"/>
      </w:r>
      <w:r>
        <w:rPr>
          <w:rStyle w:val="49"/>
          <w:rFonts w:hint="eastAsia"/>
        </w:rPr>
        <w:t>表 3：不良事件严重程度</w:t>
      </w:r>
      <w:r>
        <w:rPr>
          <w:rFonts w:hint="eastAsia"/>
        </w:rPr>
        <w:tab/>
      </w:r>
      <w:r>
        <w:rPr>
          <w:rFonts w:hint="eastAsia"/>
        </w:rPr>
        <w:fldChar w:fldCharType="begin"/>
      </w:r>
      <w:r>
        <w:rPr>
          <w:rFonts w:hint="eastAsia"/>
        </w:rPr>
        <w:instrText xml:space="preserve"> </w:instrText>
      </w:r>
      <w:r>
        <w:instrText xml:space="preserve">PAGEREF _Toc183523086 \h</w:instrText>
      </w:r>
      <w:r>
        <w:rPr>
          <w:rFonts w:hint="eastAsia"/>
        </w:rPr>
        <w:instrText xml:space="preserve"> </w:instrText>
      </w:r>
      <w:r>
        <w:rPr>
          <w:rFonts w:hint="eastAsia"/>
        </w:rPr>
        <w:fldChar w:fldCharType="separate"/>
      </w:r>
      <w:r>
        <w:t>68</w:t>
      </w:r>
      <w:r>
        <w:rPr>
          <w:rFonts w:hint="eastAsia"/>
        </w:rPr>
        <w:fldChar w:fldCharType="end"/>
      </w:r>
      <w:r>
        <w:rPr>
          <w:rFonts w:hint="eastAsia"/>
        </w:rPr>
        <w:fldChar w:fldCharType="end"/>
      </w:r>
    </w:p>
    <w:p w14:paraId="26380455">
      <w:pPr>
        <w:pStyle w:val="32"/>
        <w:tabs>
          <w:tab w:val="right" w:leader="dot" w:pos="9338"/>
        </w:tabs>
        <w:ind w:left="480" w:hanging="480"/>
        <w:rPr>
          <w:rFonts w:asciiTheme="minorHAnsi" w:hAnsiTheme="minorHAnsi" w:eastAsiaTheme="minorEastAsia" w:cstheme="minorBidi"/>
          <w:sz w:val="21"/>
          <w:szCs w:val="22"/>
          <w14:ligatures w14:val="standardContextual"/>
        </w:rPr>
      </w:pPr>
      <w:r>
        <w:fldChar w:fldCharType="begin"/>
      </w:r>
      <w:r>
        <w:instrText xml:space="preserve"> HYPERLINK \l "_Toc183523087" </w:instrText>
      </w:r>
      <w:r>
        <w:fldChar w:fldCharType="separate"/>
      </w:r>
      <w:r>
        <w:rPr>
          <w:rStyle w:val="49"/>
          <w:rFonts w:hint="eastAsia"/>
        </w:rPr>
        <w:t>表 4：药物临床试验不良事件相关性判定简表</w:t>
      </w:r>
      <w:r>
        <w:rPr>
          <w:rFonts w:hint="eastAsia"/>
        </w:rPr>
        <w:tab/>
      </w:r>
      <w:r>
        <w:rPr>
          <w:rFonts w:hint="eastAsia"/>
        </w:rPr>
        <w:fldChar w:fldCharType="begin"/>
      </w:r>
      <w:r>
        <w:rPr>
          <w:rFonts w:hint="eastAsia"/>
        </w:rPr>
        <w:instrText xml:space="preserve"> </w:instrText>
      </w:r>
      <w:r>
        <w:instrText xml:space="preserve">PAGEREF _Toc183523087 \h</w:instrText>
      </w:r>
      <w:r>
        <w:rPr>
          <w:rFonts w:hint="eastAsia"/>
        </w:rPr>
        <w:instrText xml:space="preserve"> </w:instrText>
      </w:r>
      <w:r>
        <w:rPr>
          <w:rFonts w:hint="eastAsia"/>
        </w:rPr>
        <w:fldChar w:fldCharType="separate"/>
      </w:r>
      <w:r>
        <w:t>69</w:t>
      </w:r>
      <w:r>
        <w:rPr>
          <w:rFonts w:hint="eastAsia"/>
        </w:rPr>
        <w:fldChar w:fldCharType="end"/>
      </w:r>
      <w:r>
        <w:rPr>
          <w:rFonts w:hint="eastAsia"/>
        </w:rPr>
        <w:fldChar w:fldCharType="end"/>
      </w:r>
    </w:p>
    <w:p w14:paraId="4E0AECD2">
      <w:pPr>
        <w:pStyle w:val="3"/>
        <w:keepNext/>
        <w:keepLines/>
        <w:pageBreakBefore/>
        <w:adjustRightInd w:val="0"/>
        <w:jc w:val="center"/>
        <w:outlineLvl w:val="0"/>
        <w:rPr>
          <w:rFonts w:ascii="Times New Roman" w:hAnsi="Times New Roman" w:cs="Times New Roman"/>
          <w:b/>
          <w:bCs/>
          <w:caps/>
          <w:color w:val="auto"/>
          <w:sz w:val="24"/>
          <w:szCs w:val="24"/>
        </w:rPr>
      </w:pPr>
      <w:bookmarkStart w:id="11" w:name="_Toc20041"/>
      <w:bookmarkStart w:id="12" w:name="_Toc5203"/>
      <w:bookmarkStart w:id="13" w:name="_Toc14248"/>
      <w:r>
        <w:rPr>
          <w:rFonts w:ascii="Times New Roman" w:hAnsi="Times New Roman" w:cs="Times New Roman"/>
          <w:bCs/>
        </w:rPr>
        <w:fldChar w:fldCharType="end"/>
      </w:r>
      <w:bookmarkStart w:id="14" w:name="_Toc183522959"/>
      <w:r>
        <w:rPr>
          <w:rFonts w:ascii="Times New Roman" w:hAnsi="Times New Roman" w:cs="Times New Roman"/>
          <w:b/>
          <w:bCs/>
          <w:caps/>
          <w:color w:val="auto"/>
          <w:sz w:val="24"/>
          <w:szCs w:val="24"/>
        </w:rPr>
        <w:t>图目录</w:t>
      </w:r>
      <w:bookmarkEnd w:id="11"/>
      <w:bookmarkEnd w:id="12"/>
      <w:bookmarkEnd w:id="13"/>
      <w:bookmarkEnd w:id="14"/>
    </w:p>
    <w:p w14:paraId="142C1A1F">
      <w:pPr>
        <w:pStyle w:val="32"/>
        <w:tabs>
          <w:tab w:val="right" w:leader="dot" w:pos="9338"/>
        </w:tabs>
        <w:ind w:left="480" w:hanging="480"/>
        <w:rPr>
          <w:sz w:val="21"/>
          <w:szCs w:val="22"/>
          <w14:ligatures w14:val="standardContextual"/>
        </w:rPr>
      </w:pPr>
      <w:r>
        <w:rPr>
          <w:bCs/>
        </w:rPr>
        <w:fldChar w:fldCharType="begin"/>
      </w:r>
      <w:r>
        <w:rPr>
          <w:bCs/>
        </w:rPr>
        <w:instrText xml:space="preserve"> TOC \h \z \c "图" </w:instrText>
      </w:r>
      <w:r>
        <w:rPr>
          <w:bCs/>
        </w:rPr>
        <w:fldChar w:fldCharType="separate"/>
      </w:r>
      <w:r>
        <w:fldChar w:fldCharType="begin"/>
      </w:r>
      <w:r>
        <w:instrText xml:space="preserve"> HYPERLINK \l "_Toc180585126" </w:instrText>
      </w:r>
      <w:r>
        <w:fldChar w:fldCharType="separate"/>
      </w:r>
      <w:r>
        <w:rPr>
          <w:rStyle w:val="49"/>
        </w:rPr>
        <w:t>图 1：[</w:t>
      </w:r>
      <w:r>
        <w:rPr>
          <w:rStyle w:val="49"/>
          <w:vertAlign w:val="superscript"/>
        </w:rPr>
        <w:t>18</w:t>
      </w:r>
      <w:r>
        <w:rPr>
          <w:rStyle w:val="49"/>
        </w:rPr>
        <w:t>F]AlF-PSMA-137在各器官和肿瘤病灶中的SUV</w:t>
      </w:r>
      <w:r>
        <w:tab/>
      </w:r>
      <w:r>
        <w:fldChar w:fldCharType="begin"/>
      </w:r>
      <w:r>
        <w:instrText xml:space="preserve"> PAGEREF _Toc180585126 \h </w:instrText>
      </w:r>
      <w:r>
        <w:fldChar w:fldCharType="separate"/>
      </w:r>
      <w:r>
        <w:t>31</w:t>
      </w:r>
      <w:r>
        <w:fldChar w:fldCharType="end"/>
      </w:r>
      <w:r>
        <w:fldChar w:fldCharType="end"/>
      </w:r>
    </w:p>
    <w:p w14:paraId="7AF2C4F7">
      <w:pPr>
        <w:pStyle w:val="32"/>
        <w:tabs>
          <w:tab w:val="right" w:leader="dot" w:pos="9338"/>
        </w:tabs>
        <w:ind w:left="480" w:hanging="480"/>
        <w:rPr>
          <w:sz w:val="21"/>
          <w:szCs w:val="22"/>
          <w14:ligatures w14:val="standardContextual"/>
        </w:rPr>
      </w:pPr>
      <w:r>
        <w:fldChar w:fldCharType="begin"/>
      </w:r>
      <w:r>
        <w:instrText xml:space="preserve"> HYPERLINK \l "_Toc180585127" </w:instrText>
      </w:r>
      <w:r>
        <w:fldChar w:fldCharType="separate"/>
      </w:r>
      <w:r>
        <w:rPr>
          <w:rStyle w:val="49"/>
        </w:rPr>
        <w:t>图 2：两例患者给药后图像</w:t>
      </w:r>
      <w:r>
        <w:tab/>
      </w:r>
      <w:r>
        <w:fldChar w:fldCharType="begin"/>
      </w:r>
      <w:r>
        <w:instrText xml:space="preserve"> PAGEREF _Toc180585127 \h </w:instrText>
      </w:r>
      <w:r>
        <w:fldChar w:fldCharType="separate"/>
      </w:r>
      <w:r>
        <w:t>31</w:t>
      </w:r>
      <w:r>
        <w:fldChar w:fldCharType="end"/>
      </w:r>
      <w:r>
        <w:fldChar w:fldCharType="end"/>
      </w:r>
    </w:p>
    <w:p w14:paraId="4E7B304A">
      <w:pPr>
        <w:spacing w:line="360" w:lineRule="auto"/>
        <w:rPr>
          <w:bCs/>
        </w:rPr>
      </w:pPr>
      <w:r>
        <w:rPr>
          <w:bCs/>
        </w:rPr>
        <w:fldChar w:fldCharType="end"/>
      </w:r>
    </w:p>
    <w:p w14:paraId="66F86AC3">
      <w:pPr>
        <w:rPr>
          <w:caps/>
        </w:rPr>
      </w:pPr>
      <w:r>
        <w:rPr>
          <w:bCs/>
        </w:rPr>
        <w:br w:type="page"/>
      </w:r>
    </w:p>
    <w:p w14:paraId="6324998C">
      <w:pPr>
        <w:pStyle w:val="2"/>
        <w:numPr>
          <w:ilvl w:val="0"/>
          <w:numId w:val="5"/>
        </w:numPr>
        <w:ind w:left="0" w:firstLine="0"/>
        <w:rPr>
          <w:rFonts w:ascii="Times New Roman" w:hAnsi="Times New Roman"/>
          <w:color w:val="auto"/>
          <w:szCs w:val="24"/>
        </w:rPr>
      </w:pPr>
      <w:bookmarkStart w:id="15" w:name="_Toc183522960"/>
      <w:bookmarkStart w:id="16" w:name="_Toc9890"/>
      <w:bookmarkStart w:id="17" w:name="_Toc28278"/>
      <w:bookmarkStart w:id="18" w:name="_Toc4363"/>
      <w:bookmarkStart w:id="19" w:name="_Toc475469767"/>
      <w:bookmarkStart w:id="20" w:name="_Toc106375050"/>
      <w:bookmarkStart w:id="21" w:name="_Hlk133234414"/>
      <w:r>
        <w:rPr>
          <w:rFonts w:ascii="Times New Roman" w:hAnsi="Times New Roman"/>
          <w:color w:val="auto"/>
          <w:szCs w:val="24"/>
        </w:rPr>
        <w:t>方案总结</w:t>
      </w:r>
      <w:bookmarkEnd w:id="15"/>
      <w:bookmarkEnd w:id="16"/>
      <w:bookmarkEnd w:id="17"/>
      <w:bookmarkEnd w:id="18"/>
    </w:p>
    <w:p w14:paraId="0E23807B">
      <w:pPr>
        <w:pStyle w:val="4"/>
        <w:numPr>
          <w:ilvl w:val="1"/>
          <w:numId w:val="6"/>
        </w:numPr>
        <w:spacing w:before="0" w:after="0" w:line="360" w:lineRule="auto"/>
        <w:ind w:left="0" w:firstLine="0"/>
        <w:rPr>
          <w:rFonts w:ascii="Times New Roman" w:hAnsi="Times New Roman" w:eastAsia="宋体"/>
          <w:sz w:val="24"/>
          <w:szCs w:val="24"/>
          <w:lang w:val="zh-TW"/>
        </w:rPr>
      </w:pPr>
      <w:r>
        <w:rPr>
          <w:rFonts w:ascii="Times New Roman" w:hAnsi="Times New Roman" w:eastAsia="宋体"/>
          <w:sz w:val="24"/>
          <w:szCs w:val="24"/>
        </w:rPr>
        <w:t xml:space="preserve"> </w:t>
      </w:r>
      <w:bookmarkStart w:id="22" w:name="_Toc17192"/>
      <w:bookmarkStart w:id="23" w:name="_Toc24860"/>
      <w:bookmarkStart w:id="24" w:name="_Toc183522961"/>
      <w:bookmarkStart w:id="25" w:name="_Toc21869"/>
      <w:r>
        <w:rPr>
          <w:rFonts w:ascii="Times New Roman" w:hAnsi="Times New Roman" w:eastAsia="宋体"/>
          <w:sz w:val="24"/>
          <w:szCs w:val="24"/>
          <w:lang w:val="zh-TW"/>
        </w:rPr>
        <w:t>方案摘要</w:t>
      </w:r>
      <w:bookmarkEnd w:id="19"/>
      <w:bookmarkEnd w:id="20"/>
      <w:bookmarkEnd w:id="22"/>
      <w:bookmarkEnd w:id="23"/>
      <w:bookmarkEnd w:id="24"/>
      <w:bookmarkEnd w:id="25"/>
    </w:p>
    <w:tbl>
      <w:tblPr>
        <w:tblStyle w:val="42"/>
        <w:tblW w:w="500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57" w:type="dxa"/>
          <w:left w:w="108" w:type="dxa"/>
          <w:bottom w:w="57" w:type="dxa"/>
          <w:right w:w="108" w:type="dxa"/>
        </w:tblCellMar>
      </w:tblPr>
      <w:tblGrid>
        <w:gridCol w:w="1431"/>
        <w:gridCol w:w="8133"/>
      </w:tblGrid>
      <w:tr w14:paraId="349A61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0304A263">
            <w:pPr>
              <w:spacing w:line="360" w:lineRule="auto"/>
              <w:jc w:val="both"/>
            </w:pPr>
            <w:bookmarkStart w:id="26" w:name="_Hlk152848756"/>
            <w:r>
              <w:t>研究编号</w:t>
            </w:r>
          </w:p>
        </w:tc>
        <w:tc>
          <w:tcPr>
            <w:tcW w:w="4251" w:type="pct"/>
            <w:vAlign w:val="center"/>
          </w:tcPr>
          <w:p w14:paraId="63D6702D">
            <w:pPr>
              <w:spacing w:line="360" w:lineRule="auto"/>
              <w:jc w:val="both"/>
            </w:pPr>
            <w:r>
              <w:t>INR101-Ⅲ-01</w:t>
            </w:r>
          </w:p>
        </w:tc>
      </w:tr>
      <w:tr w14:paraId="483DF6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21A47604">
            <w:pPr>
              <w:spacing w:line="360" w:lineRule="auto"/>
              <w:jc w:val="both"/>
            </w:pPr>
            <w:r>
              <w:t>研究名称</w:t>
            </w:r>
          </w:p>
        </w:tc>
        <w:tc>
          <w:tcPr>
            <w:tcW w:w="4251" w:type="pct"/>
            <w:vAlign w:val="center"/>
          </w:tcPr>
          <w:p w14:paraId="3D502F93">
            <w:pPr>
              <w:spacing w:line="360" w:lineRule="auto"/>
            </w:pPr>
            <w:r>
              <w:t>评价</w:t>
            </w:r>
            <w:bookmarkStart w:id="27" w:name="_Hlk179620386"/>
            <w:r>
              <w:t>INR101注射液PET/CT</w:t>
            </w:r>
            <w:bookmarkEnd w:id="27"/>
            <w:r>
              <w:t>在</w:t>
            </w:r>
            <w:r>
              <w:rPr>
                <w:rFonts w:hint="eastAsia"/>
              </w:rPr>
              <w:t>用于</w:t>
            </w:r>
            <w:r>
              <w:t>前列腺癌根治治疗后疑似复发的受试者中诊断有效性和安全性的多中心、开放、前瞻性Ⅲ期临床试验</w:t>
            </w:r>
          </w:p>
        </w:tc>
      </w:tr>
      <w:tr w14:paraId="2FC145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0C179CF7">
            <w:pPr>
              <w:spacing w:line="360" w:lineRule="auto"/>
              <w:jc w:val="both"/>
            </w:pPr>
            <w:r>
              <w:t>申办者</w:t>
            </w:r>
          </w:p>
        </w:tc>
        <w:tc>
          <w:tcPr>
            <w:tcW w:w="4251" w:type="pct"/>
            <w:vAlign w:val="center"/>
          </w:tcPr>
          <w:p w14:paraId="00ED6ED3">
            <w:pPr>
              <w:spacing w:line="360" w:lineRule="auto"/>
              <w:jc w:val="both"/>
            </w:pPr>
            <w:r>
              <w:t>云核医药（天津）有限公司</w:t>
            </w:r>
          </w:p>
        </w:tc>
      </w:tr>
      <w:tr w14:paraId="6348424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24A2AF8B">
            <w:pPr>
              <w:spacing w:line="360" w:lineRule="auto"/>
              <w:jc w:val="both"/>
            </w:pPr>
            <w:r>
              <w:t>研究分期</w:t>
            </w:r>
          </w:p>
        </w:tc>
        <w:tc>
          <w:tcPr>
            <w:tcW w:w="4251" w:type="pct"/>
            <w:vAlign w:val="center"/>
          </w:tcPr>
          <w:p w14:paraId="10352E92">
            <w:pPr>
              <w:spacing w:line="360" w:lineRule="auto"/>
              <w:jc w:val="both"/>
            </w:pPr>
            <w:r>
              <w:t xml:space="preserve">Ⅲ期 </w:t>
            </w:r>
          </w:p>
        </w:tc>
      </w:tr>
      <w:tr w14:paraId="3276F1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6624B9C9">
            <w:pPr>
              <w:spacing w:line="360" w:lineRule="auto"/>
              <w:jc w:val="both"/>
            </w:pPr>
            <w:r>
              <w:t>研究人群</w:t>
            </w:r>
          </w:p>
        </w:tc>
        <w:tc>
          <w:tcPr>
            <w:tcW w:w="4251" w:type="pct"/>
          </w:tcPr>
          <w:p w14:paraId="29F83787">
            <w:pPr>
              <w:spacing w:line="360" w:lineRule="auto"/>
              <w:jc w:val="both"/>
              <w:rPr>
                <w:color w:val="000000"/>
                <w:lang w:bidi="zh-TW"/>
              </w:rPr>
            </w:pPr>
            <w:r>
              <w:t>既往接受过前列腺癌根治性治疗后PSA升高疑似复发的受试者</w:t>
            </w:r>
          </w:p>
        </w:tc>
      </w:tr>
      <w:tr w14:paraId="5EF1C9E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182B5682">
            <w:pPr>
              <w:spacing w:line="360" w:lineRule="auto"/>
              <w:jc w:val="both"/>
            </w:pPr>
            <w:r>
              <w:t>研究中心</w:t>
            </w:r>
          </w:p>
        </w:tc>
        <w:tc>
          <w:tcPr>
            <w:tcW w:w="4251" w:type="pct"/>
          </w:tcPr>
          <w:p w14:paraId="51A26B0E">
            <w:pPr>
              <w:spacing w:line="360" w:lineRule="auto"/>
              <w:jc w:val="both"/>
            </w:pPr>
            <w:r>
              <w:t>多中心</w:t>
            </w:r>
          </w:p>
        </w:tc>
      </w:tr>
      <w:tr w14:paraId="3D9D3BF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7CDBB09B">
            <w:pPr>
              <w:spacing w:line="360" w:lineRule="auto"/>
              <w:jc w:val="both"/>
            </w:pPr>
            <w:r>
              <w:t>研究目的</w:t>
            </w:r>
          </w:p>
        </w:tc>
        <w:tc>
          <w:tcPr>
            <w:tcW w:w="4251" w:type="pct"/>
          </w:tcPr>
          <w:p w14:paraId="131316A8">
            <w:pPr>
              <w:numPr>
                <w:ilvl w:val="255"/>
                <w:numId w:val="0"/>
              </w:numPr>
              <w:spacing w:line="360" w:lineRule="auto"/>
              <w:jc w:val="both"/>
              <w:rPr>
                <w:b/>
                <w:bCs/>
              </w:rPr>
            </w:pPr>
            <w:r>
              <w:rPr>
                <w:b/>
                <w:bCs/>
              </w:rPr>
              <w:t>主要目的：</w:t>
            </w:r>
          </w:p>
          <w:p w14:paraId="5E58F7AE">
            <w:pPr>
              <w:numPr>
                <w:ilvl w:val="0"/>
                <w:numId w:val="7"/>
              </w:numPr>
              <w:spacing w:line="360" w:lineRule="auto"/>
              <w:ind w:left="0" w:firstLine="0"/>
              <w:jc w:val="both"/>
            </w:pPr>
            <w:r>
              <w:t>以复合诊断标准为真实性标准，评价</w:t>
            </w:r>
            <w:r>
              <w:rPr>
                <w:szCs w:val="22"/>
              </w:rPr>
              <w:t>INR101注射液PET/CT在前列腺癌根治治疗后疑似复发受试者中的</w:t>
            </w:r>
            <w:r>
              <w:t>诊断有效性。</w:t>
            </w:r>
          </w:p>
          <w:p w14:paraId="1622C773">
            <w:pPr>
              <w:numPr>
                <w:ilvl w:val="255"/>
                <w:numId w:val="0"/>
              </w:numPr>
              <w:spacing w:line="360" w:lineRule="auto"/>
              <w:jc w:val="both"/>
              <w:rPr>
                <w:szCs w:val="22"/>
              </w:rPr>
            </w:pPr>
            <w:r>
              <w:rPr>
                <w:b/>
                <w:bCs/>
              </w:rPr>
              <w:t>次要目的：</w:t>
            </w:r>
          </w:p>
          <w:p w14:paraId="4F4A3635">
            <w:pPr>
              <w:numPr>
                <w:ilvl w:val="0"/>
                <w:numId w:val="7"/>
              </w:numPr>
              <w:spacing w:line="360" w:lineRule="auto"/>
              <w:ind w:left="0" w:firstLine="0"/>
              <w:jc w:val="both"/>
            </w:pPr>
            <w:bookmarkStart w:id="28" w:name="_Hlk176179325"/>
            <w:r>
              <w:t>评价</w:t>
            </w:r>
            <w:r>
              <w:rPr>
                <w:szCs w:val="22"/>
              </w:rPr>
              <w:t>INR101注射液PET/CT</w:t>
            </w:r>
            <w:r>
              <w:t>在前列腺癌根治治疗后疑似复发受试者中的</w:t>
            </w:r>
            <w:r>
              <w:rPr>
                <w:rFonts w:hint="eastAsia"/>
              </w:rPr>
              <w:t>其他诊断效能</w:t>
            </w:r>
            <w:r>
              <w:t>；</w:t>
            </w:r>
          </w:p>
          <w:p w14:paraId="6D0E6844">
            <w:pPr>
              <w:numPr>
                <w:ilvl w:val="0"/>
                <w:numId w:val="7"/>
              </w:numPr>
              <w:spacing w:line="360" w:lineRule="auto"/>
              <w:ind w:left="0" w:firstLine="0"/>
              <w:jc w:val="both"/>
            </w:pPr>
            <w:r>
              <w:t>评价独立阅片人对PET图像盲态阅片结果的稳定性；</w:t>
            </w:r>
          </w:p>
          <w:p w14:paraId="5CC2F0D0">
            <w:pPr>
              <w:numPr>
                <w:ilvl w:val="0"/>
                <w:numId w:val="7"/>
              </w:numPr>
              <w:spacing w:line="360" w:lineRule="auto"/>
              <w:ind w:left="0" w:firstLine="0"/>
              <w:jc w:val="both"/>
            </w:pPr>
            <w:r>
              <w:t>评价INR101注射液用于PET/CT成像在前列腺癌根治治疗后疑似复发受试者中的安全性和耐受性。</w:t>
            </w:r>
            <w:bookmarkEnd w:id="28"/>
          </w:p>
        </w:tc>
      </w:tr>
      <w:tr w14:paraId="27D114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541376B5">
            <w:pPr>
              <w:spacing w:line="360" w:lineRule="auto"/>
              <w:jc w:val="both"/>
            </w:pPr>
            <w:r>
              <w:t>研究终点</w:t>
            </w:r>
          </w:p>
        </w:tc>
        <w:tc>
          <w:tcPr>
            <w:tcW w:w="4251" w:type="pct"/>
          </w:tcPr>
          <w:p w14:paraId="09BDEC20">
            <w:pPr>
              <w:spacing w:line="360" w:lineRule="auto"/>
              <w:jc w:val="both"/>
              <w:rPr>
                <w:b/>
                <w:bCs/>
              </w:rPr>
            </w:pPr>
            <w:r>
              <w:rPr>
                <w:b/>
                <w:bCs/>
                <w:lang w:bidi="ar"/>
              </w:rPr>
              <w:t>主要研究终点：</w:t>
            </w:r>
          </w:p>
          <w:p w14:paraId="56185074">
            <w:pPr>
              <w:numPr>
                <w:ilvl w:val="0"/>
                <w:numId w:val="8"/>
              </w:numPr>
              <w:spacing w:line="360" w:lineRule="auto"/>
              <w:ind w:left="0" w:firstLine="0"/>
              <w:jc w:val="both"/>
              <w:rPr>
                <w:color w:val="000000"/>
              </w:rPr>
            </w:pPr>
            <w:r>
              <w:rPr>
                <w:color w:val="000000"/>
                <w:lang w:bidi="ar"/>
              </w:rPr>
              <w:t>以复合诊断标准为真实性标准，INR101</w:t>
            </w:r>
            <w:r>
              <w:rPr>
                <w:szCs w:val="22"/>
              </w:rPr>
              <w:t>注射液</w:t>
            </w:r>
            <w:r>
              <w:rPr>
                <w:color w:val="000000"/>
                <w:lang w:bidi="ar"/>
              </w:rPr>
              <w:t xml:space="preserve">PET/CT成像在受试者水平病灶检出的阳性预测值（PPV）。 </w:t>
            </w:r>
          </w:p>
          <w:p w14:paraId="7DD36141">
            <w:pPr>
              <w:spacing w:line="360" w:lineRule="auto"/>
              <w:jc w:val="both"/>
              <w:rPr>
                <w:b/>
                <w:bCs/>
                <w:lang w:bidi="ar"/>
              </w:rPr>
            </w:pPr>
            <w:r>
              <w:rPr>
                <w:b/>
                <w:bCs/>
                <w:lang w:bidi="ar"/>
              </w:rPr>
              <w:t>次要研究终点：</w:t>
            </w:r>
          </w:p>
          <w:p w14:paraId="4086DAEF">
            <w:pPr>
              <w:numPr>
                <w:ilvl w:val="0"/>
                <w:numId w:val="8"/>
              </w:numPr>
              <w:spacing w:line="360" w:lineRule="auto"/>
              <w:ind w:left="0" w:firstLine="0"/>
              <w:jc w:val="both"/>
              <w:rPr>
                <w:color w:val="000000"/>
              </w:rPr>
            </w:pPr>
            <w:r>
              <w:rPr>
                <w:rFonts w:hint="eastAsia"/>
                <w:color w:val="000000"/>
              </w:rPr>
              <w:t>其他诊断效能包括：</w:t>
            </w:r>
          </w:p>
          <w:p w14:paraId="31470921">
            <w:pPr>
              <w:numPr>
                <w:ilvl w:val="0"/>
                <w:numId w:val="9"/>
              </w:numPr>
              <w:spacing w:line="360" w:lineRule="auto"/>
              <w:jc w:val="both"/>
              <w:rPr>
                <w:color w:val="000000"/>
              </w:rPr>
            </w:pPr>
            <w:r>
              <w:rPr>
                <w:color w:val="000000"/>
                <w:lang w:bidi="ar"/>
              </w:rPr>
              <w:t>以复合诊断标准为真实性标准，INR101</w:t>
            </w:r>
            <w:r>
              <w:rPr>
                <w:szCs w:val="22"/>
              </w:rPr>
              <w:t>注射液</w:t>
            </w:r>
            <w:r>
              <w:rPr>
                <w:color w:val="000000"/>
                <w:lang w:bidi="ar"/>
              </w:rPr>
              <w:t>PET/CT成像在受试者水平的正确检出率（CDR）、正确定位率（CLR）；</w:t>
            </w:r>
          </w:p>
          <w:p w14:paraId="0D35FD0D">
            <w:pPr>
              <w:numPr>
                <w:ilvl w:val="0"/>
                <w:numId w:val="9"/>
              </w:numPr>
              <w:spacing w:line="360" w:lineRule="auto"/>
              <w:jc w:val="both"/>
              <w:rPr>
                <w:color w:val="000000"/>
              </w:rPr>
            </w:pPr>
            <w:r>
              <w:rPr>
                <w:color w:val="000000"/>
                <w:lang w:bidi="ar"/>
              </w:rPr>
              <w:t>以复合诊断标准为真实性标准，</w:t>
            </w:r>
            <w:bookmarkStart w:id="29" w:name="_Hlk176767852"/>
            <w:r>
              <w:rPr>
                <w:color w:val="000000"/>
                <w:lang w:bidi="ar"/>
              </w:rPr>
              <w:t>INR101</w:t>
            </w:r>
            <w:r>
              <w:rPr>
                <w:szCs w:val="22"/>
              </w:rPr>
              <w:t>注射液</w:t>
            </w:r>
            <w:r>
              <w:rPr>
                <w:color w:val="000000"/>
                <w:lang w:bidi="ar"/>
              </w:rPr>
              <w:t>PET/CT成像在</w:t>
            </w:r>
            <w:bookmarkEnd w:id="29"/>
            <w:r>
              <w:rPr>
                <w:color w:val="000000"/>
                <w:lang w:bidi="ar"/>
              </w:rPr>
              <w:t>区域水平（前列腺、</w:t>
            </w:r>
            <w:r>
              <w:rPr>
                <w:rFonts w:hint="eastAsia"/>
                <w:color w:val="000000"/>
                <w:lang w:bidi="ar"/>
              </w:rPr>
              <w:t>盆腔</w:t>
            </w:r>
            <w:r>
              <w:rPr>
                <w:color w:val="000000"/>
                <w:lang w:bidi="ar"/>
              </w:rPr>
              <w:t>淋巴结、</w:t>
            </w:r>
            <w:r>
              <w:rPr>
                <w:rFonts w:hint="eastAsia"/>
                <w:color w:val="000000"/>
                <w:lang w:bidi="ar"/>
              </w:rPr>
              <w:t>盆腔外淋巴结、</w:t>
            </w:r>
            <w:r>
              <w:rPr>
                <w:color w:val="000000"/>
                <w:lang w:bidi="ar"/>
              </w:rPr>
              <w:t>内脏/软组织、骨）的阳性预测值（PPV）；</w:t>
            </w:r>
          </w:p>
          <w:p w14:paraId="6B3988D4">
            <w:pPr>
              <w:numPr>
                <w:ilvl w:val="0"/>
                <w:numId w:val="9"/>
              </w:numPr>
              <w:spacing w:line="360" w:lineRule="auto"/>
              <w:jc w:val="both"/>
              <w:rPr>
                <w:color w:val="000000"/>
              </w:rPr>
            </w:pPr>
            <w:r>
              <w:rPr>
                <w:color w:val="000000"/>
                <w:lang w:bidi="ar"/>
              </w:rPr>
              <w:t>在基线常规影像阴性组，INR101</w:t>
            </w:r>
            <w:r>
              <w:rPr>
                <w:szCs w:val="22"/>
              </w:rPr>
              <w:t>注射液</w:t>
            </w:r>
            <w:r>
              <w:rPr>
                <w:color w:val="000000"/>
                <w:lang w:bidi="ar"/>
              </w:rPr>
              <w:t>PET/CT成像在受试者水平的病灶检出率（DR）、正确检出率（CDR）及阳性预测值（PPV）；</w:t>
            </w:r>
          </w:p>
          <w:p w14:paraId="19431432">
            <w:pPr>
              <w:numPr>
                <w:ilvl w:val="0"/>
                <w:numId w:val="9"/>
              </w:numPr>
              <w:spacing w:line="360" w:lineRule="auto"/>
              <w:jc w:val="both"/>
              <w:rPr>
                <w:color w:val="000000"/>
                <w:lang w:bidi="ar"/>
              </w:rPr>
            </w:pPr>
            <w:r>
              <w:rPr>
                <w:color w:val="000000"/>
                <w:lang w:bidi="ar"/>
              </w:rPr>
              <w:t>在不同基线 PSA 水平受试者中，INR101注射液PET/CT成像在受试者水平的阳性预测值（PPV）；</w:t>
            </w:r>
          </w:p>
          <w:p w14:paraId="3D6A7A49">
            <w:pPr>
              <w:numPr>
                <w:ilvl w:val="0"/>
                <w:numId w:val="8"/>
              </w:numPr>
              <w:spacing w:line="360" w:lineRule="auto"/>
              <w:ind w:left="0" w:firstLine="0"/>
              <w:jc w:val="both"/>
              <w:rPr>
                <w:color w:val="000000"/>
              </w:rPr>
            </w:pPr>
            <w:r>
              <w:rPr>
                <w:color w:val="000000"/>
                <w:lang w:bidi="ar"/>
              </w:rPr>
              <w:t>评估阅片人内和阅片人间对PET/CT图像</w:t>
            </w:r>
            <w:r>
              <w:rPr>
                <w:rFonts w:hint="eastAsia"/>
                <w:color w:val="000000"/>
                <w:lang w:bidi="ar"/>
              </w:rPr>
              <w:t>诊断</w:t>
            </w:r>
            <w:r>
              <w:rPr>
                <w:color w:val="000000"/>
                <w:lang w:bidi="ar"/>
              </w:rPr>
              <w:t>的一致性。</w:t>
            </w:r>
          </w:p>
          <w:p w14:paraId="38E21E3C">
            <w:pPr>
              <w:numPr>
                <w:ilvl w:val="255"/>
                <w:numId w:val="0"/>
              </w:numPr>
              <w:spacing w:line="360" w:lineRule="auto"/>
              <w:jc w:val="both"/>
              <w:rPr>
                <w:b/>
                <w:bCs/>
                <w:color w:val="000000"/>
              </w:rPr>
            </w:pPr>
            <w:r>
              <w:rPr>
                <w:b/>
                <w:bCs/>
                <w:color w:val="000000"/>
                <w:lang w:bidi="ar"/>
              </w:rPr>
              <w:t>安全性终点：</w:t>
            </w:r>
          </w:p>
          <w:p w14:paraId="55AEA3DC">
            <w:pPr>
              <w:spacing w:line="360" w:lineRule="auto"/>
              <w:jc w:val="both"/>
            </w:pPr>
            <w:r>
              <w:t>安全性和耐受性，包括不良事件（AE）/严重不良事件（SAE）、生命体征、体格检查、实验室检查、12导联心电图。</w:t>
            </w:r>
          </w:p>
        </w:tc>
      </w:tr>
      <w:tr w14:paraId="285553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1B077E78">
            <w:pPr>
              <w:spacing w:line="360" w:lineRule="auto"/>
              <w:jc w:val="both"/>
            </w:pPr>
            <w:r>
              <w:t>试验设计</w:t>
            </w:r>
          </w:p>
        </w:tc>
        <w:tc>
          <w:tcPr>
            <w:tcW w:w="4251" w:type="pct"/>
            <w:vAlign w:val="center"/>
          </w:tcPr>
          <w:p w14:paraId="098B8209">
            <w:pPr>
              <w:spacing w:line="360" w:lineRule="auto"/>
              <w:jc w:val="both"/>
            </w:pPr>
            <w:r>
              <w:t>本研究为前瞻性、多中心、开放性、单臂、非随机的Ⅲ期临床试验，旨在评价INR101注射液PET/CT成像在既往接受过</w:t>
            </w:r>
            <w:r>
              <w:rPr>
                <w:szCs w:val="22"/>
              </w:rPr>
              <w:t>前列腺癌根治性治疗后PSA升高疑似复发的受试者</w:t>
            </w:r>
            <w:r>
              <w:t>中的诊断有效性及安全性。</w:t>
            </w:r>
          </w:p>
          <w:p w14:paraId="48084ED6">
            <w:pPr>
              <w:spacing w:line="360" w:lineRule="auto"/>
              <w:jc w:val="both"/>
            </w:pPr>
            <w:r>
              <w:t>整个研究过程分为筛选期、检查期、安全性访视期和有效性随访期。所有受试者将在开始研究程序之前进行知情同意，并自愿签署知情同意书。</w:t>
            </w:r>
          </w:p>
          <w:p w14:paraId="01C55118">
            <w:pPr>
              <w:spacing w:line="360" w:lineRule="auto"/>
              <w:jc w:val="both"/>
            </w:pPr>
            <w:r>
              <w:t>筛选期（D-30~D-1）所有受试者筛选评估必须在PET成像前30天内完成，包括人口学资料、病史/治疗史、安全性评估等资料的收集，并进行 ECOG 评分、实验室检查、PSA以及常规影像检查（CT、MRI 、</w:t>
            </w:r>
            <w:r>
              <w:rPr>
                <w:rFonts w:hint="eastAsia"/>
              </w:rPr>
              <w:t>全身骨成像</w:t>
            </w:r>
            <w:r>
              <w:t>、</w:t>
            </w:r>
            <w:r>
              <w:rPr>
                <w:vertAlign w:val="superscript"/>
              </w:rPr>
              <w:t>18</w:t>
            </w:r>
            <w:r>
              <w:t>F-FDG PET/CT等）。符合所有入选标准且不符合任一排除标准的受试者方可入组，给予入组号。</w:t>
            </w:r>
          </w:p>
          <w:p w14:paraId="09C4C809">
            <w:pPr>
              <w:spacing w:line="360" w:lineRule="auto"/>
              <w:rPr>
                <w:szCs w:val="24"/>
              </w:rPr>
            </w:pPr>
            <w:r>
              <w:t>检查期（D1）所有符合入组条件的受试者均接受INR101注射液单次给药，给药剂量</w:t>
            </w:r>
            <w:r>
              <w:rPr>
                <w:rFonts w:hint="eastAsia"/>
                <w:szCs w:val="24"/>
              </w:rPr>
              <w:t>7mCi±15%</w:t>
            </w:r>
            <w:r>
              <w:t>，成像时间为给药后80~120 min，</w:t>
            </w:r>
            <w:r>
              <w:rPr>
                <w:rFonts w:hint="eastAsia"/>
              </w:rPr>
              <w:t>成像</w:t>
            </w:r>
            <w:r>
              <w:t>范围从大腿中部到头顶。</w:t>
            </w:r>
            <w:r>
              <w:rPr>
                <w:szCs w:val="24"/>
              </w:rPr>
              <w:t>给药前</w:t>
            </w:r>
            <w:r>
              <w:rPr>
                <w:rFonts w:hint="eastAsia"/>
                <w:szCs w:val="24"/>
              </w:rPr>
              <w:t>1h内及</w:t>
            </w:r>
            <w:r>
              <w:rPr>
                <w:szCs w:val="24"/>
              </w:rPr>
              <w:t>PET/CT</w:t>
            </w:r>
            <w:r>
              <w:rPr>
                <w:rFonts w:hint="eastAsia"/>
                <w:szCs w:val="24"/>
              </w:rPr>
              <w:t>成像</w:t>
            </w:r>
            <w:r>
              <w:rPr>
                <w:szCs w:val="24"/>
              </w:rPr>
              <w:t>完成后</w:t>
            </w:r>
            <w:r>
              <w:rPr>
                <w:rFonts w:hint="eastAsia"/>
                <w:szCs w:val="24"/>
              </w:rPr>
              <w:t>1h内</w:t>
            </w:r>
            <w:r>
              <w:rPr>
                <w:szCs w:val="24"/>
              </w:rPr>
              <w:t>进行生命体征检查。</w:t>
            </w:r>
          </w:p>
          <w:p w14:paraId="5D3AAB3B">
            <w:pPr>
              <w:spacing w:line="360" w:lineRule="auto"/>
            </w:pPr>
            <w:r>
              <w:rPr>
                <w:szCs w:val="24"/>
              </w:rPr>
              <w:t>安全性访视期</w:t>
            </w:r>
            <w:r>
              <w:t>（</w:t>
            </w:r>
            <w:r>
              <w:rPr>
                <w:szCs w:val="24"/>
              </w:rPr>
              <w:t>D2~7天</w:t>
            </w:r>
            <w:r>
              <w:t>）</w:t>
            </w:r>
            <w:r>
              <w:rPr>
                <w:szCs w:val="24"/>
              </w:rPr>
              <w:t>所有受试者进行一次安全性访视，评估生命体征、体格检查、实验室检查和12导联心电图。收集不良事件并进行必要的复查，同时记录合并用药。</w:t>
            </w:r>
          </w:p>
          <w:p w14:paraId="2EC7DC7A">
            <w:pPr>
              <w:spacing w:line="360" w:lineRule="auto"/>
              <w:jc w:val="both"/>
            </w:pPr>
            <w:r>
              <w:rPr>
                <w:szCs w:val="24"/>
              </w:rPr>
              <w:t>PET/CT检查结束后，检查结果阳性的受试者将</w:t>
            </w:r>
            <w:r>
              <w:t>依据复合诊断标准作为真实性标准（SoT，Standard of Truth），</w:t>
            </w:r>
            <w:r>
              <w:rPr>
                <w:rFonts w:hint="eastAsia"/>
                <w:lang w:val="en-US" w:eastAsia="zh-CN"/>
              </w:rPr>
              <w:t>对PET阳性的病灶/区域</w:t>
            </w:r>
            <w:r>
              <w:t>进行后续相应的检查和随访。复合诊断标准的判读：如果能够取得</w:t>
            </w:r>
            <w:r>
              <w:rPr>
                <w:rFonts w:hint="eastAsia"/>
              </w:rPr>
              <w:t>病理诊断</w:t>
            </w:r>
            <w:r>
              <w:t>，以</w:t>
            </w:r>
            <w:r>
              <w:rPr>
                <w:rFonts w:hint="eastAsia"/>
              </w:rPr>
              <w:t>病理诊断</w:t>
            </w:r>
            <w:r>
              <w:t>为真实标准；如果无法获取</w:t>
            </w:r>
            <w:r>
              <w:rPr>
                <w:rFonts w:hint="eastAsia"/>
              </w:rPr>
              <w:t>病理诊断</w:t>
            </w:r>
            <w:r>
              <w:t>，依据受试者的病史、PSA水平变化及常规影像学检查结果进行综合判读。作为真实标准，应至少满足以下条件之一：</w:t>
            </w:r>
          </w:p>
          <w:p w14:paraId="44620E02">
            <w:pPr>
              <w:numPr>
                <w:ilvl w:val="0"/>
                <w:numId w:val="10"/>
              </w:numPr>
              <w:spacing w:line="360" w:lineRule="auto"/>
              <w:jc w:val="both"/>
            </w:pPr>
            <w:r>
              <w:t>基线（INR101</w:t>
            </w:r>
            <w:r>
              <w:rPr>
                <w:szCs w:val="22"/>
              </w:rPr>
              <w:t>注射液</w:t>
            </w:r>
            <w:r>
              <w:t>PET/CT</w:t>
            </w:r>
            <w:r>
              <w:rPr>
                <w:rFonts w:hint="eastAsia"/>
              </w:rPr>
              <w:t>成像</w:t>
            </w:r>
            <w:r>
              <w:t>前30天内至</w:t>
            </w:r>
            <w:r>
              <w:rPr>
                <w:rFonts w:hint="eastAsia"/>
              </w:rPr>
              <w:t>成像</w:t>
            </w:r>
            <w:r>
              <w:t>后28天内）获得的常规影像学检查（包括：MRI、CT、</w:t>
            </w:r>
            <w:r>
              <w:rPr>
                <w:rFonts w:hint="eastAsia"/>
              </w:rPr>
              <w:t>全身骨成像</w:t>
            </w:r>
            <w:r>
              <w:t>、</w:t>
            </w:r>
            <w:r>
              <w:rPr>
                <w:vertAlign w:val="superscript"/>
              </w:rPr>
              <w:t>18</w:t>
            </w:r>
            <w:r>
              <w:t>F-FDG PET/CT</w:t>
            </w:r>
            <w:r>
              <w:rPr>
                <w:rFonts w:hint="eastAsia"/>
              </w:rPr>
              <w:t>成像</w:t>
            </w:r>
            <w:r>
              <w:t>等）可确认者，可将基线常规影像学检查结果作为SoT，无需再次进行确认成像或组织理学检查；</w:t>
            </w:r>
          </w:p>
          <w:p w14:paraId="00C04CD4">
            <w:pPr>
              <w:numPr>
                <w:ilvl w:val="0"/>
                <w:numId w:val="10"/>
              </w:numPr>
              <w:spacing w:line="360" w:lineRule="auto"/>
              <w:jc w:val="both"/>
            </w:pPr>
            <w:r>
              <w:t>如基线常规影像学检查无法确认，</w:t>
            </w:r>
            <w:r>
              <w:rPr>
                <w:rFonts w:hint="eastAsia"/>
              </w:rPr>
              <w:t>且在60天内未接受局部</w:t>
            </w:r>
            <w:r>
              <w:t>/</w:t>
            </w:r>
            <w:r>
              <w:rPr>
                <w:rFonts w:hint="eastAsia"/>
              </w:rPr>
              <w:t>系统治疗者，</w:t>
            </w:r>
            <w:r>
              <w:t>应在INR101</w:t>
            </w:r>
            <w:r>
              <w:rPr>
                <w:szCs w:val="22"/>
              </w:rPr>
              <w:t>注射液</w:t>
            </w:r>
            <w:r>
              <w:t>PET/CT</w:t>
            </w:r>
            <w:r>
              <w:rPr>
                <w:rFonts w:hint="eastAsia"/>
              </w:rPr>
              <w:t>成像</w:t>
            </w:r>
            <w:r>
              <w:t>后</w:t>
            </w:r>
            <w:r>
              <w:rPr>
                <w:rFonts w:hint="eastAsia"/>
              </w:rPr>
              <w:t>60</w:t>
            </w:r>
            <w:r>
              <w:t>天</w:t>
            </w:r>
            <w:r>
              <w:rPr>
                <w:rFonts w:hint="eastAsia"/>
              </w:rPr>
              <w:t>（</w:t>
            </w:r>
            <w:r>
              <w:rPr>
                <w:rFonts w:hint="eastAsia" w:eastAsia="微软雅黑"/>
              </w:rPr>
              <w:t>±</w:t>
            </w:r>
            <w:r>
              <w:t>7</w:t>
            </w:r>
            <w:r>
              <w:rPr>
                <w:rFonts w:hint="eastAsia"/>
              </w:rPr>
              <w:t>）对PET阳性病灶/区域</w:t>
            </w:r>
            <w:r>
              <w:t>进行确认成像；</w:t>
            </w:r>
            <w:r>
              <w:rPr>
                <w:rFonts w:hint="eastAsia"/>
              </w:rPr>
              <w:t>若在60天常规影像学未能确认PET阳性部位，且该受试者未接受任何治疗</w:t>
            </w:r>
            <w:r>
              <w:t>，则需在INR101</w:t>
            </w:r>
            <w:r>
              <w:rPr>
                <w:szCs w:val="22"/>
              </w:rPr>
              <w:t>注射液</w:t>
            </w:r>
            <w:r>
              <w:t>PET/CT</w:t>
            </w:r>
            <w:r>
              <w:rPr>
                <w:rFonts w:hint="eastAsia"/>
              </w:rPr>
              <w:t>成像</w:t>
            </w:r>
            <w:r>
              <w:t>后90天</w:t>
            </w:r>
            <w:r>
              <w:rPr>
                <w:rFonts w:hint="eastAsia"/>
              </w:rPr>
              <w:t>（</w:t>
            </w:r>
            <w:r>
              <w:rPr>
                <w:rFonts w:hint="eastAsia" w:eastAsia="微软雅黑"/>
              </w:rPr>
              <w:t>±</w:t>
            </w:r>
            <w:r>
              <w:t>7</w:t>
            </w:r>
            <w:r>
              <w:rPr>
                <w:rFonts w:hint="eastAsia"/>
              </w:rPr>
              <w:t>）</w:t>
            </w:r>
            <w:r>
              <w:rPr>
                <w:rFonts w:hint="eastAsia"/>
                <w:szCs w:val="22"/>
              </w:rPr>
              <w:t>或开始局部/系统治疗之前对PET阳性病灶/区域</w:t>
            </w:r>
            <w:r>
              <w:t>进行再次确认成像；</w:t>
            </w:r>
          </w:p>
          <w:p w14:paraId="6C501C48">
            <w:pPr>
              <w:numPr>
                <w:ilvl w:val="0"/>
                <w:numId w:val="10"/>
              </w:numPr>
              <w:spacing w:line="360" w:lineRule="auto"/>
              <w:jc w:val="both"/>
            </w:pPr>
            <w:r>
              <w:t>如果90</w:t>
            </w:r>
            <w:r>
              <w:rPr>
                <w:rFonts w:hint="eastAsia"/>
              </w:rPr>
              <w:t>天内接受了局部</w:t>
            </w:r>
            <w:r>
              <w:t>/</w:t>
            </w:r>
            <w:r>
              <w:rPr>
                <w:rFonts w:hint="eastAsia"/>
              </w:rPr>
              <w:t>系统治疗，或</w:t>
            </w:r>
            <w:r>
              <w:t>90天</w:t>
            </w:r>
            <w:r>
              <w:rPr>
                <w:rFonts w:hint="eastAsia"/>
              </w:rPr>
              <w:t>（</w:t>
            </w:r>
            <w:r>
              <w:rPr>
                <w:rFonts w:hint="eastAsia" w:eastAsia="微软雅黑"/>
              </w:rPr>
              <w:t>±</w:t>
            </w:r>
            <w:r>
              <w:t>7</w:t>
            </w:r>
            <w:r>
              <w:rPr>
                <w:rFonts w:hint="eastAsia"/>
              </w:rPr>
              <w:t>）</w:t>
            </w:r>
            <w:r>
              <w:t>再次成像无法确认</w:t>
            </w:r>
            <w:r>
              <w:rPr>
                <w:rFonts w:hint="eastAsia"/>
              </w:rPr>
              <w:t>病灶状态</w:t>
            </w:r>
            <w:r>
              <w:t>，则可根据治疗后血PSA反应变化来确认（血PSA水平较基线下降≥50%，并</w:t>
            </w:r>
            <w:r>
              <w:rPr>
                <w:rFonts w:hint="eastAsia"/>
              </w:rPr>
              <w:t xml:space="preserve"> </w:t>
            </w:r>
            <w:r>
              <w:t>在</w:t>
            </w:r>
            <w:r>
              <w:rPr>
                <w:rFonts w:hint="eastAsia"/>
              </w:rPr>
              <w:t>3～4周</w:t>
            </w:r>
            <w:r>
              <w:t>内重复测量确认）。PSA每3个月采集一次，最长12个月，直至确认PSA缓解。</w:t>
            </w:r>
          </w:p>
          <w:p w14:paraId="5859E9FF">
            <w:pPr>
              <w:spacing w:line="360" w:lineRule="auto"/>
              <w:jc w:val="both"/>
            </w:pPr>
            <w:r>
              <w:rPr>
                <w:rFonts w:hint="eastAsia"/>
              </w:rPr>
              <w:t>经常规影像或病理诊断确认的</w:t>
            </w:r>
            <w:r>
              <w:t>受试者若存在多个PET阳性区域，需要对每个区域至少一个PET阳性病灶进行SoT确认。如果在给药前30天内尚未完成常规影像学检查，将根据研究中心的标准诊疗流程在INR101</w:t>
            </w:r>
            <w:r>
              <w:rPr>
                <w:szCs w:val="22"/>
              </w:rPr>
              <w:t>注射液</w:t>
            </w:r>
            <w:r>
              <w:t>PET/CT</w:t>
            </w:r>
            <w:r>
              <w:rPr>
                <w:rFonts w:hint="eastAsia"/>
              </w:rPr>
              <w:t>成像</w:t>
            </w:r>
            <w:r>
              <w:t>后28天内在研究中心进行常规影像学检查（由研究者决定成像需要做的部位及影像模态）。</w:t>
            </w:r>
          </w:p>
          <w:p w14:paraId="0C72B9FA">
            <w:pPr>
              <w:spacing w:line="360" w:lineRule="auto"/>
              <w:jc w:val="both"/>
            </w:pPr>
            <w:r>
              <w:rPr>
                <w:rFonts w:hint="eastAsia"/>
              </w:rPr>
              <w:t>如果INR101注射液PET/CT成像90天内的确认性影像和随访期的PSA均无法提供SoT诊断信息，但后续（12月内）受试者接受了常规影像检查且经研究者判断可以提供SoT诊断信息，则可将后续的常规影像结果作为SoT。</w:t>
            </w:r>
          </w:p>
        </w:tc>
      </w:tr>
      <w:tr w14:paraId="6FB8EA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6C66ED1A">
            <w:pPr>
              <w:spacing w:line="360" w:lineRule="auto"/>
              <w:jc w:val="both"/>
            </w:pPr>
            <w:r>
              <w:t>独立影像评估</w:t>
            </w:r>
          </w:p>
        </w:tc>
        <w:tc>
          <w:tcPr>
            <w:tcW w:w="4251" w:type="pct"/>
            <w:vAlign w:val="center"/>
          </w:tcPr>
          <w:p w14:paraId="43A2E326">
            <w:pPr>
              <w:spacing w:line="360" w:lineRule="auto"/>
              <w:ind w:firstLine="480" w:firstLineChars="200"/>
              <w:jc w:val="both"/>
            </w:pPr>
            <w:r>
              <w:t>本研究采用盲态独立中心评估（BICR，Blinded Independent Central Review），各研究机构将在研究过程中或在</w:t>
            </w:r>
            <w:r>
              <w:rPr>
                <w:rFonts w:hint="eastAsia"/>
              </w:rPr>
              <w:t>申办者</w:t>
            </w:r>
            <w:r>
              <w:t>的协调下向独立影像评审委员会（IRC，Independent Review Committee）提交特定的PET/CT 图像资料及复合诊断标准判读所需的临床信息资料和影像资料。影像学图像文件中不应包含任何可能提示该受试者疾病诊断的临床资料信息。在试验启动前将制定影像操作手册，描述图像采集、重建参数和图像提交程序。</w:t>
            </w:r>
          </w:p>
          <w:p w14:paraId="750D326F">
            <w:pPr>
              <w:spacing w:line="360" w:lineRule="auto"/>
              <w:ind w:firstLine="480" w:firstLineChars="200"/>
              <w:jc w:val="both"/>
            </w:pPr>
            <w:r>
              <w:t>每位受试者的INR101</w:t>
            </w:r>
            <w:r>
              <w:rPr>
                <w:szCs w:val="22"/>
              </w:rPr>
              <w:t>注射液</w:t>
            </w:r>
            <w:r>
              <w:t>PET/CT</w:t>
            </w:r>
            <w:r>
              <w:rPr>
                <w:rFonts w:hint="eastAsia"/>
              </w:rPr>
              <w:t>成像</w:t>
            </w:r>
            <w:r>
              <w:t>图像将由2名阅片人分别对影像进行盲态独立阅片，当2名阅片人结论不一致时，增加第3名阅片人进行仲裁阅片（阅片过程中也处于盲态，并不得知晓前2名阅片人的结论）。</w:t>
            </w:r>
          </w:p>
          <w:p w14:paraId="5AF10770">
            <w:pPr>
              <w:spacing w:line="360" w:lineRule="auto"/>
              <w:ind w:firstLine="480" w:firstLineChars="200"/>
              <w:jc w:val="both"/>
            </w:pPr>
            <w:r>
              <w:t>每位受试者的复合诊断标准的判读由</w:t>
            </w:r>
            <w:r>
              <w:rPr>
                <w:rFonts w:hint="eastAsia"/>
              </w:rPr>
              <w:t>2</w:t>
            </w:r>
            <w:r>
              <w:t>名阅片人进行盲态独立阅片</w:t>
            </w:r>
            <w:r>
              <w:rPr>
                <w:rFonts w:hint="eastAsia"/>
              </w:rPr>
              <w:t>，当2名阅片人结论不一致时，增加第3名阅片人进行仲裁阅片</w:t>
            </w:r>
            <w:r>
              <w:t>。</w:t>
            </w:r>
          </w:p>
          <w:p w14:paraId="6BB73D56">
            <w:pPr>
              <w:spacing w:line="360" w:lineRule="auto"/>
              <w:ind w:firstLine="480" w:firstLineChars="200"/>
              <w:jc w:val="both"/>
            </w:pPr>
            <w:r>
              <w:t>独立影像评估开始前，将制定《独立阅片章程》对影像判读流程及方法加以描述。</w:t>
            </w:r>
          </w:p>
        </w:tc>
      </w:tr>
      <w:tr w14:paraId="3FA978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24063DE0">
            <w:pPr>
              <w:spacing w:line="360" w:lineRule="auto"/>
              <w:jc w:val="both"/>
            </w:pPr>
            <w:r>
              <w:rPr>
                <w:szCs w:val="24"/>
              </w:rPr>
              <w:t>估计目标框架</w:t>
            </w:r>
          </w:p>
        </w:tc>
        <w:tc>
          <w:tcPr>
            <w:tcW w:w="4251" w:type="pct"/>
          </w:tcPr>
          <w:p w14:paraId="1E8091F8">
            <w:pPr>
              <w:pStyle w:val="165"/>
              <w:ind w:firstLine="0" w:firstLineChars="0"/>
              <w:rPr>
                <w:rFonts w:cs="Times New Roman"/>
              </w:rPr>
            </w:pPr>
            <w:r>
              <w:rPr>
                <w:rFonts w:cs="Times New Roman"/>
              </w:rPr>
              <w:t>人群：既往接受过前列腺癌根治性治疗后PSA升高疑似复发的受试者；</w:t>
            </w:r>
          </w:p>
          <w:p w14:paraId="456C9788">
            <w:pPr>
              <w:pStyle w:val="165"/>
              <w:ind w:firstLine="0" w:firstLineChars="0"/>
              <w:rPr>
                <w:rFonts w:cs="Times New Roman"/>
              </w:rPr>
            </w:pPr>
            <w:r>
              <w:rPr>
                <w:rFonts w:cs="Times New Roman"/>
              </w:rPr>
              <w:t>干预：INR101注射液单次给药，剂量为</w:t>
            </w:r>
            <w:r>
              <w:rPr>
                <w:rFonts w:hint="eastAsia" w:cs="Times New Roman"/>
                <w:szCs w:val="24"/>
              </w:rPr>
              <w:t>7mCi±15%</w:t>
            </w:r>
            <w:r>
              <w:rPr>
                <w:rFonts w:cs="Times New Roman"/>
              </w:rPr>
              <w:t>；</w:t>
            </w:r>
          </w:p>
          <w:p w14:paraId="71FE1E56">
            <w:pPr>
              <w:pStyle w:val="165"/>
              <w:ind w:firstLine="0" w:firstLineChars="0"/>
              <w:rPr>
                <w:rFonts w:cs="Times New Roman"/>
              </w:rPr>
            </w:pPr>
            <w:r>
              <w:rPr>
                <w:rFonts w:cs="Times New Roman"/>
              </w:rPr>
              <w:t>终点：INR101注射液PET/CT成像对根治性治疗后疑似复发前列腺癌患者诊断的阳性预测值；</w:t>
            </w:r>
          </w:p>
          <w:p w14:paraId="3CDEB298">
            <w:pPr>
              <w:pStyle w:val="165"/>
              <w:ind w:firstLine="0" w:firstLineChars="0"/>
              <w:rPr>
                <w:rFonts w:cs="Times New Roman"/>
              </w:rPr>
            </w:pPr>
            <w:r>
              <w:rPr>
                <w:rFonts w:cs="Times New Roman"/>
              </w:rPr>
              <w:t>伴发事件及处理策略：（1）伴发事件</w:t>
            </w:r>
            <w:r>
              <w:rPr>
                <w:rFonts w:hint="eastAsia" w:cs="Times New Roman"/>
              </w:rPr>
              <w:t>1</w:t>
            </w:r>
            <w:r>
              <w:rPr>
                <w:rFonts w:cs="Times New Roman"/>
              </w:rPr>
              <w:t>为因任何原因导致未获得INR101注射液PET/CT影像结果或INR101注射液PET/CT在根治性治疗后前列腺癌患者中未发现可疑病灶（即INR101注射液PET/CT成像为阴性），针对此伴发事件采用主层策略，主要估计目标分析针对INR101注射液PET/CT影像结果为阳性的患者进行；（2）伴发事件</w:t>
            </w:r>
            <w:r>
              <w:rPr>
                <w:rFonts w:hint="eastAsia" w:cs="Times New Roman"/>
              </w:rPr>
              <w:t>2</w:t>
            </w:r>
            <w:r>
              <w:rPr>
                <w:rFonts w:cs="Times New Roman"/>
              </w:rPr>
              <w:t>为INR101注射液PET/CT影像结果为阳性但因任何原因导致最终未获得真实性标准的诊断结果，针对此伴发事件采用主层策略，主要估计目标分析时针对INR101注射液PET/CT影像阳性且同时获得了真实性标准的患者进行。</w:t>
            </w:r>
          </w:p>
          <w:p w14:paraId="467633AE">
            <w:pPr>
              <w:spacing w:line="360" w:lineRule="auto"/>
              <w:jc w:val="both"/>
              <w:rPr>
                <w:b/>
                <w:bCs/>
              </w:rPr>
            </w:pPr>
            <w:r>
              <w:t>群体层面汇总：INR101注射液PET/CT成像对根治性治疗后前列腺癌患者疑似复发的阳性预测准确性。</w:t>
            </w:r>
          </w:p>
        </w:tc>
      </w:tr>
      <w:tr w14:paraId="1CFC85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637F80C3">
            <w:pPr>
              <w:spacing w:line="360" w:lineRule="auto"/>
              <w:jc w:val="both"/>
            </w:pPr>
            <w:r>
              <w:t>样本量</w:t>
            </w:r>
          </w:p>
        </w:tc>
        <w:tc>
          <w:tcPr>
            <w:tcW w:w="4251" w:type="pct"/>
            <w:vAlign w:val="center"/>
          </w:tcPr>
          <w:p w14:paraId="2D7BABA2">
            <w:pPr>
              <w:spacing w:line="360" w:lineRule="auto"/>
              <w:jc w:val="both"/>
              <w:rPr>
                <w:b/>
                <w:bCs/>
              </w:rPr>
            </w:pPr>
            <w:r>
              <w:rPr>
                <w:b/>
                <w:bCs/>
              </w:rPr>
              <w:t>研究假设：</w:t>
            </w:r>
          </w:p>
          <w:p w14:paraId="7C7423D0">
            <w:pPr>
              <w:spacing w:line="360" w:lineRule="auto"/>
              <w:jc w:val="both"/>
            </w:pPr>
            <w:r>
              <w:t>本</w:t>
            </w:r>
            <w:r>
              <w:rPr>
                <w:bCs/>
              </w:rPr>
              <w:t>研究目的为证明</w:t>
            </w:r>
            <w:r>
              <w:rPr>
                <w:lang w:bidi="ar"/>
              </w:rPr>
              <w:t>INR101</w:t>
            </w:r>
            <w:r>
              <w:t>注射液PET/CT在前列腺癌患者根治性治疗后疑似复发患者受试者水平的诊断阳性预测值是否满足要求，其对应的研究假设为：</w:t>
            </w:r>
          </w:p>
          <w:p w14:paraId="0E8EEB16">
            <w:pPr>
              <w:adjustRightInd w:val="0"/>
              <w:jc w:val="both"/>
            </w:pPr>
            <w:r>
              <w:t>H</w:t>
            </w:r>
            <w:r>
              <w:rPr>
                <w:vertAlign w:val="subscript"/>
              </w:rPr>
              <w:t>0</w:t>
            </w:r>
            <w:r>
              <w:t>：PPV ≤</w:t>
            </w:r>
            <w:r>
              <w:rPr>
                <w:rFonts w:hint="eastAsia"/>
              </w:rPr>
              <w:t xml:space="preserve"> </w:t>
            </w:r>
            <w:r>
              <w:t>60%</w:t>
            </w:r>
          </w:p>
          <w:p w14:paraId="1BDD5CAC">
            <w:pPr>
              <w:adjustRightInd w:val="0"/>
              <w:jc w:val="both"/>
            </w:pPr>
            <w:r>
              <w:t>H</w:t>
            </w:r>
            <w:r>
              <w:rPr>
                <w:vertAlign w:val="subscript"/>
              </w:rPr>
              <w:t>1</w:t>
            </w:r>
            <w:r>
              <w:t>：PPV</w:t>
            </w:r>
            <w:r>
              <w:rPr>
                <w:rFonts w:hint="eastAsia"/>
              </w:rPr>
              <w:t xml:space="preserve"> &gt; </w:t>
            </w:r>
            <w:r>
              <w:t>60%</w:t>
            </w:r>
          </w:p>
          <w:p w14:paraId="1638F65F">
            <w:pPr>
              <w:spacing w:line="360" w:lineRule="auto"/>
              <w:jc w:val="both"/>
            </w:pPr>
            <w:r>
              <w:t>其中PPV为INR101注射液PET/CT对根治性治疗后疑似复发前列腺癌患者诊断的阳性预测值，60%为设定的对应目标值，若其95%CI下限大于60%，则认为受试者水平的诊断阳性预测值达到标准。</w:t>
            </w:r>
          </w:p>
          <w:p w14:paraId="225063B8">
            <w:pPr>
              <w:spacing w:line="360" w:lineRule="auto"/>
              <w:jc w:val="both"/>
              <w:rPr>
                <w:b/>
                <w:bCs/>
              </w:rPr>
            </w:pPr>
            <w:r>
              <w:rPr>
                <w:b/>
                <w:bCs/>
              </w:rPr>
              <w:t>样本量计算：</w:t>
            </w:r>
          </w:p>
          <w:p w14:paraId="010E4F15">
            <w:pPr>
              <w:widowControl w:val="0"/>
              <w:spacing w:line="360" w:lineRule="auto"/>
              <w:jc w:val="both"/>
              <w:rPr>
                <w:b/>
                <w:bCs/>
              </w:rPr>
            </w:pPr>
            <w:r>
              <w:t>本研究采用单组目标值设计，以INR101注射液PET/CT对根治性治疗后疑似复发前列腺癌患者诊断的阳性预测值为主要评价指标，参考国内外同类产品及综述的汇总情况，设定PPV的目标值为60%，预期</w:t>
            </w:r>
            <w:r>
              <w:rPr>
                <w:lang w:bidi="ar"/>
              </w:rPr>
              <w:t>INR101</w:t>
            </w:r>
            <w:r>
              <w:t>注射液PET/CT在前列腺癌患者根治性治疗后复发患者中受试者水平的阳性预测值为77%左右，单侧检验水准α=0.025、把握度（1-β）为80%条件下，计算得到的</w:t>
            </w:r>
            <w:r>
              <w:rPr>
                <w:lang w:bidi="ar"/>
              </w:rPr>
              <w:t>INR101</w:t>
            </w:r>
            <w:r>
              <w:t>注射液PET/CT影像结果为</w:t>
            </w:r>
            <w:r>
              <w:rPr>
                <w:szCs w:val="24"/>
              </w:rPr>
              <w:t>阳性且有复合真实标准评价的受试者例数为60例。考虑总体入组受试者中</w:t>
            </w:r>
            <w:r>
              <w:rPr>
                <w:lang w:bidi="ar"/>
              </w:rPr>
              <w:t>INR101</w:t>
            </w:r>
            <w:r>
              <w:t>注射液PET/CT</w:t>
            </w:r>
            <w:r>
              <w:rPr>
                <w:szCs w:val="24"/>
              </w:rPr>
              <w:t>的阳性检出率约为80%以及约30%的脱落率（或不可评价率），最终需要纳入患者110例可获得有统计学意义的有效目标人群。</w:t>
            </w:r>
          </w:p>
        </w:tc>
      </w:tr>
      <w:tr w14:paraId="211ABD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1EA64459">
            <w:pPr>
              <w:spacing w:line="360" w:lineRule="auto"/>
              <w:jc w:val="both"/>
            </w:pPr>
            <w:r>
              <w:t>入选标准</w:t>
            </w:r>
          </w:p>
        </w:tc>
        <w:tc>
          <w:tcPr>
            <w:tcW w:w="4251" w:type="pct"/>
            <w:vAlign w:val="center"/>
          </w:tcPr>
          <w:p w14:paraId="6B98C9C2">
            <w:pPr>
              <w:widowControl w:val="0"/>
              <w:spacing w:line="360" w:lineRule="auto"/>
              <w:jc w:val="both"/>
              <w:rPr>
                <w:b/>
                <w:bCs/>
              </w:rPr>
            </w:pPr>
            <w:bookmarkStart w:id="30" w:name="_Hlk109337408"/>
            <w:r>
              <w:rPr>
                <w:b/>
                <w:bCs/>
              </w:rPr>
              <w:t>入选标准：</w:t>
            </w:r>
          </w:p>
          <w:p w14:paraId="5F80FB3E">
            <w:pPr>
              <w:widowControl w:val="0"/>
              <w:spacing w:line="360" w:lineRule="auto"/>
              <w:jc w:val="both"/>
              <w:rPr>
                <w:b/>
                <w:bCs/>
              </w:rPr>
            </w:pPr>
            <w:r>
              <w:rPr>
                <w:b/>
                <w:bCs/>
              </w:rPr>
              <w:t>受试者必须满足以下所有条件才可参加此项研究：</w:t>
            </w:r>
          </w:p>
          <w:p w14:paraId="723360FF">
            <w:pPr>
              <w:widowControl w:val="0"/>
              <w:numPr>
                <w:ilvl w:val="0"/>
                <w:numId w:val="11"/>
              </w:numPr>
              <w:spacing w:line="360" w:lineRule="auto"/>
              <w:ind w:left="0" w:firstLine="0"/>
              <w:jc w:val="both"/>
            </w:pPr>
            <w:r>
              <w:t>年龄≥18周岁的男性；</w:t>
            </w:r>
          </w:p>
          <w:p w14:paraId="381D10EC">
            <w:pPr>
              <w:widowControl w:val="0"/>
              <w:numPr>
                <w:ilvl w:val="0"/>
                <w:numId w:val="11"/>
              </w:numPr>
              <w:spacing w:line="360" w:lineRule="auto"/>
              <w:ind w:left="0" w:firstLine="0"/>
              <w:jc w:val="both"/>
            </w:pPr>
            <w:r>
              <w:t>美国东部合作肿瘤组织（ECOG）评分0或1分；</w:t>
            </w:r>
          </w:p>
          <w:p w14:paraId="4E1EF1FE">
            <w:pPr>
              <w:widowControl w:val="0"/>
              <w:numPr>
                <w:ilvl w:val="0"/>
                <w:numId w:val="11"/>
              </w:numPr>
              <w:spacing w:line="360" w:lineRule="auto"/>
              <w:ind w:left="0" w:firstLine="0"/>
              <w:jc w:val="both"/>
            </w:pPr>
            <w:r>
              <w:t>组织病理学证实的前列腺腺癌，既往接受根治性前列腺切除术和/或根治性放射治疗后PSA升高疑似复发的受试者（</w:t>
            </w:r>
            <w:r>
              <w:rPr>
                <w:rFonts w:hint="eastAsia"/>
              </w:rPr>
              <w:t>至少满足：</w:t>
            </w:r>
            <w:r>
              <w:t>根治性前列腺切除术后6周后连续2次PSA≥0.2</w:t>
            </w:r>
            <w:r>
              <w:rPr>
                <w:rFonts w:hint="eastAsia"/>
              </w:rPr>
              <w:t xml:space="preserve"> </w:t>
            </w:r>
            <w:r>
              <w:t>ng/mL；或根治性放射治疗后PSA 较最低值升高≥2</w:t>
            </w:r>
            <w:r>
              <w:rPr>
                <w:rFonts w:hint="eastAsia"/>
              </w:rPr>
              <w:t xml:space="preserve"> </w:t>
            </w:r>
            <w:r>
              <w:t>ng/mL）；</w:t>
            </w:r>
          </w:p>
          <w:p w14:paraId="14368953">
            <w:pPr>
              <w:widowControl w:val="0"/>
              <w:numPr>
                <w:ilvl w:val="0"/>
                <w:numId w:val="11"/>
              </w:numPr>
              <w:autoSpaceDE w:val="0"/>
              <w:autoSpaceDN w:val="0"/>
              <w:adjustRightInd w:val="0"/>
              <w:spacing w:line="360" w:lineRule="auto"/>
              <w:ind w:left="0" w:firstLine="0"/>
              <w:jc w:val="both"/>
            </w:pPr>
            <w:r>
              <w:t>血常规、肝肾功能检查符合下列条件：</w:t>
            </w:r>
          </w:p>
          <w:p w14:paraId="0B3EE5C9">
            <w:pPr>
              <w:spacing w:line="360" w:lineRule="auto"/>
              <w:ind w:left="720" w:leftChars="300"/>
            </w:pPr>
            <w:r>
              <w:t>-血红蛋白</w:t>
            </w:r>
            <w:r>
              <w:rPr>
                <w:rFonts w:hint="eastAsia"/>
              </w:rPr>
              <w:t>&gt;</w:t>
            </w:r>
            <w:r>
              <w:t>80g/L；血小板&gt;50×10</w:t>
            </w:r>
            <w:r>
              <w:rPr>
                <w:vertAlign w:val="superscript"/>
              </w:rPr>
              <w:t>9</w:t>
            </w:r>
            <w:r>
              <w:t>/L；</w:t>
            </w:r>
          </w:p>
          <w:p w14:paraId="0701FF14">
            <w:pPr>
              <w:ind w:left="720" w:leftChars="300"/>
            </w:pPr>
            <w:r>
              <w:t>-天门冬氨酸氨基转移酶（AST）、丙氨酸氨基转移酶（ALT）≤5倍ULN；</w:t>
            </w:r>
          </w:p>
          <w:p w14:paraId="72A35870">
            <w:pPr>
              <w:spacing w:line="360" w:lineRule="auto"/>
              <w:ind w:left="720" w:leftChars="300"/>
            </w:pPr>
            <w:r>
              <w:t>-总胆红素（T-Bil）≤3倍ULN；</w:t>
            </w:r>
          </w:p>
          <w:p w14:paraId="7F84A709">
            <w:pPr>
              <w:widowControl w:val="0"/>
              <w:numPr>
                <w:ilvl w:val="0"/>
                <w:numId w:val="11"/>
              </w:numPr>
              <w:spacing w:line="360" w:lineRule="auto"/>
              <w:ind w:left="0" w:firstLine="0"/>
              <w:jc w:val="both"/>
            </w:pPr>
            <w:r>
              <w:t>预期生存期≥6个月；</w:t>
            </w:r>
          </w:p>
          <w:p w14:paraId="1F090945">
            <w:pPr>
              <w:widowControl w:val="0"/>
              <w:numPr>
                <w:ilvl w:val="0"/>
                <w:numId w:val="11"/>
              </w:numPr>
              <w:spacing w:line="360" w:lineRule="auto"/>
              <w:ind w:left="0" w:firstLine="0"/>
              <w:jc w:val="both"/>
            </w:pPr>
            <w:r>
              <w:t>同意在知情同意书签署日至给药后3个月内必须采用避孕措施，避免供精；</w:t>
            </w:r>
          </w:p>
          <w:p w14:paraId="38B55F6D">
            <w:pPr>
              <w:widowControl w:val="0"/>
              <w:numPr>
                <w:ilvl w:val="0"/>
                <w:numId w:val="11"/>
              </w:numPr>
              <w:spacing w:line="360" w:lineRule="auto"/>
              <w:ind w:left="0" w:firstLine="0"/>
              <w:jc w:val="both"/>
            </w:pPr>
            <w:r>
              <w:t>受试者/监护人充分知情了解试验目的和程序，能够理解并自愿签署知情同意书。</w:t>
            </w:r>
            <w:bookmarkEnd w:id="30"/>
          </w:p>
        </w:tc>
      </w:tr>
      <w:tr w14:paraId="13F787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19EE50D5">
            <w:pPr>
              <w:spacing w:line="360" w:lineRule="auto"/>
              <w:jc w:val="both"/>
            </w:pPr>
            <w:r>
              <w:t>排除标准</w:t>
            </w:r>
          </w:p>
        </w:tc>
        <w:tc>
          <w:tcPr>
            <w:tcW w:w="4251" w:type="pct"/>
            <w:vAlign w:val="center"/>
          </w:tcPr>
          <w:p w14:paraId="669FCC4D">
            <w:pPr>
              <w:widowControl w:val="0"/>
              <w:spacing w:line="360" w:lineRule="auto"/>
              <w:jc w:val="both"/>
              <w:rPr>
                <w:b/>
                <w:bCs/>
              </w:rPr>
            </w:pPr>
            <w:r>
              <w:rPr>
                <w:b/>
                <w:bCs/>
              </w:rPr>
              <w:t>排除标准：</w:t>
            </w:r>
          </w:p>
          <w:p w14:paraId="1B6D8668">
            <w:pPr>
              <w:widowControl w:val="0"/>
              <w:spacing w:line="360" w:lineRule="auto"/>
              <w:jc w:val="both"/>
              <w:rPr>
                <w:b/>
                <w:bCs/>
              </w:rPr>
            </w:pPr>
            <w:r>
              <w:rPr>
                <w:b/>
                <w:bCs/>
              </w:rPr>
              <w:t>受试者必须排除以下情况才能参加该项临床研究：</w:t>
            </w:r>
          </w:p>
          <w:p w14:paraId="53CA14DA">
            <w:pPr>
              <w:pStyle w:val="172"/>
              <w:numPr>
                <w:ilvl w:val="0"/>
                <w:numId w:val="12"/>
              </w:numPr>
            </w:pPr>
            <w:r>
              <w:rPr>
                <w:rFonts w:hint="eastAsia" w:cs="Times New Roman"/>
                <w:kern w:val="0"/>
              </w:rPr>
              <w:t>研究者评估的无法按照试验要求完成影像检查的受试者</w:t>
            </w:r>
            <w:r>
              <w:t>；</w:t>
            </w:r>
          </w:p>
          <w:p w14:paraId="0A8EDD91">
            <w:pPr>
              <w:pStyle w:val="172"/>
              <w:numPr>
                <w:ilvl w:val="0"/>
                <w:numId w:val="12"/>
              </w:numPr>
            </w:pPr>
            <w:r>
              <w:rPr>
                <w:rFonts w:hint="eastAsia"/>
              </w:rPr>
              <w:t>首次给药之前5年内患有≥2种恶性肿瘤，但经充分治疗的未转移的甲状腺癌、皮肤基底细胞癌或皮肤浅表鳞状细胞癌、浅表性膀胱癌</w:t>
            </w:r>
            <w:r>
              <w:rPr>
                <w:rFonts w:cs="Times New Roman"/>
                <w:kern w:val="0"/>
              </w:rPr>
              <w:t>除外</w:t>
            </w:r>
            <w:r>
              <w:t>；</w:t>
            </w:r>
          </w:p>
          <w:p w14:paraId="25D6CC82">
            <w:pPr>
              <w:pStyle w:val="172"/>
              <w:numPr>
                <w:ilvl w:val="0"/>
                <w:numId w:val="12"/>
              </w:numPr>
            </w:pPr>
            <w:r>
              <w:t>在知情同意书签署前曾参加其他干预性临床试验且在该试验的5个半衰期内或正在参加其他干预性临床试验或知情同意书签署前参加过放射性治疗药物的临床试验且停药时间至知情同意书签署日少于3个月；</w:t>
            </w:r>
          </w:p>
          <w:p w14:paraId="3C705FFC">
            <w:pPr>
              <w:pStyle w:val="172"/>
              <w:numPr>
                <w:ilvl w:val="0"/>
                <w:numId w:val="12"/>
              </w:numPr>
            </w:pPr>
            <w:r>
              <w:rPr>
                <w:kern w:val="0"/>
              </w:rPr>
              <w:t>在INR101给药前24小时内接受过静脉注射碘造影剂，或在5天内接受过任何高密度口服造影剂（研究者判断肠道内无造影剂残留者除外</w:t>
            </w:r>
            <w:r>
              <w:t>；可接受口服水溶性造影剂</w:t>
            </w:r>
            <w:r>
              <w:rPr>
                <w:kern w:val="0"/>
              </w:rPr>
              <w:t>）</w:t>
            </w:r>
            <w:r>
              <w:t>；</w:t>
            </w:r>
          </w:p>
          <w:p w14:paraId="3E1F0856">
            <w:pPr>
              <w:pStyle w:val="172"/>
              <w:numPr>
                <w:ilvl w:val="0"/>
                <w:numId w:val="12"/>
              </w:numPr>
            </w:pPr>
            <w:r>
              <w:t>既往有唾液腺疾病病史或佩吉特病史者；既往1年有骨折病史者；</w:t>
            </w:r>
          </w:p>
          <w:p w14:paraId="478F9126">
            <w:pPr>
              <w:pStyle w:val="172"/>
              <w:numPr>
                <w:ilvl w:val="0"/>
                <w:numId w:val="12"/>
              </w:numPr>
            </w:pPr>
            <w:r>
              <w:t>有髋关节置换物的受试者；</w:t>
            </w:r>
          </w:p>
          <w:p w14:paraId="69C04AB3">
            <w:pPr>
              <w:pStyle w:val="172"/>
              <w:numPr>
                <w:ilvl w:val="0"/>
                <w:numId w:val="12"/>
              </w:numPr>
            </w:pPr>
            <w:r>
              <w:t>已知对INR101活性成分或其组分过敏；</w:t>
            </w:r>
          </w:p>
          <w:p w14:paraId="10FEA473">
            <w:pPr>
              <w:pStyle w:val="172"/>
              <w:numPr>
                <w:ilvl w:val="0"/>
                <w:numId w:val="12"/>
              </w:numPr>
            </w:pPr>
            <w:r>
              <w:t>研究者判断存在影响安全性、依从性或可能影响研究结果的任何医学疾病或其他情况。</w:t>
            </w:r>
          </w:p>
        </w:tc>
      </w:tr>
      <w:tr w14:paraId="236CFA4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1A05BFB1">
            <w:pPr>
              <w:spacing w:line="360" w:lineRule="auto"/>
              <w:jc w:val="both"/>
            </w:pPr>
            <w:r>
              <w:t>试验用药品</w:t>
            </w:r>
          </w:p>
        </w:tc>
        <w:tc>
          <w:tcPr>
            <w:tcW w:w="4251" w:type="pct"/>
            <w:vAlign w:val="center"/>
          </w:tcPr>
          <w:p w14:paraId="6997B055">
            <w:pPr>
              <w:spacing w:line="360" w:lineRule="auto"/>
              <w:jc w:val="both"/>
            </w:pPr>
            <w:r>
              <w:t>试验用药品名称：INR101注射液</w:t>
            </w:r>
          </w:p>
          <w:p w14:paraId="7B548E35">
            <w:pPr>
              <w:spacing w:line="360" w:lineRule="auto"/>
              <w:jc w:val="both"/>
            </w:pPr>
            <w:r>
              <w:t>有效成分：氟[</w:t>
            </w:r>
            <w:r>
              <w:rPr>
                <w:vertAlign w:val="superscript"/>
              </w:rPr>
              <w:t>18</w:t>
            </w:r>
            <w:r>
              <w:t>F]前列腺特异性膜抗原（prostate specific membrane antigen，PSMA）137</w:t>
            </w:r>
          </w:p>
          <w:p w14:paraId="75E08594">
            <w:pPr>
              <w:spacing w:line="360" w:lineRule="auto"/>
              <w:jc w:val="both"/>
            </w:pPr>
            <w:r>
              <w:t>规格：</w:t>
            </w:r>
            <w:r>
              <w:rPr>
                <w:rFonts w:hint="eastAsia"/>
              </w:rPr>
              <w:t>145</w:t>
            </w:r>
            <w:r>
              <w:t>-1500 MBq/mL</w:t>
            </w:r>
          </w:p>
          <w:p w14:paraId="4171888F">
            <w:pPr>
              <w:spacing w:line="360" w:lineRule="auto"/>
              <w:jc w:val="both"/>
            </w:pPr>
            <w:r>
              <w:t>剂型：注射液</w:t>
            </w:r>
          </w:p>
          <w:p w14:paraId="3B90B14A">
            <w:pPr>
              <w:spacing w:line="360" w:lineRule="auto"/>
              <w:jc w:val="both"/>
            </w:pPr>
            <w:r>
              <w:t>给药方法：静脉注射</w:t>
            </w:r>
          </w:p>
          <w:p w14:paraId="38EE2778">
            <w:pPr>
              <w:spacing w:line="360" w:lineRule="auto"/>
              <w:jc w:val="both"/>
              <w:rPr>
                <w:lang w:bidi="zh-TW"/>
              </w:rPr>
            </w:pPr>
            <w:r>
              <w:t>储存：</w:t>
            </w:r>
            <w:r>
              <w:rPr>
                <w:rFonts w:hint="eastAsia"/>
              </w:rPr>
              <w:t>置适宜的屏蔽容器内，不得过 30℃，密闭保存。容器表面辐射水平应符合规定</w:t>
            </w:r>
            <w:r>
              <w:rPr>
                <w:rFonts w:hint="eastAsia"/>
                <w:lang w:eastAsia="zh-CN"/>
              </w:rPr>
              <w:t>。</w:t>
            </w:r>
          </w:p>
        </w:tc>
      </w:tr>
      <w:tr w14:paraId="30B045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26CABE9A">
            <w:pPr>
              <w:spacing w:line="360" w:lineRule="auto"/>
              <w:jc w:val="both"/>
            </w:pPr>
            <w:r>
              <w:t>给药剂量及给药方式</w:t>
            </w:r>
          </w:p>
        </w:tc>
        <w:tc>
          <w:tcPr>
            <w:tcW w:w="4251" w:type="pct"/>
            <w:vAlign w:val="center"/>
          </w:tcPr>
          <w:p w14:paraId="4AFEEBFE">
            <w:pPr>
              <w:spacing w:line="360" w:lineRule="auto"/>
              <w:jc w:val="both"/>
              <w:rPr>
                <w:b/>
                <w:bCs/>
              </w:rPr>
            </w:pPr>
            <w:r>
              <w:t>所有受试者均接受INR101注射液</w:t>
            </w:r>
            <w:r>
              <w:rPr>
                <w:rFonts w:hint="eastAsia"/>
                <w:szCs w:val="24"/>
              </w:rPr>
              <w:t>7mCi±15%</w:t>
            </w:r>
            <w:r>
              <w:t>的剂量单次静脉给药。</w:t>
            </w:r>
          </w:p>
        </w:tc>
      </w:tr>
      <w:tr w14:paraId="77CDF6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7559560F">
            <w:pPr>
              <w:spacing w:line="360" w:lineRule="auto"/>
              <w:jc w:val="both"/>
            </w:pPr>
            <w:r>
              <w:t>分析人群</w:t>
            </w:r>
          </w:p>
        </w:tc>
        <w:tc>
          <w:tcPr>
            <w:tcW w:w="4251" w:type="pct"/>
            <w:vAlign w:val="center"/>
          </w:tcPr>
          <w:p w14:paraId="7F47716F">
            <w:pPr>
              <w:adjustRightInd w:val="0"/>
              <w:snapToGrid w:val="0"/>
              <w:spacing w:line="360" w:lineRule="auto"/>
              <w:ind w:firstLine="480" w:firstLineChars="200"/>
              <w:contextualSpacing/>
              <w:jc w:val="both"/>
              <w:rPr>
                <w:bCs/>
              </w:rPr>
            </w:pPr>
            <w:r>
              <w:rPr>
                <w:b/>
                <w:iCs/>
              </w:rPr>
              <w:t>安全性分析集（SS）</w:t>
            </w:r>
            <w:r>
              <w:rPr>
                <w:b/>
              </w:rPr>
              <w:t>：</w:t>
            </w:r>
            <w:r>
              <w:rPr>
                <w:bCs/>
              </w:rPr>
              <w:t>所有接受任何剂量</w:t>
            </w:r>
            <w:r>
              <w:rPr>
                <w:lang w:bidi="ar"/>
              </w:rPr>
              <w:t>INR101</w:t>
            </w:r>
            <w:r>
              <w:rPr>
                <w:bCs/>
              </w:rPr>
              <w:t>注射液且至少有一次安全性数据记录的受试者将被纳入安全性分析集。SS将用于安全性分析。</w:t>
            </w:r>
          </w:p>
          <w:p w14:paraId="72D7B66B">
            <w:pPr>
              <w:adjustRightInd w:val="0"/>
              <w:snapToGrid w:val="0"/>
              <w:spacing w:line="360" w:lineRule="auto"/>
              <w:ind w:firstLine="480" w:firstLineChars="200"/>
              <w:contextualSpacing/>
              <w:jc w:val="both"/>
              <w:rPr>
                <w:bCs/>
              </w:rPr>
            </w:pPr>
            <w:r>
              <w:rPr>
                <w:b/>
                <w:iCs/>
              </w:rPr>
              <w:t>全分析集（FAS）</w:t>
            </w:r>
            <w:r>
              <w:rPr>
                <w:b/>
              </w:rPr>
              <w:t>：</w:t>
            </w:r>
            <w:r>
              <w:rPr>
                <w:bCs/>
              </w:rPr>
              <w:t>按照意向性治疗的基本原则，将所有入组且接受INR101给药且具有</w:t>
            </w:r>
            <w:r>
              <w:rPr>
                <w:lang w:bidi="ar"/>
              </w:rPr>
              <w:t>INR101注射液</w:t>
            </w:r>
            <w:r>
              <w:t>PET/CT影像</w:t>
            </w:r>
            <w:r>
              <w:rPr>
                <w:bCs/>
              </w:rPr>
              <w:t>结果的受试者所构成的数据集。FAS将用</w:t>
            </w:r>
            <w:r>
              <w:rPr>
                <w:rFonts w:hint="eastAsia"/>
                <w:bCs/>
              </w:rPr>
              <w:t>于</w:t>
            </w:r>
            <w:r>
              <w:rPr>
                <w:bCs/>
              </w:rPr>
              <w:t>基线特征、给药剂量以及诊断效能等方面的分析。</w:t>
            </w:r>
          </w:p>
          <w:p w14:paraId="587E13E4">
            <w:pPr>
              <w:adjustRightInd w:val="0"/>
              <w:snapToGrid w:val="0"/>
              <w:spacing w:line="360" w:lineRule="auto"/>
              <w:ind w:firstLine="480" w:firstLineChars="200"/>
              <w:contextualSpacing/>
              <w:jc w:val="both"/>
              <w:rPr>
                <w:bCs/>
              </w:rPr>
            </w:pPr>
            <w:r>
              <w:rPr>
                <w:b/>
                <w:iCs/>
              </w:rPr>
              <w:t>符合方案集（PPS）</w:t>
            </w:r>
            <w:r>
              <w:rPr>
                <w:b/>
              </w:rPr>
              <w:t>：</w:t>
            </w:r>
            <w:r>
              <w:rPr>
                <w:bCs/>
              </w:rPr>
              <w:t>是全分析集（FAS）的子集，包括按照入选排除标准筛选入组、接受</w:t>
            </w:r>
            <w:r>
              <w:rPr>
                <w:lang w:bidi="ar"/>
              </w:rPr>
              <w:t>INR101</w:t>
            </w:r>
            <w:r>
              <w:rPr>
                <w:bCs/>
              </w:rPr>
              <w:t>注射液给药获得相应的数据，且未发生影响主要终点指标评估的重大方案偏离的受试者。</w:t>
            </w:r>
            <w:r>
              <w:rPr>
                <w:iCs/>
              </w:rPr>
              <w:t>PPS</w:t>
            </w:r>
            <w:r>
              <w:rPr>
                <w:bCs/>
              </w:rPr>
              <w:t>将用于诊断效能的分析。</w:t>
            </w:r>
          </w:p>
        </w:tc>
      </w:tr>
      <w:tr w14:paraId="17781CA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left w:w="108" w:type="dxa"/>
            <w:bottom w:w="57" w:type="dxa"/>
            <w:right w:w="108" w:type="dxa"/>
          </w:tblCellMar>
        </w:tblPrEx>
        <w:trPr>
          <w:jc w:val="center"/>
        </w:trPr>
        <w:tc>
          <w:tcPr>
            <w:tcW w:w="748" w:type="pct"/>
            <w:vAlign w:val="center"/>
          </w:tcPr>
          <w:p w14:paraId="33803DA7">
            <w:pPr>
              <w:spacing w:line="360" w:lineRule="auto"/>
            </w:pPr>
            <w:r>
              <w:t>统计分析</w:t>
            </w:r>
          </w:p>
        </w:tc>
        <w:tc>
          <w:tcPr>
            <w:tcW w:w="4251" w:type="pct"/>
            <w:vAlign w:val="center"/>
          </w:tcPr>
          <w:p w14:paraId="59CA0D1A">
            <w:pPr>
              <w:spacing w:line="360" w:lineRule="auto"/>
              <w:jc w:val="both"/>
              <w:rPr>
                <w:b/>
              </w:rPr>
            </w:pPr>
            <w:r>
              <w:rPr>
                <w:b/>
              </w:rPr>
              <w:t>受试者分布、基线特征及药物暴露分析：</w:t>
            </w:r>
          </w:p>
          <w:p w14:paraId="37658BB1">
            <w:pPr>
              <w:spacing w:line="360" w:lineRule="auto"/>
              <w:jc w:val="both"/>
            </w:pPr>
            <w:r>
              <w:t>汇总筛选、入组、完成试验情况以及各分析集的受试者例数及占比。对受试者基线特征进行描述性分析。描述性汇总受试者完成给药情况以及药物暴露情况。</w:t>
            </w:r>
          </w:p>
          <w:p w14:paraId="4DACD8B2">
            <w:pPr>
              <w:spacing w:line="360" w:lineRule="auto"/>
              <w:jc w:val="both"/>
              <w:rPr>
                <w:b/>
                <w:bCs/>
              </w:rPr>
            </w:pPr>
            <w:r>
              <w:rPr>
                <w:b/>
                <w:bCs/>
              </w:rPr>
              <w:t>主要估计目标分析：</w:t>
            </w:r>
          </w:p>
          <w:p w14:paraId="7B0204DE">
            <w:pPr>
              <w:spacing w:line="360" w:lineRule="auto"/>
              <w:jc w:val="both"/>
            </w:pPr>
            <w:r>
              <w:t>计算受试者水平的阳性预测值，并使用二项分布近似正态法或Clopper Pearson</w:t>
            </w:r>
            <w:r>
              <w:rPr>
                <w:rFonts w:hint="eastAsia"/>
              </w:rPr>
              <w:t>法</w:t>
            </w:r>
            <w:r>
              <w:t>计算其95%CI。在汇总受试者水平判定时，真实性标准与INR101注射液PET/CT影像结果均采用任一区域为阳性，则受试者水平为阳性，所有区域均为阴性，则受试者水平为阴性的标准。</w:t>
            </w:r>
          </w:p>
          <w:p w14:paraId="1781C18C">
            <w:pPr>
              <w:spacing w:line="360" w:lineRule="auto"/>
              <w:jc w:val="both"/>
            </w:pPr>
            <w:r>
              <w:t>亚组分析：对INR101注射液 PET/CT成像在常规影像检查阴性组人群中、不同基线PSA水平人群（0.2~0.5、0.5~1、1~2、2~5、≥5ng/ml）中的阳性预测值（PPV）进行亚组分析。</w:t>
            </w:r>
          </w:p>
          <w:p w14:paraId="67EAC5F0">
            <w:pPr>
              <w:spacing w:line="360" w:lineRule="auto"/>
              <w:jc w:val="both"/>
              <w:rPr>
                <w:b/>
                <w:bCs/>
              </w:rPr>
            </w:pPr>
            <w:r>
              <w:rPr>
                <w:b/>
                <w:bCs/>
              </w:rPr>
              <w:t>次要指标的分析：</w:t>
            </w:r>
          </w:p>
          <w:p w14:paraId="34B87D3A">
            <w:pPr>
              <w:spacing w:line="360" w:lineRule="auto"/>
              <w:jc w:val="both"/>
            </w:pPr>
            <w:r>
              <w:t>（1）以复合判断结果（包括术后/穿刺病理，常规影像和PSA 随访结果）为真实性标准计算区域水平的阳性预测值，并使用二项分布近似正态法或Clopper Pearson</w:t>
            </w:r>
            <w:r>
              <w:rPr>
                <w:rFonts w:hint="eastAsia"/>
              </w:rPr>
              <w:t>法</w:t>
            </w:r>
            <w:r>
              <w:t>计算其95%CI。</w:t>
            </w:r>
          </w:p>
          <w:p w14:paraId="24A8E946">
            <w:pPr>
              <w:spacing w:line="360" w:lineRule="auto"/>
              <w:jc w:val="both"/>
            </w:pPr>
            <w:r>
              <w:t>（2）计算INR101注射液PET/CT成像在受试者水平的病灶检出率（DR）；并以复合判断结果为真实性标准，计算INR101注射液PET/CT成像在受试者水平的病灶正确检出率（CDR），正确定位率（CLR）及其95%CI；</w:t>
            </w:r>
          </w:p>
          <w:p w14:paraId="7F09D5AD">
            <w:pPr>
              <w:spacing w:line="360" w:lineRule="auto"/>
              <w:jc w:val="both"/>
            </w:pPr>
            <w:r>
              <w:t>（3）在基线常规影像阴性亚组人群中计算INR101注射液PET/CT成像在受试者水平的病灶检出率（DR）、正确检出率（CDR）和阳性预测值（PPV），及其95%CI；</w:t>
            </w:r>
          </w:p>
          <w:p w14:paraId="37575758">
            <w:pPr>
              <w:pStyle w:val="165"/>
              <w:ind w:firstLine="0" w:firstLineChars="0"/>
              <w:rPr>
                <w:rFonts w:cs="Times New Roman"/>
              </w:rPr>
            </w:pPr>
            <w:r>
              <w:rPr>
                <w:rFonts w:cs="Times New Roman"/>
              </w:rPr>
              <w:t>（4）</w:t>
            </w:r>
            <w:r>
              <w:rPr>
                <w:rFonts w:cs="Times New Roman"/>
                <w:szCs w:val="24"/>
                <w:lang w:bidi="ar"/>
              </w:rPr>
              <w:t>评估阅片人内和阅片人间对PET/CT图像诊断的一致性，分别计算阅片人自身和不同阅片人之间阅片结果的一致性系数及相应的95%置信区间。</w:t>
            </w:r>
          </w:p>
          <w:p w14:paraId="2CBE8A6F">
            <w:pPr>
              <w:numPr>
                <w:ilvl w:val="255"/>
                <w:numId w:val="0"/>
              </w:numPr>
              <w:spacing w:line="360" w:lineRule="auto"/>
              <w:jc w:val="both"/>
              <w:rPr>
                <w:b/>
                <w:bCs/>
              </w:rPr>
            </w:pPr>
            <w:r>
              <w:rPr>
                <w:b/>
                <w:bCs/>
              </w:rPr>
              <w:t>安全性分析：</w:t>
            </w:r>
          </w:p>
          <w:p w14:paraId="24D19865">
            <w:pPr>
              <w:spacing w:line="360" w:lineRule="auto"/>
              <w:jc w:val="both"/>
              <w:rPr>
                <w:bCs/>
                <w:szCs w:val="24"/>
                <w:lang w:bidi="ar"/>
              </w:rPr>
            </w:pPr>
            <w:r>
              <w:rPr>
                <w:bCs/>
                <w:szCs w:val="24"/>
                <w:lang w:bidi="ar"/>
              </w:rPr>
              <w:t>在安全性分析集中描述性分析INR101药物相关的安全性参数。</w:t>
            </w:r>
          </w:p>
          <w:p w14:paraId="17D02CE4">
            <w:pPr>
              <w:pStyle w:val="37"/>
              <w:adjustRightInd w:val="0"/>
              <w:spacing w:before="0" w:beforeAutospacing="0" w:after="0" w:afterAutospacing="0" w:line="360" w:lineRule="auto"/>
              <w:jc w:val="both"/>
              <w:rPr>
                <w:rFonts w:ascii="Times New Roman" w:hAnsi="Times New Roman"/>
                <w:bCs/>
                <w:color w:val="auto"/>
                <w:sz w:val="24"/>
                <w:szCs w:val="24"/>
                <w:lang w:bidi="ar"/>
              </w:rPr>
            </w:pPr>
            <w:r>
              <w:rPr>
                <w:rFonts w:ascii="Times New Roman" w:hAnsi="Times New Roman"/>
                <w:bCs/>
                <w:color w:val="auto"/>
                <w:sz w:val="24"/>
                <w:szCs w:val="24"/>
                <w:lang w:bidi="ar"/>
              </w:rPr>
              <w:t>（1）不良事件</w:t>
            </w:r>
          </w:p>
          <w:p w14:paraId="2856E445">
            <w:pPr>
              <w:spacing w:line="360" w:lineRule="auto"/>
              <w:ind w:firstLine="480" w:firstLineChars="200"/>
              <w:jc w:val="both"/>
              <w:rPr>
                <w:lang w:bidi="ar"/>
              </w:rPr>
            </w:pPr>
            <w:r>
              <w:rPr>
                <w:lang w:bidi="ar"/>
              </w:rPr>
              <w:t>汇总所有AE、3级及以上AE、SAE、导致暂停试验用药品AE、导致退出试验AE的发生例次、例数和发生率。将肯定有关、很可能有关、可能有关均列为药物不良反应（ADR），汇总所有不良反应、3级及以上不良反应、严重不良反应、导致退出试验不良反应的发生例次、例数和发生率。对编码后的AE/ADR，按SOC和PT汇总各系统的发生例次、例数和发生率。列出全部不良事件与严重不良事件、不良反应的清单。</w:t>
            </w:r>
          </w:p>
          <w:p w14:paraId="288002CF">
            <w:pPr>
              <w:pStyle w:val="37"/>
              <w:adjustRightInd w:val="0"/>
              <w:spacing w:before="0" w:beforeAutospacing="0" w:after="0" w:afterAutospacing="0" w:line="360" w:lineRule="auto"/>
              <w:jc w:val="both"/>
              <w:rPr>
                <w:rFonts w:ascii="Times New Roman" w:hAnsi="Times New Roman"/>
                <w:b/>
                <w:szCs w:val="24"/>
              </w:rPr>
            </w:pPr>
            <w:r>
              <w:rPr>
                <w:rFonts w:ascii="Times New Roman" w:hAnsi="Times New Roman"/>
                <w:bCs/>
                <w:color w:val="auto"/>
                <w:sz w:val="24"/>
                <w:szCs w:val="24"/>
                <w:lang w:bidi="ar"/>
              </w:rPr>
              <w:t>（2）生命体征：</w:t>
            </w:r>
          </w:p>
          <w:p w14:paraId="51F88D93">
            <w:pPr>
              <w:pStyle w:val="37"/>
              <w:adjustRightInd w:val="0"/>
              <w:spacing w:before="0" w:beforeAutospacing="0" w:after="0" w:afterAutospacing="0" w:line="360" w:lineRule="auto"/>
              <w:ind w:firstLine="480" w:firstLineChars="200"/>
              <w:jc w:val="both"/>
              <w:rPr>
                <w:rFonts w:ascii="Times New Roman" w:hAnsi="Times New Roman"/>
                <w:bCs/>
                <w:color w:val="auto"/>
                <w:sz w:val="24"/>
                <w:szCs w:val="24"/>
                <w:lang w:bidi="ar"/>
              </w:rPr>
            </w:pPr>
            <w:r>
              <w:rPr>
                <w:rFonts w:ascii="Times New Roman" w:hAnsi="Times New Roman"/>
                <w:bCs/>
                <w:color w:val="auto"/>
                <w:sz w:val="24"/>
                <w:szCs w:val="24"/>
                <w:lang w:bidi="ar"/>
              </w:rPr>
              <w:t>描述各访视各生命体征指标的测量值及相对基线的变化情况。</w:t>
            </w:r>
          </w:p>
          <w:p w14:paraId="475C1A17">
            <w:pPr>
              <w:pStyle w:val="37"/>
              <w:adjustRightInd w:val="0"/>
              <w:spacing w:before="0" w:beforeAutospacing="0" w:after="0" w:afterAutospacing="0" w:line="360" w:lineRule="auto"/>
              <w:jc w:val="both"/>
              <w:rPr>
                <w:rFonts w:ascii="Times New Roman" w:hAnsi="Times New Roman"/>
                <w:bCs/>
                <w:color w:val="auto"/>
                <w:sz w:val="24"/>
                <w:szCs w:val="24"/>
                <w:lang w:bidi="ar"/>
              </w:rPr>
            </w:pPr>
            <w:r>
              <w:rPr>
                <w:rFonts w:ascii="Times New Roman" w:hAnsi="Times New Roman"/>
                <w:bCs/>
                <w:color w:val="auto"/>
                <w:sz w:val="24"/>
                <w:szCs w:val="24"/>
                <w:lang w:bidi="ar"/>
              </w:rPr>
              <w:t>（3）实验室检查：</w:t>
            </w:r>
          </w:p>
          <w:p w14:paraId="3361CE74">
            <w:pPr>
              <w:pStyle w:val="37"/>
              <w:adjustRightInd w:val="0"/>
              <w:spacing w:before="0" w:beforeAutospacing="0" w:after="0" w:afterAutospacing="0" w:line="360" w:lineRule="auto"/>
              <w:ind w:firstLine="480" w:firstLineChars="200"/>
              <w:jc w:val="both"/>
              <w:rPr>
                <w:rFonts w:ascii="Times New Roman" w:hAnsi="Times New Roman"/>
                <w:bCs/>
                <w:color w:val="auto"/>
                <w:sz w:val="24"/>
                <w:szCs w:val="24"/>
                <w:lang w:bidi="ar"/>
              </w:rPr>
            </w:pPr>
            <w:r>
              <w:rPr>
                <w:rFonts w:ascii="Times New Roman" w:hAnsi="Times New Roman"/>
                <w:bCs/>
                <w:color w:val="auto"/>
                <w:sz w:val="24"/>
                <w:szCs w:val="24"/>
                <w:lang w:bidi="ar"/>
              </w:rPr>
              <w:t>以交叉表形式汇总分析给药前后实验室检查（血常规、尿常规和血生化）临床意义的变化。列出实验室指标异常受试者的详细信息。</w:t>
            </w:r>
          </w:p>
          <w:p w14:paraId="4A3A19C6">
            <w:pPr>
              <w:pStyle w:val="37"/>
              <w:adjustRightInd w:val="0"/>
              <w:spacing w:before="0" w:beforeAutospacing="0" w:after="0" w:afterAutospacing="0" w:line="360" w:lineRule="auto"/>
              <w:jc w:val="both"/>
              <w:rPr>
                <w:rFonts w:ascii="Times New Roman" w:hAnsi="Times New Roman"/>
                <w:bCs/>
                <w:color w:val="auto"/>
                <w:sz w:val="24"/>
                <w:szCs w:val="24"/>
                <w:lang w:bidi="ar"/>
              </w:rPr>
            </w:pPr>
            <w:r>
              <w:rPr>
                <w:rFonts w:ascii="Times New Roman" w:hAnsi="Times New Roman"/>
                <w:bCs/>
                <w:color w:val="auto"/>
                <w:sz w:val="24"/>
                <w:szCs w:val="24"/>
                <w:lang w:bidi="ar"/>
              </w:rPr>
              <w:t>（4）12导联心电图：</w:t>
            </w:r>
          </w:p>
          <w:p w14:paraId="31FB8E68">
            <w:pPr>
              <w:pStyle w:val="37"/>
              <w:adjustRightInd w:val="0"/>
              <w:spacing w:before="0" w:beforeAutospacing="0" w:after="0" w:afterAutospacing="0" w:line="360" w:lineRule="auto"/>
              <w:ind w:firstLine="480" w:firstLineChars="200"/>
              <w:jc w:val="both"/>
              <w:rPr>
                <w:rFonts w:ascii="Times New Roman" w:hAnsi="Times New Roman"/>
                <w:bCs/>
                <w:color w:val="auto"/>
                <w:sz w:val="24"/>
                <w:szCs w:val="24"/>
                <w:lang w:bidi="ar"/>
              </w:rPr>
            </w:pPr>
            <w:r>
              <w:rPr>
                <w:rFonts w:ascii="Times New Roman" w:hAnsi="Times New Roman"/>
                <w:bCs/>
                <w:color w:val="auto"/>
                <w:sz w:val="24"/>
                <w:szCs w:val="24"/>
                <w:lang w:bidi="ar"/>
              </w:rPr>
              <w:t>以交叉表形式汇总分析给药前后心电图临床意义的变化。列出心电图指标异常受试者的详细信息。</w:t>
            </w:r>
          </w:p>
          <w:p w14:paraId="1A92FE94">
            <w:pPr>
              <w:pStyle w:val="37"/>
              <w:adjustRightInd w:val="0"/>
              <w:spacing w:before="0" w:beforeAutospacing="0" w:after="0" w:afterAutospacing="0" w:line="360" w:lineRule="auto"/>
              <w:jc w:val="both"/>
              <w:rPr>
                <w:rFonts w:ascii="Times New Roman" w:hAnsi="Times New Roman"/>
                <w:bCs/>
                <w:color w:val="auto"/>
                <w:sz w:val="24"/>
                <w:szCs w:val="24"/>
                <w:lang w:bidi="ar"/>
              </w:rPr>
            </w:pPr>
            <w:r>
              <w:rPr>
                <w:rFonts w:ascii="Times New Roman" w:hAnsi="Times New Roman"/>
                <w:bCs/>
                <w:color w:val="auto"/>
                <w:sz w:val="24"/>
                <w:szCs w:val="24"/>
                <w:lang w:bidi="ar"/>
              </w:rPr>
              <w:t>（5）体格检查：</w:t>
            </w:r>
          </w:p>
          <w:p w14:paraId="143D4298">
            <w:pPr>
              <w:pStyle w:val="37"/>
              <w:adjustRightInd w:val="0"/>
              <w:spacing w:before="0" w:beforeAutospacing="0" w:after="0" w:afterAutospacing="0" w:line="360" w:lineRule="auto"/>
              <w:ind w:firstLine="480" w:firstLineChars="200"/>
              <w:jc w:val="both"/>
              <w:rPr>
                <w:rFonts w:ascii="Times New Roman" w:hAnsi="Times New Roman"/>
                <w:bCs/>
                <w:color w:val="auto"/>
                <w:sz w:val="24"/>
                <w:szCs w:val="24"/>
                <w:lang w:bidi="ar"/>
              </w:rPr>
            </w:pPr>
            <w:r>
              <w:rPr>
                <w:rFonts w:ascii="Times New Roman" w:hAnsi="Times New Roman"/>
                <w:bCs/>
                <w:color w:val="auto"/>
                <w:sz w:val="24"/>
                <w:szCs w:val="24"/>
                <w:lang w:bidi="ar"/>
              </w:rPr>
              <w:t>以交叉表形式汇总分析给药前后体格检查的临床意义的变化。列出体格检查指标异常受试者的详细信息。</w:t>
            </w:r>
          </w:p>
          <w:p w14:paraId="0D3077FF">
            <w:pPr>
              <w:spacing w:line="360" w:lineRule="auto"/>
              <w:jc w:val="both"/>
            </w:pPr>
          </w:p>
        </w:tc>
      </w:tr>
      <w:bookmarkEnd w:id="26"/>
    </w:tbl>
    <w:p w14:paraId="42143297">
      <w:pPr>
        <w:rPr>
          <w:sz w:val="28"/>
          <w:szCs w:val="28"/>
          <w:lang w:val="zh-TW"/>
        </w:rPr>
        <w:sectPr>
          <w:pgSz w:w="11900" w:h="16840"/>
          <w:pgMar w:top="1701" w:right="1134" w:bottom="1134" w:left="1418" w:header="907" w:footer="850" w:gutter="0"/>
          <w:cols w:space="720" w:num="1"/>
          <w:docGrid w:type="linesAndChars" w:linePitch="326" w:charSpace="0"/>
        </w:sectPr>
      </w:pPr>
    </w:p>
    <w:p w14:paraId="0B1E5C01">
      <w:pPr>
        <w:keepNext/>
        <w:keepLines/>
        <w:numPr>
          <w:ilvl w:val="1"/>
          <w:numId w:val="6"/>
        </w:numPr>
        <w:spacing w:line="360" w:lineRule="auto"/>
        <w:ind w:left="0" w:firstLine="0"/>
        <w:outlineLvl w:val="1"/>
        <w:rPr>
          <w:b/>
          <w:bCs/>
          <w:kern w:val="0"/>
          <w:szCs w:val="24"/>
          <w:lang w:val="zh-TW" w:eastAsia="en-US"/>
        </w:rPr>
      </w:pPr>
      <w:bookmarkStart w:id="31" w:name="_Toc136866748"/>
      <w:bookmarkEnd w:id="31"/>
      <w:bookmarkStart w:id="32" w:name="_Toc26509"/>
      <w:bookmarkStart w:id="33" w:name="_Toc183522962"/>
      <w:bookmarkStart w:id="34" w:name="_Toc159493586"/>
      <w:bookmarkStart w:id="35" w:name="_Toc8280"/>
      <w:bookmarkStart w:id="36" w:name="_Toc22772"/>
      <w:bookmarkStart w:id="37" w:name="_Hlk61211995"/>
      <w:bookmarkStart w:id="38" w:name="_Toc450811955"/>
      <w:r>
        <w:rPr>
          <w:b/>
          <w:bCs/>
          <w:kern w:val="0"/>
          <w:szCs w:val="24"/>
          <w:lang w:val="zh-TW" w:eastAsia="en-US"/>
        </w:rPr>
        <w:t>研究</w:t>
      </w:r>
      <w:r>
        <w:rPr>
          <w:b/>
          <w:bCs/>
          <w:kern w:val="0"/>
          <w:szCs w:val="24"/>
          <w:lang w:val="zh-TW"/>
        </w:rPr>
        <w:t>流程</w:t>
      </w:r>
      <w:r>
        <w:rPr>
          <w:b/>
          <w:bCs/>
          <w:kern w:val="0"/>
          <w:szCs w:val="24"/>
          <w:lang w:val="zh-TW" w:eastAsia="en-US"/>
        </w:rPr>
        <w:t>表</w:t>
      </w:r>
      <w:bookmarkEnd w:id="32"/>
      <w:bookmarkEnd w:id="33"/>
      <w:bookmarkEnd w:id="34"/>
      <w:bookmarkEnd w:id="35"/>
      <w:bookmarkEnd w:id="36"/>
    </w:p>
    <w:p w14:paraId="26BC3641">
      <w:pPr>
        <w:rPr>
          <w:b/>
          <w:bCs/>
          <w:sz w:val="28"/>
          <w:szCs w:val="28"/>
          <w:lang w:val="zh-TW"/>
        </w:rPr>
      </w:pPr>
    </w:p>
    <w:bookmarkEnd w:id="21"/>
    <w:tbl>
      <w:tblPr>
        <w:tblStyle w:val="42"/>
        <w:tblW w:w="38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8"/>
        <w:gridCol w:w="1357"/>
        <w:gridCol w:w="1080"/>
        <w:gridCol w:w="1765"/>
        <w:gridCol w:w="1344"/>
        <w:gridCol w:w="1338"/>
        <w:gridCol w:w="1646"/>
      </w:tblGrid>
      <w:tr w14:paraId="38FE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1D7A35AE">
            <w:pPr>
              <w:jc w:val="center"/>
              <w:rPr>
                <w:b/>
                <w:bCs/>
                <w:color w:val="000000"/>
                <w:sz w:val="21"/>
                <w:szCs w:val="21"/>
              </w:rPr>
            </w:pPr>
            <w:r>
              <w:rPr>
                <w:b/>
                <w:bCs/>
                <w:color w:val="000000"/>
                <w:sz w:val="21"/>
                <w:szCs w:val="21"/>
              </w:rPr>
              <w:t>名称</w:t>
            </w:r>
          </w:p>
        </w:tc>
        <w:tc>
          <w:tcPr>
            <w:tcW w:w="622" w:type="pct"/>
            <w:noWrap/>
          </w:tcPr>
          <w:p w14:paraId="746A146C">
            <w:pPr>
              <w:jc w:val="center"/>
              <w:rPr>
                <w:b/>
                <w:bCs/>
                <w:color w:val="000000"/>
                <w:sz w:val="21"/>
                <w:szCs w:val="21"/>
                <w:vertAlign w:val="superscript"/>
              </w:rPr>
            </w:pPr>
            <w:r>
              <w:rPr>
                <w:b/>
                <w:bCs/>
                <w:color w:val="000000"/>
                <w:sz w:val="21"/>
                <w:szCs w:val="21"/>
              </w:rPr>
              <w:t>筛选期</w:t>
            </w:r>
            <w:r>
              <w:rPr>
                <w:b/>
                <w:bCs/>
                <w:color w:val="000000"/>
                <w:sz w:val="21"/>
                <w:szCs w:val="21"/>
                <w:vertAlign w:val="superscript"/>
              </w:rPr>
              <w:t>1</w:t>
            </w:r>
          </w:p>
        </w:tc>
        <w:tc>
          <w:tcPr>
            <w:tcW w:w="495" w:type="pct"/>
            <w:noWrap/>
          </w:tcPr>
          <w:p w14:paraId="249E66A0">
            <w:pPr>
              <w:jc w:val="center"/>
              <w:rPr>
                <w:b/>
                <w:bCs/>
                <w:color w:val="000000"/>
                <w:sz w:val="21"/>
                <w:szCs w:val="21"/>
              </w:rPr>
            </w:pPr>
            <w:r>
              <w:rPr>
                <w:b/>
                <w:bCs/>
                <w:color w:val="000000"/>
                <w:sz w:val="21"/>
                <w:szCs w:val="21"/>
              </w:rPr>
              <w:t>检查期</w:t>
            </w:r>
          </w:p>
        </w:tc>
        <w:tc>
          <w:tcPr>
            <w:tcW w:w="2792" w:type="pct"/>
            <w:gridSpan w:val="4"/>
          </w:tcPr>
          <w:p w14:paraId="6BD3D779">
            <w:pPr>
              <w:jc w:val="center"/>
              <w:rPr>
                <w:b/>
                <w:bCs/>
                <w:color w:val="000000"/>
                <w:sz w:val="21"/>
                <w:szCs w:val="21"/>
              </w:rPr>
            </w:pPr>
            <w:r>
              <w:rPr>
                <w:b/>
                <w:bCs/>
                <w:color w:val="000000"/>
                <w:sz w:val="21"/>
                <w:szCs w:val="21"/>
              </w:rPr>
              <w:t>随访期</w:t>
            </w:r>
          </w:p>
        </w:tc>
      </w:tr>
      <w:tr w14:paraId="5127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1090" w:type="pct"/>
            <w:noWrap/>
          </w:tcPr>
          <w:p w14:paraId="08CB6A45">
            <w:pPr>
              <w:jc w:val="center"/>
              <w:rPr>
                <w:color w:val="000000"/>
                <w:sz w:val="21"/>
                <w:szCs w:val="21"/>
              </w:rPr>
            </w:pPr>
            <w:r>
              <w:rPr>
                <w:color w:val="000000"/>
                <w:sz w:val="21"/>
                <w:szCs w:val="21"/>
              </w:rPr>
              <w:t>访视点</w:t>
            </w:r>
          </w:p>
        </w:tc>
        <w:tc>
          <w:tcPr>
            <w:tcW w:w="622" w:type="pct"/>
            <w:noWrap/>
          </w:tcPr>
          <w:p w14:paraId="7EB880C6">
            <w:pPr>
              <w:jc w:val="center"/>
              <w:rPr>
                <w:color w:val="000000"/>
                <w:sz w:val="21"/>
                <w:szCs w:val="21"/>
              </w:rPr>
            </w:pPr>
            <w:r>
              <w:rPr>
                <w:color w:val="000000"/>
                <w:sz w:val="21"/>
                <w:szCs w:val="21"/>
              </w:rPr>
              <w:t>V1</w:t>
            </w:r>
          </w:p>
        </w:tc>
        <w:tc>
          <w:tcPr>
            <w:tcW w:w="495" w:type="pct"/>
            <w:noWrap/>
          </w:tcPr>
          <w:p w14:paraId="0731367A">
            <w:pPr>
              <w:jc w:val="center"/>
              <w:rPr>
                <w:color w:val="000000"/>
                <w:sz w:val="21"/>
                <w:szCs w:val="21"/>
              </w:rPr>
            </w:pPr>
            <w:r>
              <w:rPr>
                <w:color w:val="000000"/>
                <w:sz w:val="21"/>
                <w:szCs w:val="21"/>
              </w:rPr>
              <w:t>V2</w:t>
            </w:r>
          </w:p>
        </w:tc>
        <w:tc>
          <w:tcPr>
            <w:tcW w:w="809" w:type="pct"/>
          </w:tcPr>
          <w:p w14:paraId="06039441">
            <w:pPr>
              <w:jc w:val="center"/>
              <w:rPr>
                <w:color w:val="000000"/>
                <w:sz w:val="21"/>
                <w:szCs w:val="21"/>
              </w:rPr>
            </w:pPr>
            <w:r>
              <w:rPr>
                <w:color w:val="000000"/>
                <w:sz w:val="21"/>
                <w:szCs w:val="21"/>
              </w:rPr>
              <w:t>V3</w:t>
            </w:r>
            <w:r>
              <w:rPr>
                <w:color w:val="000000"/>
                <w:sz w:val="21"/>
                <w:szCs w:val="21"/>
                <w:vertAlign w:val="superscript"/>
              </w:rPr>
              <w:t>11</w:t>
            </w:r>
          </w:p>
          <w:p w14:paraId="525B425A">
            <w:pPr>
              <w:jc w:val="center"/>
              <w:rPr>
                <w:color w:val="000000"/>
                <w:sz w:val="21"/>
                <w:szCs w:val="21"/>
              </w:rPr>
            </w:pPr>
            <w:r>
              <w:rPr>
                <w:color w:val="000000"/>
                <w:sz w:val="21"/>
                <w:szCs w:val="21"/>
              </w:rPr>
              <w:t>（安全性随访）</w:t>
            </w:r>
          </w:p>
        </w:tc>
        <w:tc>
          <w:tcPr>
            <w:tcW w:w="1983" w:type="pct"/>
            <w:gridSpan w:val="3"/>
          </w:tcPr>
          <w:p w14:paraId="120D4E24">
            <w:pPr>
              <w:jc w:val="center"/>
              <w:rPr>
                <w:color w:val="000000"/>
                <w:sz w:val="21"/>
                <w:szCs w:val="21"/>
              </w:rPr>
            </w:pPr>
            <w:r>
              <w:rPr>
                <w:color w:val="000000"/>
                <w:sz w:val="21"/>
                <w:szCs w:val="21"/>
              </w:rPr>
              <w:t>V4</w:t>
            </w:r>
          </w:p>
          <w:p w14:paraId="237B6D95">
            <w:pPr>
              <w:jc w:val="center"/>
              <w:rPr>
                <w:color w:val="000000"/>
                <w:sz w:val="21"/>
                <w:szCs w:val="21"/>
              </w:rPr>
            </w:pPr>
            <w:r>
              <w:rPr>
                <w:color w:val="000000"/>
                <w:sz w:val="21"/>
                <w:szCs w:val="21"/>
              </w:rPr>
              <w:t>（有效性随访）</w:t>
            </w:r>
          </w:p>
        </w:tc>
      </w:tr>
      <w:tr w14:paraId="09DE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7ABBCFC9">
            <w:pPr>
              <w:jc w:val="center"/>
              <w:rPr>
                <w:color w:val="000000"/>
                <w:sz w:val="21"/>
                <w:szCs w:val="21"/>
              </w:rPr>
            </w:pPr>
            <w:r>
              <w:rPr>
                <w:color w:val="000000"/>
                <w:sz w:val="21"/>
                <w:szCs w:val="21"/>
              </w:rPr>
              <w:t>访视时间</w:t>
            </w:r>
          </w:p>
        </w:tc>
        <w:tc>
          <w:tcPr>
            <w:tcW w:w="622" w:type="pct"/>
            <w:noWrap/>
          </w:tcPr>
          <w:p w14:paraId="121F41BE">
            <w:pPr>
              <w:jc w:val="center"/>
              <w:rPr>
                <w:color w:val="000000"/>
                <w:sz w:val="21"/>
                <w:szCs w:val="21"/>
              </w:rPr>
            </w:pPr>
            <w:r>
              <w:rPr>
                <w:color w:val="000000"/>
                <w:sz w:val="21"/>
                <w:szCs w:val="21"/>
              </w:rPr>
              <w:t>D-30~D-1</w:t>
            </w:r>
          </w:p>
        </w:tc>
        <w:tc>
          <w:tcPr>
            <w:tcW w:w="495" w:type="pct"/>
            <w:noWrap/>
          </w:tcPr>
          <w:p w14:paraId="5429C2E8">
            <w:pPr>
              <w:jc w:val="center"/>
              <w:rPr>
                <w:color w:val="000000"/>
                <w:sz w:val="21"/>
                <w:szCs w:val="21"/>
              </w:rPr>
            </w:pPr>
            <w:r>
              <w:rPr>
                <w:color w:val="000000"/>
                <w:sz w:val="21"/>
                <w:szCs w:val="21"/>
              </w:rPr>
              <w:t>D1</w:t>
            </w:r>
          </w:p>
        </w:tc>
        <w:tc>
          <w:tcPr>
            <w:tcW w:w="809" w:type="pct"/>
            <w:noWrap/>
          </w:tcPr>
          <w:p w14:paraId="6127108D">
            <w:pPr>
              <w:jc w:val="center"/>
              <w:rPr>
                <w:color w:val="000000"/>
                <w:sz w:val="21"/>
                <w:szCs w:val="21"/>
              </w:rPr>
            </w:pPr>
            <w:r>
              <w:rPr>
                <w:color w:val="000000"/>
                <w:sz w:val="21"/>
                <w:szCs w:val="21"/>
              </w:rPr>
              <w:t>D2~7</w:t>
            </w:r>
          </w:p>
        </w:tc>
        <w:tc>
          <w:tcPr>
            <w:tcW w:w="616" w:type="pct"/>
          </w:tcPr>
          <w:p w14:paraId="32B2DBFF">
            <w:pPr>
              <w:jc w:val="center"/>
              <w:rPr>
                <w:color w:val="000000"/>
                <w:sz w:val="21"/>
                <w:szCs w:val="21"/>
              </w:rPr>
            </w:pPr>
            <w:r>
              <w:rPr>
                <w:color w:val="000000"/>
                <w:sz w:val="21"/>
                <w:szCs w:val="21"/>
              </w:rPr>
              <w:t>D60±7</w:t>
            </w:r>
          </w:p>
        </w:tc>
        <w:tc>
          <w:tcPr>
            <w:tcW w:w="613" w:type="pct"/>
          </w:tcPr>
          <w:p w14:paraId="12AE9943">
            <w:pPr>
              <w:jc w:val="center"/>
              <w:rPr>
                <w:color w:val="000000"/>
                <w:sz w:val="21"/>
                <w:szCs w:val="21"/>
              </w:rPr>
            </w:pPr>
            <w:r>
              <w:rPr>
                <w:color w:val="000000"/>
                <w:sz w:val="21"/>
                <w:szCs w:val="21"/>
              </w:rPr>
              <w:t>D90±7</w:t>
            </w:r>
            <w:r>
              <w:rPr>
                <w:rFonts w:hint="eastAsia"/>
                <w:color w:val="000000"/>
                <w:sz w:val="21"/>
                <w:szCs w:val="21"/>
              </w:rPr>
              <w:t>或开始局部/系统治疗前</w:t>
            </w:r>
          </w:p>
        </w:tc>
        <w:tc>
          <w:tcPr>
            <w:tcW w:w="754" w:type="pct"/>
          </w:tcPr>
          <w:p w14:paraId="4F3A47BA">
            <w:pPr>
              <w:jc w:val="center"/>
              <w:rPr>
                <w:color w:val="000000"/>
                <w:sz w:val="21"/>
                <w:szCs w:val="21"/>
              </w:rPr>
            </w:pPr>
            <w:r>
              <w:rPr>
                <w:color w:val="000000"/>
                <w:sz w:val="21"/>
                <w:szCs w:val="21"/>
              </w:rPr>
              <w:t>给药后3~12月</w:t>
            </w:r>
          </w:p>
        </w:tc>
      </w:tr>
      <w:tr w14:paraId="786D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37FDA827">
            <w:pPr>
              <w:jc w:val="center"/>
              <w:rPr>
                <w:color w:val="000000"/>
                <w:sz w:val="21"/>
                <w:szCs w:val="21"/>
                <w:vertAlign w:val="superscript"/>
              </w:rPr>
            </w:pPr>
            <w:r>
              <w:rPr>
                <w:color w:val="000000"/>
                <w:sz w:val="21"/>
                <w:szCs w:val="21"/>
              </w:rPr>
              <w:t>知情同意书</w:t>
            </w:r>
            <w:r>
              <w:rPr>
                <w:color w:val="000000"/>
                <w:sz w:val="21"/>
                <w:szCs w:val="21"/>
                <w:vertAlign w:val="superscript"/>
              </w:rPr>
              <w:t>2</w:t>
            </w:r>
          </w:p>
        </w:tc>
        <w:tc>
          <w:tcPr>
            <w:tcW w:w="622" w:type="pct"/>
            <w:noWrap/>
          </w:tcPr>
          <w:p w14:paraId="1928C3AD">
            <w:pPr>
              <w:jc w:val="center"/>
              <w:rPr>
                <w:color w:val="000000"/>
                <w:sz w:val="21"/>
                <w:szCs w:val="21"/>
              </w:rPr>
            </w:pPr>
            <w:r>
              <w:rPr>
                <w:color w:val="000000"/>
                <w:sz w:val="21"/>
                <w:szCs w:val="21"/>
              </w:rPr>
              <w:t>X</w:t>
            </w:r>
          </w:p>
        </w:tc>
        <w:tc>
          <w:tcPr>
            <w:tcW w:w="495" w:type="pct"/>
            <w:noWrap/>
          </w:tcPr>
          <w:p w14:paraId="4BE77FB7">
            <w:pPr>
              <w:jc w:val="center"/>
              <w:rPr>
                <w:color w:val="000000"/>
                <w:sz w:val="21"/>
                <w:szCs w:val="21"/>
              </w:rPr>
            </w:pPr>
          </w:p>
        </w:tc>
        <w:tc>
          <w:tcPr>
            <w:tcW w:w="809" w:type="pct"/>
            <w:noWrap/>
          </w:tcPr>
          <w:p w14:paraId="0B1B6E58">
            <w:pPr>
              <w:jc w:val="center"/>
              <w:rPr>
                <w:color w:val="000000"/>
                <w:sz w:val="21"/>
                <w:szCs w:val="21"/>
              </w:rPr>
            </w:pPr>
          </w:p>
        </w:tc>
        <w:tc>
          <w:tcPr>
            <w:tcW w:w="616" w:type="pct"/>
          </w:tcPr>
          <w:p w14:paraId="3664D7CC">
            <w:pPr>
              <w:jc w:val="center"/>
              <w:rPr>
                <w:color w:val="000000"/>
                <w:sz w:val="21"/>
                <w:szCs w:val="21"/>
              </w:rPr>
            </w:pPr>
          </w:p>
        </w:tc>
        <w:tc>
          <w:tcPr>
            <w:tcW w:w="613" w:type="pct"/>
          </w:tcPr>
          <w:p w14:paraId="55B77EEE">
            <w:pPr>
              <w:jc w:val="center"/>
              <w:rPr>
                <w:color w:val="000000"/>
                <w:sz w:val="21"/>
                <w:szCs w:val="21"/>
              </w:rPr>
            </w:pPr>
          </w:p>
        </w:tc>
        <w:tc>
          <w:tcPr>
            <w:tcW w:w="754" w:type="pct"/>
          </w:tcPr>
          <w:p w14:paraId="7B8D57C9">
            <w:pPr>
              <w:jc w:val="center"/>
              <w:rPr>
                <w:color w:val="000000"/>
                <w:sz w:val="21"/>
                <w:szCs w:val="21"/>
              </w:rPr>
            </w:pPr>
          </w:p>
        </w:tc>
      </w:tr>
      <w:tr w14:paraId="3E08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219430CD">
            <w:pPr>
              <w:jc w:val="center"/>
              <w:rPr>
                <w:color w:val="000000"/>
                <w:sz w:val="21"/>
                <w:szCs w:val="21"/>
              </w:rPr>
            </w:pPr>
            <w:r>
              <w:rPr>
                <w:color w:val="000000"/>
                <w:sz w:val="21"/>
                <w:szCs w:val="21"/>
              </w:rPr>
              <w:t>入排标准</w:t>
            </w:r>
          </w:p>
        </w:tc>
        <w:tc>
          <w:tcPr>
            <w:tcW w:w="622" w:type="pct"/>
            <w:noWrap/>
          </w:tcPr>
          <w:p w14:paraId="4D20FB6B">
            <w:pPr>
              <w:jc w:val="center"/>
              <w:rPr>
                <w:color w:val="000000"/>
                <w:sz w:val="21"/>
                <w:szCs w:val="21"/>
              </w:rPr>
            </w:pPr>
            <w:r>
              <w:rPr>
                <w:color w:val="000000"/>
                <w:sz w:val="21"/>
                <w:szCs w:val="21"/>
              </w:rPr>
              <w:t>X</w:t>
            </w:r>
          </w:p>
        </w:tc>
        <w:tc>
          <w:tcPr>
            <w:tcW w:w="495" w:type="pct"/>
            <w:noWrap/>
          </w:tcPr>
          <w:p w14:paraId="055A14A3">
            <w:pPr>
              <w:jc w:val="center"/>
              <w:rPr>
                <w:color w:val="000000"/>
                <w:sz w:val="21"/>
                <w:szCs w:val="21"/>
              </w:rPr>
            </w:pPr>
          </w:p>
        </w:tc>
        <w:tc>
          <w:tcPr>
            <w:tcW w:w="809" w:type="pct"/>
            <w:noWrap/>
          </w:tcPr>
          <w:p w14:paraId="6BD65FBE">
            <w:pPr>
              <w:jc w:val="center"/>
              <w:rPr>
                <w:color w:val="000000"/>
                <w:sz w:val="21"/>
                <w:szCs w:val="21"/>
              </w:rPr>
            </w:pPr>
          </w:p>
        </w:tc>
        <w:tc>
          <w:tcPr>
            <w:tcW w:w="616" w:type="pct"/>
          </w:tcPr>
          <w:p w14:paraId="1A23F483">
            <w:pPr>
              <w:jc w:val="center"/>
              <w:rPr>
                <w:color w:val="000000"/>
                <w:sz w:val="21"/>
                <w:szCs w:val="21"/>
              </w:rPr>
            </w:pPr>
          </w:p>
        </w:tc>
        <w:tc>
          <w:tcPr>
            <w:tcW w:w="613" w:type="pct"/>
          </w:tcPr>
          <w:p w14:paraId="7067FC0F">
            <w:pPr>
              <w:jc w:val="center"/>
              <w:rPr>
                <w:color w:val="000000"/>
                <w:sz w:val="21"/>
                <w:szCs w:val="21"/>
              </w:rPr>
            </w:pPr>
          </w:p>
        </w:tc>
        <w:tc>
          <w:tcPr>
            <w:tcW w:w="754" w:type="pct"/>
          </w:tcPr>
          <w:p w14:paraId="603DCDAC">
            <w:pPr>
              <w:jc w:val="center"/>
              <w:rPr>
                <w:color w:val="000000"/>
                <w:sz w:val="21"/>
                <w:szCs w:val="21"/>
              </w:rPr>
            </w:pPr>
          </w:p>
        </w:tc>
      </w:tr>
      <w:tr w14:paraId="028B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5BBFA8C8">
            <w:pPr>
              <w:jc w:val="center"/>
              <w:rPr>
                <w:color w:val="000000"/>
                <w:sz w:val="21"/>
                <w:szCs w:val="21"/>
                <w:vertAlign w:val="superscript"/>
              </w:rPr>
            </w:pPr>
            <w:r>
              <w:rPr>
                <w:color w:val="000000"/>
                <w:sz w:val="21"/>
                <w:szCs w:val="21"/>
              </w:rPr>
              <w:t>人口学资料</w:t>
            </w:r>
            <w:r>
              <w:rPr>
                <w:color w:val="000000"/>
                <w:sz w:val="21"/>
                <w:szCs w:val="21"/>
                <w:vertAlign w:val="superscript"/>
              </w:rPr>
              <w:t>3</w:t>
            </w:r>
          </w:p>
        </w:tc>
        <w:tc>
          <w:tcPr>
            <w:tcW w:w="622" w:type="pct"/>
            <w:noWrap/>
          </w:tcPr>
          <w:p w14:paraId="62BAF71E">
            <w:pPr>
              <w:jc w:val="center"/>
              <w:rPr>
                <w:color w:val="000000"/>
                <w:sz w:val="21"/>
                <w:szCs w:val="21"/>
              </w:rPr>
            </w:pPr>
            <w:r>
              <w:rPr>
                <w:color w:val="000000"/>
                <w:sz w:val="21"/>
                <w:szCs w:val="21"/>
              </w:rPr>
              <w:t>X</w:t>
            </w:r>
          </w:p>
        </w:tc>
        <w:tc>
          <w:tcPr>
            <w:tcW w:w="495" w:type="pct"/>
            <w:noWrap/>
          </w:tcPr>
          <w:p w14:paraId="39A71A68">
            <w:pPr>
              <w:jc w:val="center"/>
              <w:rPr>
                <w:color w:val="000000"/>
                <w:sz w:val="21"/>
                <w:szCs w:val="21"/>
              </w:rPr>
            </w:pPr>
          </w:p>
        </w:tc>
        <w:tc>
          <w:tcPr>
            <w:tcW w:w="809" w:type="pct"/>
            <w:noWrap/>
          </w:tcPr>
          <w:p w14:paraId="5AACDFD2">
            <w:pPr>
              <w:jc w:val="center"/>
              <w:rPr>
                <w:color w:val="000000"/>
                <w:sz w:val="21"/>
                <w:szCs w:val="21"/>
              </w:rPr>
            </w:pPr>
          </w:p>
        </w:tc>
        <w:tc>
          <w:tcPr>
            <w:tcW w:w="616" w:type="pct"/>
          </w:tcPr>
          <w:p w14:paraId="3513658A">
            <w:pPr>
              <w:jc w:val="center"/>
              <w:rPr>
                <w:color w:val="000000"/>
                <w:sz w:val="21"/>
                <w:szCs w:val="21"/>
              </w:rPr>
            </w:pPr>
          </w:p>
        </w:tc>
        <w:tc>
          <w:tcPr>
            <w:tcW w:w="613" w:type="pct"/>
          </w:tcPr>
          <w:p w14:paraId="442B2856">
            <w:pPr>
              <w:jc w:val="center"/>
              <w:rPr>
                <w:color w:val="000000"/>
                <w:sz w:val="21"/>
                <w:szCs w:val="21"/>
              </w:rPr>
            </w:pPr>
          </w:p>
        </w:tc>
        <w:tc>
          <w:tcPr>
            <w:tcW w:w="754" w:type="pct"/>
          </w:tcPr>
          <w:p w14:paraId="46B756D7">
            <w:pPr>
              <w:jc w:val="center"/>
              <w:rPr>
                <w:color w:val="000000"/>
                <w:sz w:val="21"/>
                <w:szCs w:val="21"/>
              </w:rPr>
            </w:pPr>
          </w:p>
        </w:tc>
      </w:tr>
      <w:tr w14:paraId="00651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34955373">
            <w:pPr>
              <w:jc w:val="center"/>
              <w:rPr>
                <w:color w:val="000000"/>
                <w:sz w:val="21"/>
                <w:szCs w:val="21"/>
              </w:rPr>
            </w:pPr>
            <w:r>
              <w:rPr>
                <w:color w:val="000000"/>
                <w:sz w:val="21"/>
                <w:szCs w:val="21"/>
              </w:rPr>
              <w:t>病史/个人史</w:t>
            </w:r>
            <w:r>
              <w:rPr>
                <w:color w:val="000000"/>
                <w:sz w:val="21"/>
                <w:szCs w:val="21"/>
                <w:vertAlign w:val="superscript"/>
              </w:rPr>
              <w:t>4</w:t>
            </w:r>
          </w:p>
        </w:tc>
        <w:tc>
          <w:tcPr>
            <w:tcW w:w="622" w:type="pct"/>
            <w:noWrap/>
          </w:tcPr>
          <w:p w14:paraId="5FAF3D11">
            <w:pPr>
              <w:jc w:val="center"/>
              <w:rPr>
                <w:color w:val="000000"/>
                <w:sz w:val="21"/>
                <w:szCs w:val="21"/>
              </w:rPr>
            </w:pPr>
            <w:r>
              <w:rPr>
                <w:color w:val="000000"/>
                <w:sz w:val="21"/>
                <w:szCs w:val="21"/>
              </w:rPr>
              <w:t>X</w:t>
            </w:r>
          </w:p>
        </w:tc>
        <w:tc>
          <w:tcPr>
            <w:tcW w:w="495" w:type="pct"/>
            <w:noWrap/>
          </w:tcPr>
          <w:p w14:paraId="60C6A14C">
            <w:pPr>
              <w:jc w:val="center"/>
              <w:rPr>
                <w:color w:val="000000"/>
                <w:sz w:val="21"/>
                <w:szCs w:val="21"/>
              </w:rPr>
            </w:pPr>
          </w:p>
        </w:tc>
        <w:tc>
          <w:tcPr>
            <w:tcW w:w="809" w:type="pct"/>
            <w:noWrap/>
          </w:tcPr>
          <w:p w14:paraId="3F26BE92">
            <w:pPr>
              <w:jc w:val="center"/>
              <w:rPr>
                <w:color w:val="000000"/>
                <w:sz w:val="21"/>
                <w:szCs w:val="21"/>
              </w:rPr>
            </w:pPr>
          </w:p>
        </w:tc>
        <w:tc>
          <w:tcPr>
            <w:tcW w:w="616" w:type="pct"/>
          </w:tcPr>
          <w:p w14:paraId="4C69B856">
            <w:pPr>
              <w:jc w:val="center"/>
              <w:rPr>
                <w:color w:val="000000"/>
                <w:sz w:val="21"/>
                <w:szCs w:val="21"/>
              </w:rPr>
            </w:pPr>
          </w:p>
        </w:tc>
        <w:tc>
          <w:tcPr>
            <w:tcW w:w="613" w:type="pct"/>
          </w:tcPr>
          <w:p w14:paraId="0ED19828">
            <w:pPr>
              <w:jc w:val="center"/>
              <w:rPr>
                <w:color w:val="000000"/>
                <w:sz w:val="21"/>
                <w:szCs w:val="21"/>
              </w:rPr>
            </w:pPr>
          </w:p>
        </w:tc>
        <w:tc>
          <w:tcPr>
            <w:tcW w:w="754" w:type="pct"/>
          </w:tcPr>
          <w:p w14:paraId="19C6F300">
            <w:pPr>
              <w:jc w:val="center"/>
              <w:rPr>
                <w:color w:val="000000"/>
                <w:sz w:val="21"/>
                <w:szCs w:val="21"/>
              </w:rPr>
            </w:pPr>
          </w:p>
        </w:tc>
      </w:tr>
      <w:tr w14:paraId="7C7F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40456553">
            <w:pPr>
              <w:jc w:val="center"/>
              <w:rPr>
                <w:color w:val="000000"/>
                <w:sz w:val="21"/>
                <w:szCs w:val="21"/>
              </w:rPr>
            </w:pPr>
            <w:r>
              <w:rPr>
                <w:color w:val="000000"/>
                <w:sz w:val="21"/>
                <w:szCs w:val="21"/>
              </w:rPr>
              <w:t>身高、体重</w:t>
            </w:r>
          </w:p>
        </w:tc>
        <w:tc>
          <w:tcPr>
            <w:tcW w:w="622" w:type="pct"/>
            <w:noWrap/>
          </w:tcPr>
          <w:p w14:paraId="414CF5F9">
            <w:pPr>
              <w:jc w:val="center"/>
              <w:rPr>
                <w:color w:val="000000"/>
                <w:sz w:val="21"/>
                <w:szCs w:val="21"/>
              </w:rPr>
            </w:pPr>
            <w:r>
              <w:rPr>
                <w:color w:val="000000"/>
                <w:sz w:val="21"/>
                <w:szCs w:val="21"/>
              </w:rPr>
              <w:t>X</w:t>
            </w:r>
          </w:p>
        </w:tc>
        <w:tc>
          <w:tcPr>
            <w:tcW w:w="495" w:type="pct"/>
            <w:noWrap/>
          </w:tcPr>
          <w:p w14:paraId="40852AFF">
            <w:pPr>
              <w:jc w:val="center"/>
              <w:rPr>
                <w:color w:val="000000"/>
                <w:sz w:val="21"/>
                <w:szCs w:val="21"/>
              </w:rPr>
            </w:pPr>
          </w:p>
        </w:tc>
        <w:tc>
          <w:tcPr>
            <w:tcW w:w="809" w:type="pct"/>
            <w:noWrap/>
          </w:tcPr>
          <w:p w14:paraId="4FCF54CC">
            <w:pPr>
              <w:jc w:val="center"/>
              <w:rPr>
                <w:color w:val="000000"/>
                <w:sz w:val="21"/>
                <w:szCs w:val="21"/>
              </w:rPr>
            </w:pPr>
          </w:p>
        </w:tc>
        <w:tc>
          <w:tcPr>
            <w:tcW w:w="616" w:type="pct"/>
          </w:tcPr>
          <w:p w14:paraId="5FF4FFFB">
            <w:pPr>
              <w:jc w:val="center"/>
              <w:rPr>
                <w:color w:val="000000"/>
                <w:sz w:val="21"/>
                <w:szCs w:val="21"/>
              </w:rPr>
            </w:pPr>
          </w:p>
        </w:tc>
        <w:tc>
          <w:tcPr>
            <w:tcW w:w="613" w:type="pct"/>
          </w:tcPr>
          <w:p w14:paraId="550D3346">
            <w:pPr>
              <w:jc w:val="center"/>
              <w:rPr>
                <w:color w:val="000000"/>
                <w:sz w:val="21"/>
                <w:szCs w:val="21"/>
              </w:rPr>
            </w:pPr>
          </w:p>
        </w:tc>
        <w:tc>
          <w:tcPr>
            <w:tcW w:w="754" w:type="pct"/>
          </w:tcPr>
          <w:p w14:paraId="7674DE44">
            <w:pPr>
              <w:jc w:val="center"/>
              <w:rPr>
                <w:color w:val="000000"/>
                <w:sz w:val="21"/>
                <w:szCs w:val="21"/>
              </w:rPr>
            </w:pPr>
          </w:p>
        </w:tc>
      </w:tr>
      <w:tr w14:paraId="1812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4E2B0233">
            <w:pPr>
              <w:jc w:val="center"/>
              <w:rPr>
                <w:color w:val="000000"/>
                <w:sz w:val="21"/>
                <w:szCs w:val="21"/>
                <w:vertAlign w:val="superscript"/>
              </w:rPr>
            </w:pPr>
            <w:r>
              <w:rPr>
                <w:color w:val="000000"/>
                <w:sz w:val="21"/>
                <w:szCs w:val="21"/>
              </w:rPr>
              <w:t>体格检查</w:t>
            </w:r>
            <w:r>
              <w:rPr>
                <w:color w:val="000000"/>
                <w:sz w:val="21"/>
                <w:szCs w:val="21"/>
                <w:vertAlign w:val="superscript"/>
              </w:rPr>
              <w:t>5</w:t>
            </w:r>
          </w:p>
        </w:tc>
        <w:tc>
          <w:tcPr>
            <w:tcW w:w="622" w:type="pct"/>
            <w:noWrap/>
          </w:tcPr>
          <w:p w14:paraId="63003AC3">
            <w:pPr>
              <w:jc w:val="center"/>
              <w:rPr>
                <w:color w:val="000000"/>
                <w:sz w:val="21"/>
                <w:szCs w:val="21"/>
              </w:rPr>
            </w:pPr>
            <w:r>
              <w:rPr>
                <w:color w:val="000000"/>
                <w:sz w:val="21"/>
                <w:szCs w:val="21"/>
              </w:rPr>
              <w:t>X</w:t>
            </w:r>
          </w:p>
        </w:tc>
        <w:tc>
          <w:tcPr>
            <w:tcW w:w="495" w:type="pct"/>
            <w:noWrap/>
          </w:tcPr>
          <w:p w14:paraId="1ADB3BAF">
            <w:pPr>
              <w:jc w:val="center"/>
              <w:rPr>
                <w:color w:val="000000"/>
                <w:sz w:val="21"/>
                <w:szCs w:val="21"/>
              </w:rPr>
            </w:pPr>
          </w:p>
        </w:tc>
        <w:tc>
          <w:tcPr>
            <w:tcW w:w="809" w:type="pct"/>
            <w:noWrap/>
          </w:tcPr>
          <w:p w14:paraId="678D712D">
            <w:pPr>
              <w:jc w:val="center"/>
              <w:rPr>
                <w:color w:val="000000"/>
                <w:sz w:val="21"/>
                <w:szCs w:val="21"/>
              </w:rPr>
            </w:pPr>
            <w:r>
              <w:rPr>
                <w:color w:val="000000"/>
                <w:sz w:val="21"/>
                <w:szCs w:val="21"/>
              </w:rPr>
              <w:t>X</w:t>
            </w:r>
          </w:p>
        </w:tc>
        <w:tc>
          <w:tcPr>
            <w:tcW w:w="616" w:type="pct"/>
          </w:tcPr>
          <w:p w14:paraId="383BCBED">
            <w:pPr>
              <w:jc w:val="center"/>
              <w:rPr>
                <w:color w:val="000000"/>
                <w:sz w:val="21"/>
                <w:szCs w:val="21"/>
                <w:highlight w:val="yellow"/>
              </w:rPr>
            </w:pPr>
          </w:p>
        </w:tc>
        <w:tc>
          <w:tcPr>
            <w:tcW w:w="613" w:type="pct"/>
          </w:tcPr>
          <w:p w14:paraId="690B113F">
            <w:pPr>
              <w:jc w:val="center"/>
              <w:rPr>
                <w:color w:val="000000"/>
                <w:sz w:val="21"/>
                <w:szCs w:val="21"/>
                <w:highlight w:val="yellow"/>
              </w:rPr>
            </w:pPr>
          </w:p>
        </w:tc>
        <w:tc>
          <w:tcPr>
            <w:tcW w:w="754" w:type="pct"/>
          </w:tcPr>
          <w:p w14:paraId="68A18908">
            <w:pPr>
              <w:jc w:val="center"/>
              <w:rPr>
                <w:color w:val="000000"/>
                <w:sz w:val="21"/>
                <w:szCs w:val="21"/>
                <w:highlight w:val="yellow"/>
              </w:rPr>
            </w:pPr>
          </w:p>
        </w:tc>
      </w:tr>
      <w:tr w14:paraId="59DFB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294F6CA8">
            <w:pPr>
              <w:jc w:val="center"/>
              <w:rPr>
                <w:color w:val="000000"/>
                <w:sz w:val="21"/>
                <w:szCs w:val="21"/>
                <w:vertAlign w:val="superscript"/>
              </w:rPr>
            </w:pPr>
            <w:r>
              <w:rPr>
                <w:color w:val="000000"/>
                <w:sz w:val="21"/>
                <w:szCs w:val="21"/>
              </w:rPr>
              <w:t>生命体征</w:t>
            </w:r>
            <w:r>
              <w:rPr>
                <w:color w:val="000000"/>
                <w:sz w:val="21"/>
                <w:szCs w:val="21"/>
                <w:vertAlign w:val="superscript"/>
              </w:rPr>
              <w:t>6</w:t>
            </w:r>
          </w:p>
        </w:tc>
        <w:tc>
          <w:tcPr>
            <w:tcW w:w="622" w:type="pct"/>
            <w:noWrap/>
          </w:tcPr>
          <w:p w14:paraId="67084112">
            <w:pPr>
              <w:jc w:val="center"/>
              <w:rPr>
                <w:color w:val="000000"/>
                <w:sz w:val="21"/>
                <w:szCs w:val="21"/>
              </w:rPr>
            </w:pPr>
            <w:r>
              <w:rPr>
                <w:color w:val="000000"/>
                <w:sz w:val="21"/>
                <w:szCs w:val="21"/>
              </w:rPr>
              <w:t>X</w:t>
            </w:r>
          </w:p>
        </w:tc>
        <w:tc>
          <w:tcPr>
            <w:tcW w:w="495" w:type="pct"/>
            <w:noWrap/>
          </w:tcPr>
          <w:p w14:paraId="42B539CA">
            <w:pPr>
              <w:jc w:val="center"/>
              <w:rPr>
                <w:color w:val="000000"/>
                <w:sz w:val="21"/>
                <w:szCs w:val="21"/>
              </w:rPr>
            </w:pPr>
            <w:r>
              <w:rPr>
                <w:color w:val="000000"/>
                <w:sz w:val="21"/>
                <w:szCs w:val="21"/>
              </w:rPr>
              <w:t>X</w:t>
            </w:r>
          </w:p>
        </w:tc>
        <w:tc>
          <w:tcPr>
            <w:tcW w:w="809" w:type="pct"/>
            <w:noWrap/>
          </w:tcPr>
          <w:p w14:paraId="3D76C397">
            <w:pPr>
              <w:jc w:val="center"/>
              <w:rPr>
                <w:color w:val="000000"/>
                <w:sz w:val="21"/>
                <w:szCs w:val="21"/>
              </w:rPr>
            </w:pPr>
            <w:r>
              <w:rPr>
                <w:color w:val="000000"/>
                <w:sz w:val="21"/>
                <w:szCs w:val="21"/>
              </w:rPr>
              <w:t>X</w:t>
            </w:r>
          </w:p>
        </w:tc>
        <w:tc>
          <w:tcPr>
            <w:tcW w:w="616" w:type="pct"/>
          </w:tcPr>
          <w:p w14:paraId="103A3D18">
            <w:pPr>
              <w:jc w:val="center"/>
              <w:rPr>
                <w:color w:val="000000"/>
                <w:sz w:val="21"/>
                <w:szCs w:val="21"/>
                <w:highlight w:val="yellow"/>
              </w:rPr>
            </w:pPr>
          </w:p>
        </w:tc>
        <w:tc>
          <w:tcPr>
            <w:tcW w:w="613" w:type="pct"/>
          </w:tcPr>
          <w:p w14:paraId="25466EE7">
            <w:pPr>
              <w:jc w:val="center"/>
              <w:rPr>
                <w:color w:val="000000"/>
                <w:sz w:val="21"/>
                <w:szCs w:val="21"/>
                <w:highlight w:val="yellow"/>
              </w:rPr>
            </w:pPr>
          </w:p>
        </w:tc>
        <w:tc>
          <w:tcPr>
            <w:tcW w:w="754" w:type="pct"/>
          </w:tcPr>
          <w:p w14:paraId="1A195BB4">
            <w:pPr>
              <w:jc w:val="center"/>
              <w:rPr>
                <w:color w:val="000000"/>
                <w:sz w:val="21"/>
                <w:szCs w:val="21"/>
                <w:highlight w:val="yellow"/>
              </w:rPr>
            </w:pPr>
          </w:p>
        </w:tc>
      </w:tr>
      <w:tr w14:paraId="4704E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90" w:type="pct"/>
            <w:noWrap/>
          </w:tcPr>
          <w:p w14:paraId="7748448B">
            <w:pPr>
              <w:jc w:val="center"/>
              <w:rPr>
                <w:color w:val="000000"/>
                <w:sz w:val="21"/>
                <w:szCs w:val="21"/>
              </w:rPr>
            </w:pPr>
            <w:r>
              <w:rPr>
                <w:color w:val="000000"/>
                <w:sz w:val="21"/>
                <w:szCs w:val="21"/>
              </w:rPr>
              <w:t>12导联心电图</w:t>
            </w:r>
          </w:p>
        </w:tc>
        <w:tc>
          <w:tcPr>
            <w:tcW w:w="622" w:type="pct"/>
            <w:noWrap/>
          </w:tcPr>
          <w:p w14:paraId="2A7A6F86">
            <w:pPr>
              <w:jc w:val="center"/>
              <w:rPr>
                <w:color w:val="000000"/>
                <w:sz w:val="21"/>
                <w:szCs w:val="21"/>
              </w:rPr>
            </w:pPr>
            <w:r>
              <w:rPr>
                <w:color w:val="000000"/>
                <w:sz w:val="21"/>
                <w:szCs w:val="21"/>
              </w:rPr>
              <w:t>X</w:t>
            </w:r>
          </w:p>
        </w:tc>
        <w:tc>
          <w:tcPr>
            <w:tcW w:w="495" w:type="pct"/>
            <w:noWrap/>
          </w:tcPr>
          <w:p w14:paraId="3615383B">
            <w:pPr>
              <w:jc w:val="center"/>
              <w:rPr>
                <w:color w:val="000000"/>
                <w:sz w:val="21"/>
                <w:szCs w:val="21"/>
              </w:rPr>
            </w:pPr>
          </w:p>
        </w:tc>
        <w:tc>
          <w:tcPr>
            <w:tcW w:w="809" w:type="pct"/>
            <w:noWrap/>
          </w:tcPr>
          <w:p w14:paraId="671AED06">
            <w:pPr>
              <w:jc w:val="center"/>
              <w:rPr>
                <w:color w:val="000000"/>
                <w:sz w:val="21"/>
                <w:szCs w:val="21"/>
              </w:rPr>
            </w:pPr>
            <w:r>
              <w:rPr>
                <w:color w:val="000000"/>
                <w:sz w:val="21"/>
                <w:szCs w:val="21"/>
              </w:rPr>
              <w:t>X</w:t>
            </w:r>
          </w:p>
        </w:tc>
        <w:tc>
          <w:tcPr>
            <w:tcW w:w="616" w:type="pct"/>
          </w:tcPr>
          <w:p w14:paraId="0F03E4DC">
            <w:pPr>
              <w:jc w:val="center"/>
              <w:rPr>
                <w:color w:val="000000"/>
                <w:sz w:val="21"/>
                <w:szCs w:val="21"/>
                <w:highlight w:val="yellow"/>
              </w:rPr>
            </w:pPr>
          </w:p>
        </w:tc>
        <w:tc>
          <w:tcPr>
            <w:tcW w:w="613" w:type="pct"/>
          </w:tcPr>
          <w:p w14:paraId="236F920F">
            <w:pPr>
              <w:jc w:val="center"/>
              <w:rPr>
                <w:color w:val="000000"/>
                <w:sz w:val="21"/>
                <w:szCs w:val="21"/>
                <w:highlight w:val="yellow"/>
              </w:rPr>
            </w:pPr>
          </w:p>
        </w:tc>
        <w:tc>
          <w:tcPr>
            <w:tcW w:w="754" w:type="pct"/>
          </w:tcPr>
          <w:p w14:paraId="0A42FD87">
            <w:pPr>
              <w:jc w:val="center"/>
              <w:rPr>
                <w:color w:val="000000"/>
                <w:sz w:val="21"/>
                <w:szCs w:val="21"/>
                <w:highlight w:val="yellow"/>
              </w:rPr>
            </w:pPr>
          </w:p>
        </w:tc>
      </w:tr>
      <w:tr w14:paraId="7166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212E6B15">
            <w:pPr>
              <w:jc w:val="center"/>
              <w:rPr>
                <w:color w:val="000000"/>
                <w:sz w:val="21"/>
                <w:szCs w:val="21"/>
              </w:rPr>
            </w:pPr>
            <w:r>
              <w:rPr>
                <w:color w:val="000000"/>
                <w:sz w:val="21"/>
                <w:szCs w:val="21"/>
              </w:rPr>
              <w:t>实验室检查</w:t>
            </w:r>
            <w:r>
              <w:rPr>
                <w:color w:val="000000"/>
                <w:sz w:val="21"/>
                <w:szCs w:val="21"/>
                <w:vertAlign w:val="superscript"/>
              </w:rPr>
              <w:t>7</w:t>
            </w:r>
          </w:p>
        </w:tc>
        <w:tc>
          <w:tcPr>
            <w:tcW w:w="622" w:type="pct"/>
            <w:noWrap/>
          </w:tcPr>
          <w:p w14:paraId="0CCED5DB">
            <w:pPr>
              <w:jc w:val="center"/>
              <w:rPr>
                <w:color w:val="000000"/>
                <w:sz w:val="21"/>
                <w:szCs w:val="21"/>
              </w:rPr>
            </w:pPr>
            <w:r>
              <w:rPr>
                <w:color w:val="000000"/>
                <w:sz w:val="21"/>
                <w:szCs w:val="21"/>
              </w:rPr>
              <w:t>X</w:t>
            </w:r>
          </w:p>
        </w:tc>
        <w:tc>
          <w:tcPr>
            <w:tcW w:w="495" w:type="pct"/>
            <w:noWrap/>
          </w:tcPr>
          <w:p w14:paraId="75EEE223">
            <w:pPr>
              <w:jc w:val="center"/>
              <w:rPr>
                <w:color w:val="000000"/>
                <w:sz w:val="21"/>
                <w:szCs w:val="21"/>
              </w:rPr>
            </w:pPr>
          </w:p>
        </w:tc>
        <w:tc>
          <w:tcPr>
            <w:tcW w:w="809" w:type="pct"/>
            <w:noWrap/>
          </w:tcPr>
          <w:p w14:paraId="68663FAA">
            <w:pPr>
              <w:jc w:val="center"/>
              <w:rPr>
                <w:color w:val="000000"/>
                <w:sz w:val="21"/>
                <w:szCs w:val="21"/>
              </w:rPr>
            </w:pPr>
            <w:r>
              <w:rPr>
                <w:color w:val="000000"/>
                <w:sz w:val="21"/>
                <w:szCs w:val="21"/>
              </w:rPr>
              <w:t>X</w:t>
            </w:r>
          </w:p>
        </w:tc>
        <w:tc>
          <w:tcPr>
            <w:tcW w:w="616" w:type="pct"/>
          </w:tcPr>
          <w:p w14:paraId="35A54CC7">
            <w:pPr>
              <w:jc w:val="center"/>
              <w:rPr>
                <w:color w:val="000000"/>
                <w:sz w:val="21"/>
                <w:szCs w:val="21"/>
              </w:rPr>
            </w:pPr>
          </w:p>
        </w:tc>
        <w:tc>
          <w:tcPr>
            <w:tcW w:w="613" w:type="pct"/>
          </w:tcPr>
          <w:p w14:paraId="217F36FA">
            <w:pPr>
              <w:jc w:val="center"/>
              <w:rPr>
                <w:color w:val="000000"/>
                <w:sz w:val="21"/>
                <w:szCs w:val="21"/>
              </w:rPr>
            </w:pPr>
          </w:p>
        </w:tc>
        <w:tc>
          <w:tcPr>
            <w:tcW w:w="754" w:type="pct"/>
          </w:tcPr>
          <w:p w14:paraId="286CCFA4">
            <w:pPr>
              <w:jc w:val="center"/>
              <w:rPr>
                <w:color w:val="000000"/>
                <w:sz w:val="21"/>
                <w:szCs w:val="21"/>
              </w:rPr>
            </w:pPr>
          </w:p>
        </w:tc>
      </w:tr>
      <w:tr w14:paraId="77A64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06C675D6">
            <w:pPr>
              <w:jc w:val="center"/>
              <w:rPr>
                <w:color w:val="000000"/>
                <w:sz w:val="21"/>
                <w:szCs w:val="21"/>
                <w:vertAlign w:val="superscript"/>
              </w:rPr>
            </w:pPr>
            <w:r>
              <w:rPr>
                <w:color w:val="000000"/>
                <w:sz w:val="21"/>
                <w:szCs w:val="21"/>
              </w:rPr>
              <w:t>凝血功能</w:t>
            </w:r>
          </w:p>
        </w:tc>
        <w:tc>
          <w:tcPr>
            <w:tcW w:w="622" w:type="pct"/>
            <w:noWrap/>
          </w:tcPr>
          <w:p w14:paraId="06A33909">
            <w:pPr>
              <w:jc w:val="center"/>
              <w:rPr>
                <w:color w:val="000000"/>
                <w:sz w:val="21"/>
                <w:szCs w:val="21"/>
              </w:rPr>
            </w:pPr>
            <w:r>
              <w:rPr>
                <w:color w:val="000000"/>
                <w:sz w:val="21"/>
                <w:szCs w:val="21"/>
              </w:rPr>
              <w:t>X</w:t>
            </w:r>
          </w:p>
        </w:tc>
        <w:tc>
          <w:tcPr>
            <w:tcW w:w="495" w:type="pct"/>
            <w:noWrap/>
          </w:tcPr>
          <w:p w14:paraId="3ECFBAC7">
            <w:pPr>
              <w:jc w:val="center"/>
              <w:rPr>
                <w:color w:val="000000"/>
                <w:sz w:val="21"/>
                <w:szCs w:val="21"/>
              </w:rPr>
            </w:pPr>
          </w:p>
        </w:tc>
        <w:tc>
          <w:tcPr>
            <w:tcW w:w="809" w:type="pct"/>
            <w:noWrap/>
          </w:tcPr>
          <w:p w14:paraId="423D3A16">
            <w:pPr>
              <w:jc w:val="center"/>
              <w:rPr>
                <w:color w:val="000000"/>
                <w:sz w:val="21"/>
                <w:szCs w:val="21"/>
              </w:rPr>
            </w:pPr>
          </w:p>
        </w:tc>
        <w:tc>
          <w:tcPr>
            <w:tcW w:w="616" w:type="pct"/>
          </w:tcPr>
          <w:p w14:paraId="41EA3702">
            <w:pPr>
              <w:jc w:val="center"/>
              <w:rPr>
                <w:color w:val="000000"/>
                <w:sz w:val="21"/>
                <w:szCs w:val="21"/>
              </w:rPr>
            </w:pPr>
          </w:p>
        </w:tc>
        <w:tc>
          <w:tcPr>
            <w:tcW w:w="613" w:type="pct"/>
          </w:tcPr>
          <w:p w14:paraId="514D1979">
            <w:pPr>
              <w:jc w:val="center"/>
              <w:rPr>
                <w:color w:val="000000"/>
                <w:sz w:val="21"/>
                <w:szCs w:val="21"/>
              </w:rPr>
            </w:pPr>
          </w:p>
        </w:tc>
        <w:tc>
          <w:tcPr>
            <w:tcW w:w="754" w:type="pct"/>
          </w:tcPr>
          <w:p w14:paraId="15D71751">
            <w:pPr>
              <w:jc w:val="center"/>
              <w:rPr>
                <w:color w:val="000000"/>
                <w:sz w:val="21"/>
                <w:szCs w:val="21"/>
              </w:rPr>
            </w:pPr>
          </w:p>
        </w:tc>
      </w:tr>
      <w:tr w14:paraId="77912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41395589">
            <w:pPr>
              <w:jc w:val="center"/>
              <w:rPr>
                <w:color w:val="000000"/>
                <w:sz w:val="21"/>
                <w:szCs w:val="21"/>
                <w:vertAlign w:val="superscript"/>
              </w:rPr>
            </w:pPr>
            <w:r>
              <w:rPr>
                <w:color w:val="000000"/>
                <w:sz w:val="21"/>
                <w:szCs w:val="21"/>
              </w:rPr>
              <w:t>病毒学检查</w:t>
            </w:r>
          </w:p>
        </w:tc>
        <w:tc>
          <w:tcPr>
            <w:tcW w:w="622" w:type="pct"/>
            <w:noWrap/>
          </w:tcPr>
          <w:p w14:paraId="4F933139">
            <w:pPr>
              <w:jc w:val="center"/>
              <w:rPr>
                <w:color w:val="000000"/>
                <w:sz w:val="21"/>
                <w:szCs w:val="21"/>
              </w:rPr>
            </w:pPr>
            <w:r>
              <w:rPr>
                <w:color w:val="000000"/>
                <w:sz w:val="21"/>
                <w:szCs w:val="21"/>
              </w:rPr>
              <w:t>X</w:t>
            </w:r>
          </w:p>
        </w:tc>
        <w:tc>
          <w:tcPr>
            <w:tcW w:w="495" w:type="pct"/>
            <w:noWrap/>
          </w:tcPr>
          <w:p w14:paraId="5CD44A59">
            <w:pPr>
              <w:jc w:val="center"/>
              <w:rPr>
                <w:color w:val="000000"/>
                <w:sz w:val="21"/>
                <w:szCs w:val="21"/>
              </w:rPr>
            </w:pPr>
          </w:p>
        </w:tc>
        <w:tc>
          <w:tcPr>
            <w:tcW w:w="809" w:type="pct"/>
            <w:noWrap/>
          </w:tcPr>
          <w:p w14:paraId="57350EB9">
            <w:pPr>
              <w:jc w:val="center"/>
              <w:rPr>
                <w:color w:val="000000"/>
                <w:sz w:val="21"/>
                <w:szCs w:val="21"/>
              </w:rPr>
            </w:pPr>
          </w:p>
        </w:tc>
        <w:tc>
          <w:tcPr>
            <w:tcW w:w="616" w:type="pct"/>
          </w:tcPr>
          <w:p w14:paraId="2982B99B">
            <w:pPr>
              <w:jc w:val="center"/>
              <w:rPr>
                <w:color w:val="000000"/>
                <w:sz w:val="21"/>
                <w:szCs w:val="21"/>
              </w:rPr>
            </w:pPr>
          </w:p>
        </w:tc>
        <w:tc>
          <w:tcPr>
            <w:tcW w:w="613" w:type="pct"/>
          </w:tcPr>
          <w:p w14:paraId="17174674">
            <w:pPr>
              <w:jc w:val="center"/>
              <w:rPr>
                <w:color w:val="000000"/>
                <w:sz w:val="21"/>
                <w:szCs w:val="21"/>
              </w:rPr>
            </w:pPr>
          </w:p>
        </w:tc>
        <w:tc>
          <w:tcPr>
            <w:tcW w:w="754" w:type="pct"/>
          </w:tcPr>
          <w:p w14:paraId="72F68D21">
            <w:pPr>
              <w:jc w:val="center"/>
              <w:rPr>
                <w:color w:val="000000"/>
                <w:sz w:val="21"/>
                <w:szCs w:val="21"/>
              </w:rPr>
            </w:pPr>
          </w:p>
        </w:tc>
      </w:tr>
      <w:tr w14:paraId="4E679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165E121F">
            <w:pPr>
              <w:jc w:val="center"/>
              <w:rPr>
                <w:color w:val="000000"/>
                <w:sz w:val="21"/>
                <w:szCs w:val="21"/>
              </w:rPr>
            </w:pPr>
            <w:r>
              <w:rPr>
                <w:color w:val="000000"/>
                <w:sz w:val="21"/>
                <w:szCs w:val="21"/>
              </w:rPr>
              <w:t>ECOG</w:t>
            </w:r>
            <w:r>
              <w:rPr>
                <w:color w:val="000000"/>
                <w:sz w:val="21"/>
                <w:szCs w:val="21"/>
              </w:rPr>
              <w:tab/>
            </w:r>
          </w:p>
        </w:tc>
        <w:tc>
          <w:tcPr>
            <w:tcW w:w="622" w:type="pct"/>
            <w:noWrap/>
          </w:tcPr>
          <w:p w14:paraId="31E9E762">
            <w:pPr>
              <w:jc w:val="center"/>
              <w:rPr>
                <w:color w:val="000000"/>
                <w:sz w:val="21"/>
                <w:szCs w:val="21"/>
              </w:rPr>
            </w:pPr>
            <w:r>
              <w:rPr>
                <w:color w:val="000000"/>
                <w:sz w:val="21"/>
                <w:szCs w:val="21"/>
              </w:rPr>
              <w:t>X</w:t>
            </w:r>
          </w:p>
        </w:tc>
        <w:tc>
          <w:tcPr>
            <w:tcW w:w="495" w:type="pct"/>
            <w:noWrap/>
          </w:tcPr>
          <w:p w14:paraId="755E7650">
            <w:pPr>
              <w:jc w:val="center"/>
              <w:rPr>
                <w:color w:val="000000"/>
                <w:sz w:val="21"/>
                <w:szCs w:val="21"/>
              </w:rPr>
            </w:pPr>
          </w:p>
        </w:tc>
        <w:tc>
          <w:tcPr>
            <w:tcW w:w="809" w:type="pct"/>
            <w:noWrap/>
          </w:tcPr>
          <w:p w14:paraId="43EDC17D">
            <w:pPr>
              <w:jc w:val="center"/>
              <w:rPr>
                <w:color w:val="000000"/>
                <w:sz w:val="21"/>
                <w:szCs w:val="21"/>
              </w:rPr>
            </w:pPr>
          </w:p>
        </w:tc>
        <w:tc>
          <w:tcPr>
            <w:tcW w:w="616" w:type="pct"/>
          </w:tcPr>
          <w:p w14:paraId="1324BDF1">
            <w:pPr>
              <w:jc w:val="center"/>
              <w:rPr>
                <w:color w:val="000000"/>
                <w:sz w:val="21"/>
                <w:szCs w:val="21"/>
              </w:rPr>
            </w:pPr>
          </w:p>
        </w:tc>
        <w:tc>
          <w:tcPr>
            <w:tcW w:w="613" w:type="pct"/>
          </w:tcPr>
          <w:p w14:paraId="03977EC0">
            <w:pPr>
              <w:jc w:val="center"/>
              <w:rPr>
                <w:color w:val="000000"/>
                <w:sz w:val="21"/>
                <w:szCs w:val="21"/>
              </w:rPr>
            </w:pPr>
          </w:p>
        </w:tc>
        <w:tc>
          <w:tcPr>
            <w:tcW w:w="754" w:type="pct"/>
          </w:tcPr>
          <w:p w14:paraId="65E64811">
            <w:pPr>
              <w:jc w:val="center"/>
              <w:rPr>
                <w:color w:val="000000"/>
                <w:sz w:val="21"/>
                <w:szCs w:val="21"/>
              </w:rPr>
            </w:pPr>
          </w:p>
        </w:tc>
      </w:tr>
      <w:tr w14:paraId="50C90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7704D282">
            <w:pPr>
              <w:jc w:val="center"/>
              <w:rPr>
                <w:color w:val="000000"/>
                <w:sz w:val="21"/>
                <w:szCs w:val="21"/>
              </w:rPr>
            </w:pPr>
            <w:r>
              <w:rPr>
                <w:color w:val="000000"/>
                <w:sz w:val="21"/>
                <w:szCs w:val="21"/>
              </w:rPr>
              <w:t>不良事件</w:t>
            </w:r>
          </w:p>
        </w:tc>
        <w:tc>
          <w:tcPr>
            <w:tcW w:w="622" w:type="pct"/>
            <w:noWrap/>
          </w:tcPr>
          <w:p w14:paraId="0F0CBFAA">
            <w:pPr>
              <w:jc w:val="center"/>
              <w:rPr>
                <w:color w:val="000000"/>
                <w:sz w:val="21"/>
                <w:szCs w:val="21"/>
              </w:rPr>
            </w:pPr>
            <w:r>
              <w:rPr>
                <w:color w:val="000000"/>
                <w:sz w:val="21"/>
                <w:szCs w:val="21"/>
              </w:rPr>
              <w:t>X</w:t>
            </w:r>
          </w:p>
        </w:tc>
        <w:tc>
          <w:tcPr>
            <w:tcW w:w="495" w:type="pct"/>
            <w:noWrap/>
          </w:tcPr>
          <w:p w14:paraId="772188BD">
            <w:pPr>
              <w:jc w:val="center"/>
              <w:rPr>
                <w:color w:val="000000"/>
                <w:sz w:val="21"/>
                <w:szCs w:val="21"/>
              </w:rPr>
            </w:pPr>
            <w:r>
              <w:rPr>
                <w:color w:val="000000"/>
                <w:sz w:val="21"/>
                <w:szCs w:val="21"/>
              </w:rPr>
              <w:t>X</w:t>
            </w:r>
          </w:p>
        </w:tc>
        <w:tc>
          <w:tcPr>
            <w:tcW w:w="809" w:type="pct"/>
            <w:noWrap/>
          </w:tcPr>
          <w:p w14:paraId="5C87AC66">
            <w:pPr>
              <w:jc w:val="center"/>
              <w:rPr>
                <w:color w:val="000000"/>
                <w:sz w:val="21"/>
                <w:szCs w:val="21"/>
              </w:rPr>
            </w:pPr>
            <w:r>
              <w:rPr>
                <w:color w:val="000000"/>
                <w:sz w:val="21"/>
                <w:szCs w:val="21"/>
              </w:rPr>
              <w:t>X</w:t>
            </w:r>
          </w:p>
        </w:tc>
        <w:tc>
          <w:tcPr>
            <w:tcW w:w="616" w:type="pct"/>
          </w:tcPr>
          <w:p w14:paraId="5BEDBB11">
            <w:pPr>
              <w:jc w:val="center"/>
              <w:rPr>
                <w:color w:val="000000"/>
                <w:sz w:val="21"/>
                <w:szCs w:val="21"/>
              </w:rPr>
            </w:pPr>
          </w:p>
        </w:tc>
        <w:tc>
          <w:tcPr>
            <w:tcW w:w="613" w:type="pct"/>
          </w:tcPr>
          <w:p w14:paraId="4A2E583D">
            <w:pPr>
              <w:jc w:val="center"/>
              <w:rPr>
                <w:color w:val="000000"/>
                <w:sz w:val="21"/>
                <w:szCs w:val="21"/>
              </w:rPr>
            </w:pPr>
          </w:p>
        </w:tc>
        <w:tc>
          <w:tcPr>
            <w:tcW w:w="754" w:type="pct"/>
          </w:tcPr>
          <w:p w14:paraId="6EFBE690">
            <w:pPr>
              <w:jc w:val="center"/>
              <w:rPr>
                <w:color w:val="000000"/>
                <w:sz w:val="21"/>
                <w:szCs w:val="21"/>
              </w:rPr>
            </w:pPr>
          </w:p>
        </w:tc>
      </w:tr>
      <w:tr w14:paraId="36FA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4B9D7D66">
            <w:pPr>
              <w:jc w:val="center"/>
              <w:rPr>
                <w:color w:val="000000"/>
                <w:sz w:val="21"/>
                <w:szCs w:val="21"/>
              </w:rPr>
            </w:pPr>
            <w:r>
              <w:rPr>
                <w:color w:val="000000"/>
                <w:sz w:val="21"/>
                <w:szCs w:val="21"/>
              </w:rPr>
              <w:t>合并用药/治疗记录</w:t>
            </w:r>
          </w:p>
        </w:tc>
        <w:tc>
          <w:tcPr>
            <w:tcW w:w="622" w:type="pct"/>
            <w:noWrap/>
          </w:tcPr>
          <w:p w14:paraId="73E07FD4">
            <w:pPr>
              <w:jc w:val="center"/>
              <w:rPr>
                <w:color w:val="000000"/>
                <w:sz w:val="21"/>
                <w:szCs w:val="21"/>
              </w:rPr>
            </w:pPr>
            <w:r>
              <w:rPr>
                <w:color w:val="000000"/>
                <w:sz w:val="21"/>
                <w:szCs w:val="21"/>
              </w:rPr>
              <w:t>X</w:t>
            </w:r>
          </w:p>
        </w:tc>
        <w:tc>
          <w:tcPr>
            <w:tcW w:w="495" w:type="pct"/>
            <w:noWrap/>
          </w:tcPr>
          <w:p w14:paraId="0694D6B0">
            <w:pPr>
              <w:jc w:val="center"/>
              <w:rPr>
                <w:color w:val="000000"/>
                <w:sz w:val="21"/>
                <w:szCs w:val="21"/>
              </w:rPr>
            </w:pPr>
            <w:r>
              <w:rPr>
                <w:color w:val="000000"/>
                <w:sz w:val="21"/>
                <w:szCs w:val="21"/>
              </w:rPr>
              <w:t>X</w:t>
            </w:r>
          </w:p>
        </w:tc>
        <w:tc>
          <w:tcPr>
            <w:tcW w:w="809" w:type="pct"/>
            <w:noWrap/>
          </w:tcPr>
          <w:p w14:paraId="16FCDC5B">
            <w:pPr>
              <w:jc w:val="center"/>
              <w:rPr>
                <w:color w:val="000000"/>
                <w:sz w:val="21"/>
                <w:szCs w:val="21"/>
              </w:rPr>
            </w:pPr>
            <w:r>
              <w:rPr>
                <w:color w:val="000000"/>
                <w:sz w:val="21"/>
                <w:szCs w:val="21"/>
              </w:rPr>
              <w:t>X</w:t>
            </w:r>
          </w:p>
        </w:tc>
        <w:tc>
          <w:tcPr>
            <w:tcW w:w="616" w:type="pct"/>
          </w:tcPr>
          <w:p w14:paraId="7D9E4E4B">
            <w:pPr>
              <w:jc w:val="center"/>
              <w:rPr>
                <w:color w:val="000000"/>
                <w:sz w:val="21"/>
                <w:szCs w:val="21"/>
              </w:rPr>
            </w:pPr>
            <w:r>
              <w:rPr>
                <w:color w:val="000000"/>
                <w:sz w:val="21"/>
                <w:szCs w:val="21"/>
              </w:rPr>
              <w:t>X</w:t>
            </w:r>
          </w:p>
        </w:tc>
        <w:tc>
          <w:tcPr>
            <w:tcW w:w="613" w:type="pct"/>
          </w:tcPr>
          <w:p w14:paraId="3D2E9F23">
            <w:pPr>
              <w:jc w:val="center"/>
              <w:rPr>
                <w:color w:val="000000"/>
                <w:sz w:val="21"/>
                <w:szCs w:val="21"/>
              </w:rPr>
            </w:pPr>
            <w:r>
              <w:rPr>
                <w:color w:val="000000"/>
                <w:sz w:val="21"/>
                <w:szCs w:val="21"/>
              </w:rPr>
              <w:t>X</w:t>
            </w:r>
          </w:p>
        </w:tc>
        <w:tc>
          <w:tcPr>
            <w:tcW w:w="754" w:type="pct"/>
          </w:tcPr>
          <w:p w14:paraId="409BE059">
            <w:pPr>
              <w:jc w:val="center"/>
              <w:rPr>
                <w:color w:val="000000"/>
                <w:sz w:val="21"/>
                <w:szCs w:val="21"/>
              </w:rPr>
            </w:pPr>
            <w:r>
              <w:rPr>
                <w:color w:val="000000"/>
                <w:sz w:val="21"/>
                <w:szCs w:val="21"/>
              </w:rPr>
              <w:t>X</w:t>
            </w:r>
          </w:p>
        </w:tc>
      </w:tr>
      <w:tr w14:paraId="7321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47D83E5E">
            <w:pPr>
              <w:jc w:val="center"/>
              <w:rPr>
                <w:color w:val="000000"/>
                <w:sz w:val="21"/>
                <w:szCs w:val="21"/>
              </w:rPr>
            </w:pPr>
            <w:r>
              <w:rPr>
                <w:color w:val="000000"/>
                <w:sz w:val="21"/>
                <w:szCs w:val="21"/>
              </w:rPr>
              <w:t>试验给药+PET/CT</w:t>
            </w:r>
          </w:p>
        </w:tc>
        <w:tc>
          <w:tcPr>
            <w:tcW w:w="622" w:type="pct"/>
            <w:noWrap/>
          </w:tcPr>
          <w:p w14:paraId="4DDD825A">
            <w:pPr>
              <w:jc w:val="center"/>
              <w:rPr>
                <w:color w:val="000000"/>
                <w:sz w:val="21"/>
                <w:szCs w:val="21"/>
              </w:rPr>
            </w:pPr>
          </w:p>
        </w:tc>
        <w:tc>
          <w:tcPr>
            <w:tcW w:w="495" w:type="pct"/>
            <w:noWrap/>
          </w:tcPr>
          <w:p w14:paraId="45DE873E">
            <w:pPr>
              <w:jc w:val="center"/>
              <w:rPr>
                <w:color w:val="000000"/>
                <w:sz w:val="21"/>
                <w:szCs w:val="21"/>
              </w:rPr>
            </w:pPr>
            <w:r>
              <w:rPr>
                <w:color w:val="000000"/>
                <w:sz w:val="21"/>
                <w:szCs w:val="21"/>
              </w:rPr>
              <w:t>X</w:t>
            </w:r>
          </w:p>
        </w:tc>
        <w:tc>
          <w:tcPr>
            <w:tcW w:w="809" w:type="pct"/>
            <w:noWrap/>
          </w:tcPr>
          <w:p w14:paraId="04F7397B">
            <w:pPr>
              <w:jc w:val="center"/>
              <w:rPr>
                <w:color w:val="000000"/>
                <w:sz w:val="21"/>
                <w:szCs w:val="21"/>
              </w:rPr>
            </w:pPr>
          </w:p>
        </w:tc>
        <w:tc>
          <w:tcPr>
            <w:tcW w:w="616" w:type="pct"/>
          </w:tcPr>
          <w:p w14:paraId="1B64E300">
            <w:pPr>
              <w:jc w:val="center"/>
              <w:rPr>
                <w:color w:val="000000"/>
                <w:sz w:val="21"/>
                <w:szCs w:val="21"/>
              </w:rPr>
            </w:pPr>
          </w:p>
        </w:tc>
        <w:tc>
          <w:tcPr>
            <w:tcW w:w="613" w:type="pct"/>
          </w:tcPr>
          <w:p w14:paraId="08653D23">
            <w:pPr>
              <w:jc w:val="center"/>
              <w:rPr>
                <w:color w:val="000000"/>
                <w:sz w:val="21"/>
                <w:szCs w:val="21"/>
              </w:rPr>
            </w:pPr>
          </w:p>
        </w:tc>
        <w:tc>
          <w:tcPr>
            <w:tcW w:w="754" w:type="pct"/>
          </w:tcPr>
          <w:p w14:paraId="2EE71BCB">
            <w:pPr>
              <w:jc w:val="center"/>
              <w:rPr>
                <w:color w:val="000000"/>
                <w:sz w:val="21"/>
                <w:szCs w:val="21"/>
              </w:rPr>
            </w:pPr>
          </w:p>
        </w:tc>
      </w:tr>
      <w:tr w14:paraId="2855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791E6278">
            <w:pPr>
              <w:jc w:val="center"/>
              <w:rPr>
                <w:color w:val="000000"/>
                <w:sz w:val="21"/>
                <w:szCs w:val="21"/>
              </w:rPr>
            </w:pPr>
            <w:r>
              <w:rPr>
                <w:color w:val="000000"/>
                <w:sz w:val="21"/>
                <w:szCs w:val="21"/>
              </w:rPr>
              <w:t>血PSA水平</w:t>
            </w:r>
            <w:r>
              <w:rPr>
                <w:color w:val="000000"/>
                <w:sz w:val="21"/>
                <w:szCs w:val="21"/>
                <w:vertAlign w:val="superscript"/>
              </w:rPr>
              <w:t>8</w:t>
            </w:r>
          </w:p>
        </w:tc>
        <w:tc>
          <w:tcPr>
            <w:tcW w:w="622" w:type="pct"/>
            <w:noWrap/>
          </w:tcPr>
          <w:p w14:paraId="1DB48D42">
            <w:pPr>
              <w:jc w:val="center"/>
              <w:rPr>
                <w:color w:val="000000"/>
                <w:sz w:val="21"/>
                <w:szCs w:val="21"/>
              </w:rPr>
            </w:pPr>
            <w:r>
              <w:rPr>
                <w:color w:val="000000"/>
                <w:sz w:val="21"/>
                <w:szCs w:val="21"/>
              </w:rPr>
              <w:t>X</w:t>
            </w:r>
          </w:p>
        </w:tc>
        <w:tc>
          <w:tcPr>
            <w:tcW w:w="495" w:type="pct"/>
            <w:noWrap/>
          </w:tcPr>
          <w:p w14:paraId="329BD39A">
            <w:pPr>
              <w:jc w:val="center"/>
              <w:rPr>
                <w:color w:val="000000"/>
                <w:sz w:val="21"/>
                <w:szCs w:val="21"/>
              </w:rPr>
            </w:pPr>
          </w:p>
        </w:tc>
        <w:tc>
          <w:tcPr>
            <w:tcW w:w="809" w:type="pct"/>
            <w:noWrap/>
          </w:tcPr>
          <w:p w14:paraId="1F117E62">
            <w:pPr>
              <w:jc w:val="center"/>
              <w:rPr>
                <w:color w:val="000000"/>
                <w:sz w:val="21"/>
                <w:szCs w:val="21"/>
              </w:rPr>
            </w:pPr>
          </w:p>
        </w:tc>
        <w:tc>
          <w:tcPr>
            <w:tcW w:w="616" w:type="pct"/>
          </w:tcPr>
          <w:p w14:paraId="7D2A3B5B">
            <w:pPr>
              <w:jc w:val="center"/>
              <w:rPr>
                <w:color w:val="000000"/>
                <w:sz w:val="21"/>
                <w:szCs w:val="21"/>
              </w:rPr>
            </w:pPr>
          </w:p>
        </w:tc>
        <w:tc>
          <w:tcPr>
            <w:tcW w:w="613" w:type="pct"/>
          </w:tcPr>
          <w:p w14:paraId="58341661">
            <w:pPr>
              <w:jc w:val="center"/>
              <w:rPr>
                <w:color w:val="000000"/>
                <w:sz w:val="21"/>
                <w:szCs w:val="21"/>
              </w:rPr>
            </w:pPr>
            <w:r>
              <w:rPr>
                <w:color w:val="000000"/>
                <w:sz w:val="21"/>
                <w:szCs w:val="21"/>
              </w:rPr>
              <w:t>X*</w:t>
            </w:r>
          </w:p>
        </w:tc>
        <w:tc>
          <w:tcPr>
            <w:tcW w:w="754" w:type="pct"/>
          </w:tcPr>
          <w:p w14:paraId="614B7F0C">
            <w:pPr>
              <w:jc w:val="center"/>
              <w:rPr>
                <w:color w:val="000000"/>
                <w:sz w:val="21"/>
                <w:szCs w:val="21"/>
              </w:rPr>
            </w:pPr>
            <w:r>
              <w:rPr>
                <w:color w:val="000000"/>
                <w:sz w:val="21"/>
                <w:szCs w:val="21"/>
              </w:rPr>
              <w:t>X*</w:t>
            </w:r>
          </w:p>
        </w:tc>
      </w:tr>
      <w:tr w14:paraId="3A89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00A0FDD9">
            <w:pPr>
              <w:jc w:val="center"/>
              <w:rPr>
                <w:color w:val="000000"/>
                <w:sz w:val="21"/>
                <w:szCs w:val="21"/>
              </w:rPr>
            </w:pPr>
            <w:r>
              <w:rPr>
                <w:color w:val="000000"/>
                <w:sz w:val="21"/>
                <w:szCs w:val="21"/>
              </w:rPr>
              <w:t>常规影像检查</w:t>
            </w:r>
            <w:r>
              <w:rPr>
                <w:color w:val="000000"/>
                <w:sz w:val="21"/>
                <w:szCs w:val="21"/>
                <w:vertAlign w:val="superscript"/>
              </w:rPr>
              <w:t>9</w:t>
            </w:r>
          </w:p>
        </w:tc>
        <w:tc>
          <w:tcPr>
            <w:tcW w:w="622" w:type="pct"/>
            <w:noWrap/>
          </w:tcPr>
          <w:p w14:paraId="3B371219">
            <w:pPr>
              <w:jc w:val="center"/>
              <w:rPr>
                <w:color w:val="000000"/>
                <w:sz w:val="21"/>
                <w:szCs w:val="21"/>
              </w:rPr>
            </w:pPr>
            <w:r>
              <w:rPr>
                <w:color w:val="000000"/>
                <w:sz w:val="21"/>
                <w:szCs w:val="21"/>
              </w:rPr>
              <w:t>X</w:t>
            </w:r>
          </w:p>
        </w:tc>
        <w:tc>
          <w:tcPr>
            <w:tcW w:w="495" w:type="pct"/>
            <w:noWrap/>
          </w:tcPr>
          <w:p w14:paraId="4ABE1FA0">
            <w:pPr>
              <w:jc w:val="center"/>
              <w:rPr>
                <w:color w:val="000000"/>
                <w:sz w:val="21"/>
                <w:szCs w:val="21"/>
              </w:rPr>
            </w:pPr>
          </w:p>
        </w:tc>
        <w:tc>
          <w:tcPr>
            <w:tcW w:w="809" w:type="pct"/>
            <w:noWrap/>
          </w:tcPr>
          <w:p w14:paraId="7AD01A8F">
            <w:pPr>
              <w:jc w:val="center"/>
              <w:rPr>
                <w:color w:val="000000"/>
                <w:sz w:val="21"/>
                <w:szCs w:val="21"/>
              </w:rPr>
            </w:pPr>
          </w:p>
        </w:tc>
        <w:tc>
          <w:tcPr>
            <w:tcW w:w="616" w:type="pct"/>
          </w:tcPr>
          <w:p w14:paraId="1C97CD32">
            <w:pPr>
              <w:jc w:val="center"/>
              <w:rPr>
                <w:color w:val="000000"/>
                <w:sz w:val="21"/>
                <w:szCs w:val="21"/>
              </w:rPr>
            </w:pPr>
            <w:r>
              <w:rPr>
                <w:color w:val="000000"/>
                <w:sz w:val="21"/>
                <w:szCs w:val="21"/>
              </w:rPr>
              <w:t>X*</w:t>
            </w:r>
          </w:p>
        </w:tc>
        <w:tc>
          <w:tcPr>
            <w:tcW w:w="613" w:type="pct"/>
          </w:tcPr>
          <w:p w14:paraId="06A7CAB7">
            <w:pPr>
              <w:jc w:val="center"/>
              <w:rPr>
                <w:color w:val="000000"/>
                <w:sz w:val="21"/>
                <w:szCs w:val="21"/>
              </w:rPr>
            </w:pPr>
            <w:r>
              <w:rPr>
                <w:color w:val="000000"/>
                <w:sz w:val="21"/>
                <w:szCs w:val="21"/>
              </w:rPr>
              <w:t>X*</w:t>
            </w:r>
          </w:p>
        </w:tc>
        <w:tc>
          <w:tcPr>
            <w:tcW w:w="754" w:type="pct"/>
          </w:tcPr>
          <w:p w14:paraId="6E186FE5">
            <w:pPr>
              <w:jc w:val="center"/>
              <w:rPr>
                <w:color w:val="000000"/>
                <w:sz w:val="21"/>
                <w:szCs w:val="21"/>
              </w:rPr>
            </w:pPr>
            <w:r>
              <w:rPr>
                <w:color w:val="000000"/>
                <w:sz w:val="21"/>
                <w:szCs w:val="21"/>
              </w:rPr>
              <w:t>X*</w:t>
            </w:r>
          </w:p>
        </w:tc>
      </w:tr>
      <w:tr w14:paraId="4831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090" w:type="pct"/>
            <w:noWrap/>
          </w:tcPr>
          <w:p w14:paraId="4D85C7A9">
            <w:pPr>
              <w:jc w:val="center"/>
              <w:rPr>
                <w:color w:val="000000"/>
                <w:sz w:val="21"/>
                <w:szCs w:val="21"/>
              </w:rPr>
            </w:pPr>
            <w:r>
              <w:rPr>
                <w:color w:val="000000"/>
                <w:sz w:val="21"/>
                <w:szCs w:val="21"/>
              </w:rPr>
              <w:t>病理检查</w:t>
            </w:r>
            <w:r>
              <w:rPr>
                <w:color w:val="000000"/>
                <w:sz w:val="21"/>
                <w:szCs w:val="21"/>
                <w:vertAlign w:val="superscript"/>
              </w:rPr>
              <w:t>10</w:t>
            </w:r>
          </w:p>
        </w:tc>
        <w:tc>
          <w:tcPr>
            <w:tcW w:w="622" w:type="pct"/>
            <w:noWrap/>
          </w:tcPr>
          <w:p w14:paraId="20498C64">
            <w:pPr>
              <w:jc w:val="center"/>
              <w:rPr>
                <w:color w:val="000000"/>
                <w:sz w:val="21"/>
                <w:szCs w:val="21"/>
              </w:rPr>
            </w:pPr>
          </w:p>
        </w:tc>
        <w:tc>
          <w:tcPr>
            <w:tcW w:w="495" w:type="pct"/>
          </w:tcPr>
          <w:p w14:paraId="409BA4AE">
            <w:pPr>
              <w:jc w:val="center"/>
              <w:rPr>
                <w:color w:val="000000"/>
                <w:sz w:val="21"/>
                <w:szCs w:val="21"/>
              </w:rPr>
            </w:pPr>
          </w:p>
        </w:tc>
        <w:tc>
          <w:tcPr>
            <w:tcW w:w="2038" w:type="pct"/>
            <w:gridSpan w:val="3"/>
          </w:tcPr>
          <w:p w14:paraId="2E098493">
            <w:pPr>
              <w:jc w:val="center"/>
              <w:rPr>
                <w:color w:val="000000"/>
                <w:sz w:val="21"/>
                <w:szCs w:val="21"/>
              </w:rPr>
            </w:pPr>
            <w:r>
              <w:rPr>
                <w:color w:val="000000"/>
                <w:sz w:val="21"/>
                <w:szCs w:val="21"/>
              </w:rPr>
              <w:t>X*</w:t>
            </w:r>
          </w:p>
        </w:tc>
        <w:tc>
          <w:tcPr>
            <w:tcW w:w="754" w:type="pct"/>
          </w:tcPr>
          <w:p w14:paraId="3E2FBB51">
            <w:pPr>
              <w:jc w:val="center"/>
              <w:rPr>
                <w:color w:val="000000"/>
                <w:sz w:val="21"/>
                <w:szCs w:val="21"/>
              </w:rPr>
            </w:pPr>
          </w:p>
        </w:tc>
      </w:tr>
    </w:tbl>
    <w:p w14:paraId="3DE8A262">
      <w:pPr>
        <w:pStyle w:val="176"/>
        <w:numPr>
          <w:ilvl w:val="0"/>
          <w:numId w:val="0"/>
        </w:numPr>
        <w:spacing w:line="240" w:lineRule="auto"/>
        <w:rPr>
          <w:rFonts w:cs="Times New Roman"/>
          <w:sz w:val="21"/>
          <w:szCs w:val="21"/>
        </w:rPr>
      </w:pPr>
    </w:p>
    <w:p w14:paraId="20AA6FA8">
      <w:pPr>
        <w:pStyle w:val="176"/>
        <w:spacing w:line="240" w:lineRule="auto"/>
        <w:ind w:left="0" w:firstLine="0"/>
        <w:rPr>
          <w:rFonts w:cs="Times New Roman"/>
          <w:sz w:val="21"/>
          <w:szCs w:val="21"/>
        </w:rPr>
      </w:pPr>
      <w:r>
        <w:rPr>
          <w:rFonts w:cs="Times New Roman"/>
          <w:sz w:val="21"/>
          <w:szCs w:val="21"/>
        </w:rPr>
        <w:t>筛选期：</w:t>
      </w:r>
      <w:bookmarkStart w:id="39" w:name="_Hlk108794667"/>
      <w:r>
        <w:rPr>
          <w:rFonts w:cs="Times New Roman"/>
          <w:sz w:val="21"/>
          <w:szCs w:val="21"/>
        </w:rPr>
        <w:t>所有筛选访视流程均必须在-1天（含）之前完成。所有检查和访视内容完成后，受试者符合全部入选标准而不符合任何一项排除标准的即可入组</w:t>
      </w:r>
      <w:bookmarkEnd w:id="39"/>
      <w:r>
        <w:rPr>
          <w:rFonts w:cs="Times New Roman"/>
          <w:sz w:val="21"/>
          <w:szCs w:val="21"/>
        </w:rPr>
        <w:t>。心电图、实验室检查、凝血功能、PSA可接受签署知情同意书前7天内研究者评估可用的结果</w:t>
      </w:r>
      <w:r>
        <w:rPr>
          <w:rFonts w:hint="eastAsia" w:cs="Times New Roman"/>
          <w:sz w:val="21"/>
          <w:szCs w:val="21"/>
        </w:rPr>
        <w:t>，如距离给药日期超过7天，则需要重新检测。</w:t>
      </w:r>
    </w:p>
    <w:p w14:paraId="458A42A4">
      <w:pPr>
        <w:pStyle w:val="176"/>
        <w:spacing w:line="240" w:lineRule="auto"/>
        <w:ind w:left="0" w:firstLine="0"/>
        <w:rPr>
          <w:rFonts w:cs="Times New Roman"/>
          <w:sz w:val="21"/>
          <w:szCs w:val="21"/>
        </w:rPr>
      </w:pPr>
      <w:r>
        <w:rPr>
          <w:rFonts w:cs="Times New Roman"/>
          <w:sz w:val="21"/>
          <w:szCs w:val="21"/>
        </w:rPr>
        <w:t>签署知情同意书：需在进入筛选之前完成。</w:t>
      </w:r>
    </w:p>
    <w:p w14:paraId="642B79C6">
      <w:pPr>
        <w:pStyle w:val="176"/>
        <w:spacing w:line="240" w:lineRule="auto"/>
        <w:ind w:left="0" w:firstLine="0"/>
        <w:rPr>
          <w:rFonts w:cs="Times New Roman"/>
          <w:sz w:val="21"/>
          <w:szCs w:val="21"/>
        </w:rPr>
      </w:pPr>
      <w:r>
        <w:rPr>
          <w:rFonts w:cs="Times New Roman"/>
          <w:sz w:val="21"/>
          <w:szCs w:val="21"/>
        </w:rPr>
        <w:t>人口学资料包括：出生日期、年龄、性别、民族。</w:t>
      </w:r>
    </w:p>
    <w:p w14:paraId="72EB85DB">
      <w:pPr>
        <w:pStyle w:val="176"/>
        <w:spacing w:line="240" w:lineRule="auto"/>
        <w:ind w:left="0" w:firstLine="0"/>
        <w:rPr>
          <w:rFonts w:cs="Times New Roman"/>
          <w:sz w:val="21"/>
          <w:szCs w:val="21"/>
        </w:rPr>
      </w:pPr>
      <w:r>
        <w:rPr>
          <w:rFonts w:cs="Times New Roman"/>
          <w:sz w:val="21"/>
          <w:szCs w:val="21"/>
        </w:rPr>
        <w:t>病史/个人史：包括肿瘤病史、肿瘤治疗史（手术、药物/非药物治疗史）；非肿瘤病史、近1年内的治疗史（手术、药物/非药物治疗史）；过敏史；生育计划；酒精/药物滥用情况；临床试验史。</w:t>
      </w:r>
    </w:p>
    <w:p w14:paraId="507B1619">
      <w:pPr>
        <w:pStyle w:val="176"/>
        <w:spacing w:line="240" w:lineRule="auto"/>
        <w:ind w:left="0" w:firstLine="0"/>
        <w:rPr>
          <w:rFonts w:cs="Times New Roman"/>
          <w:sz w:val="21"/>
          <w:szCs w:val="21"/>
        </w:rPr>
      </w:pPr>
      <w:r>
        <w:rPr>
          <w:rFonts w:cs="Times New Roman"/>
          <w:sz w:val="21"/>
          <w:szCs w:val="21"/>
        </w:rPr>
        <w:t>体格检查：包括皮肤黏膜、淋巴结、头颈部、胸部、腹部、脊柱及四肢以及神经系统；</w:t>
      </w:r>
      <w:r>
        <w:rPr>
          <w:rFonts w:hint="eastAsia" w:cs="Times New Roman"/>
          <w:sz w:val="21"/>
          <w:szCs w:val="21"/>
        </w:rPr>
        <w:t>如有临床指征，进行针对性体格检查</w:t>
      </w:r>
      <w:r>
        <w:rPr>
          <w:rFonts w:cs="Times New Roman"/>
          <w:sz w:val="21"/>
          <w:szCs w:val="21"/>
        </w:rPr>
        <w:t>。</w:t>
      </w:r>
    </w:p>
    <w:p w14:paraId="1D0B9A85">
      <w:pPr>
        <w:pStyle w:val="176"/>
        <w:spacing w:line="240" w:lineRule="auto"/>
        <w:ind w:left="0" w:firstLine="0"/>
        <w:rPr>
          <w:rFonts w:cs="Times New Roman"/>
          <w:sz w:val="21"/>
          <w:szCs w:val="21"/>
        </w:rPr>
      </w:pPr>
      <w:r>
        <w:rPr>
          <w:rFonts w:cs="Times New Roman"/>
          <w:sz w:val="21"/>
          <w:szCs w:val="21"/>
        </w:rPr>
        <w:t>生命体征：包括血压、脉搏、呼吸频率、体温。在D1，INR101注射液给药前1h内、PET/CT</w:t>
      </w:r>
      <w:r>
        <w:rPr>
          <w:rFonts w:hint="eastAsia" w:cs="Times New Roman"/>
          <w:sz w:val="21"/>
          <w:szCs w:val="21"/>
        </w:rPr>
        <w:t>成像</w:t>
      </w:r>
      <w:r>
        <w:rPr>
          <w:rFonts w:cs="Times New Roman"/>
          <w:sz w:val="21"/>
          <w:szCs w:val="21"/>
        </w:rPr>
        <w:t>完成后1h内需要进行生命体征检查。</w:t>
      </w:r>
    </w:p>
    <w:p w14:paraId="6133A732">
      <w:pPr>
        <w:pStyle w:val="176"/>
        <w:spacing w:line="240" w:lineRule="auto"/>
        <w:ind w:left="0" w:firstLine="0"/>
        <w:rPr>
          <w:rFonts w:cs="Times New Roman"/>
          <w:sz w:val="21"/>
          <w:szCs w:val="21"/>
        </w:rPr>
      </w:pPr>
      <w:r>
        <w:rPr>
          <w:rFonts w:cs="Times New Roman"/>
          <w:sz w:val="21"/>
          <w:szCs w:val="21"/>
        </w:rPr>
        <w:t>实验室检查：包括血常规、尿常规、血生化检查。</w:t>
      </w:r>
      <w:r>
        <w:rPr>
          <w:rFonts w:hint="eastAsia" w:cs="Times New Roman"/>
          <w:sz w:val="21"/>
          <w:szCs w:val="21"/>
        </w:rPr>
        <w:t>具体检测项目见方案章节13.2。</w:t>
      </w:r>
    </w:p>
    <w:p w14:paraId="15A222ED">
      <w:pPr>
        <w:pStyle w:val="176"/>
        <w:spacing w:line="240" w:lineRule="auto"/>
        <w:ind w:left="0" w:firstLine="0"/>
        <w:rPr>
          <w:rFonts w:cs="Times New Roman"/>
          <w:sz w:val="21"/>
          <w:szCs w:val="21"/>
        </w:rPr>
      </w:pPr>
      <w:r>
        <w:rPr>
          <w:rFonts w:cs="Times New Roman"/>
          <w:sz w:val="21"/>
          <w:szCs w:val="21"/>
        </w:rPr>
        <w:t>包含总PSA、游离PSA</w:t>
      </w:r>
      <w:r>
        <w:rPr>
          <w:rFonts w:hint="eastAsia" w:cs="Times New Roman"/>
          <w:sz w:val="21"/>
          <w:szCs w:val="21"/>
          <w:lang w:eastAsia="zh-CN"/>
        </w:rPr>
        <w:t>（</w:t>
      </w:r>
      <w:r>
        <w:rPr>
          <w:rFonts w:hint="eastAsia" w:cs="Times New Roman"/>
          <w:sz w:val="21"/>
          <w:szCs w:val="21"/>
          <w:lang w:val="en-US" w:eastAsia="zh-CN"/>
        </w:rPr>
        <w:t>建议</w:t>
      </w:r>
      <w:r>
        <w:rPr>
          <w:rFonts w:hint="eastAsia" w:cs="Times New Roman"/>
          <w:sz w:val="21"/>
          <w:szCs w:val="21"/>
          <w:lang w:eastAsia="zh-CN"/>
        </w:rPr>
        <w:t>）</w:t>
      </w:r>
      <w:r>
        <w:rPr>
          <w:rFonts w:cs="Times New Roman"/>
          <w:sz w:val="21"/>
          <w:szCs w:val="21"/>
        </w:rPr>
        <w:t>；随访期若血</w:t>
      </w:r>
      <w:r>
        <w:rPr>
          <w:rFonts w:hint="eastAsia" w:cs="Times New Roman"/>
          <w:sz w:val="21"/>
          <w:szCs w:val="21"/>
          <w:lang w:val="en-US" w:eastAsia="zh-CN"/>
        </w:rPr>
        <w:t>总</w:t>
      </w:r>
      <w:r>
        <w:rPr>
          <w:rFonts w:cs="Times New Roman"/>
          <w:sz w:val="21"/>
          <w:szCs w:val="21"/>
        </w:rPr>
        <w:t>PSA水平较基线下降≥50%，需在</w:t>
      </w:r>
      <w:r>
        <w:rPr>
          <w:rFonts w:hint="eastAsia" w:cs="Times New Roman"/>
          <w:sz w:val="21"/>
          <w:szCs w:val="21"/>
        </w:rPr>
        <w:t>3～4周</w:t>
      </w:r>
      <w:r>
        <w:rPr>
          <w:rFonts w:cs="Times New Roman"/>
          <w:sz w:val="21"/>
          <w:szCs w:val="21"/>
        </w:rPr>
        <w:t>内重复测量确认。每3月一次，最长12月，直至确认PSA缓解。</w:t>
      </w:r>
    </w:p>
    <w:p w14:paraId="082297F2">
      <w:pPr>
        <w:pStyle w:val="176"/>
        <w:spacing w:line="240" w:lineRule="auto"/>
        <w:ind w:left="0" w:firstLine="0"/>
        <w:rPr>
          <w:rFonts w:cs="Times New Roman"/>
          <w:sz w:val="21"/>
          <w:szCs w:val="21"/>
        </w:rPr>
      </w:pPr>
      <w:r>
        <w:rPr>
          <w:rFonts w:cs="Times New Roman"/>
          <w:sz w:val="21"/>
          <w:szCs w:val="21"/>
        </w:rPr>
        <w:t>常规影像：包括</w:t>
      </w:r>
      <w:r>
        <w:rPr>
          <w:rFonts w:hint="eastAsia" w:cs="Times New Roman"/>
          <w:sz w:val="21"/>
          <w:szCs w:val="21"/>
        </w:rPr>
        <w:t>胸</w:t>
      </w:r>
      <w:r>
        <w:rPr>
          <w:rFonts w:hint="eastAsia" w:cs="Times New Roman"/>
          <w:sz w:val="21"/>
          <w:szCs w:val="21"/>
          <w:lang w:val="en-US" w:eastAsia="zh-CN"/>
        </w:rPr>
        <w:t>部CT、</w:t>
      </w:r>
      <w:r>
        <w:rPr>
          <w:rFonts w:hint="eastAsia" w:cs="Times New Roman"/>
          <w:sz w:val="21"/>
          <w:szCs w:val="21"/>
        </w:rPr>
        <w:t>腹盆</w:t>
      </w:r>
      <w:r>
        <w:rPr>
          <w:rFonts w:hint="eastAsia" w:cs="Times New Roman"/>
          <w:sz w:val="21"/>
          <w:szCs w:val="21"/>
          <w:lang w:val="en-US" w:eastAsia="zh-CN"/>
        </w:rPr>
        <w:t>腔</w:t>
      </w:r>
      <w:r>
        <w:rPr>
          <w:rFonts w:cs="Times New Roman"/>
          <w:sz w:val="21"/>
          <w:szCs w:val="21"/>
        </w:rPr>
        <w:t>CT/MRI</w:t>
      </w:r>
      <w:r>
        <w:rPr>
          <w:rFonts w:hint="eastAsia" w:cs="Times New Roman"/>
          <w:sz w:val="21"/>
          <w:szCs w:val="21"/>
        </w:rPr>
        <w:t>、全身骨成像检查，是否需要进行颈部CT，由研究者基于患者综合情况进行评估后决定</w:t>
      </w:r>
      <w:r>
        <w:rPr>
          <w:rFonts w:cs="Times New Roman"/>
          <w:sz w:val="21"/>
          <w:szCs w:val="21"/>
        </w:rPr>
        <w:t>；</w:t>
      </w:r>
      <w:r>
        <w:rPr>
          <w:rFonts w:hint="eastAsia" w:cs="Times New Roman"/>
          <w:sz w:val="21"/>
          <w:szCs w:val="21"/>
        </w:rPr>
        <w:t>MRI是盆腔的首选检查方式，除非存在禁忌症。</w:t>
      </w:r>
      <w:r>
        <w:rPr>
          <w:rFonts w:cs="Times New Roman"/>
          <w:sz w:val="21"/>
          <w:szCs w:val="21"/>
        </w:rPr>
        <w:t>若在筛选前6周内已完成（外院需要提供符合用于独立影像评估的DICOM格式数据），筛选期可不重复检查。含</w:t>
      </w:r>
      <w:r>
        <w:rPr>
          <w:rFonts w:cs="Times New Roman"/>
          <w:sz w:val="21"/>
          <w:szCs w:val="21"/>
          <w:vertAlign w:val="superscript"/>
        </w:rPr>
        <w:t>18</w:t>
      </w:r>
      <w:r>
        <w:rPr>
          <w:rFonts w:cs="Times New Roman"/>
          <w:sz w:val="21"/>
          <w:szCs w:val="21"/>
        </w:rPr>
        <w:t>F的影像学检查与INR101注射液给药间隔至少24h；如果在给药前30天内尚未完成常规影像学检查，将根据研究中心的标准诊疗流程在INR101注射液PET/CT</w:t>
      </w:r>
      <w:r>
        <w:rPr>
          <w:rFonts w:hint="eastAsia" w:cs="Times New Roman"/>
          <w:sz w:val="21"/>
          <w:szCs w:val="21"/>
        </w:rPr>
        <w:t>成像</w:t>
      </w:r>
      <w:r>
        <w:rPr>
          <w:rFonts w:cs="Times New Roman"/>
          <w:sz w:val="21"/>
          <w:szCs w:val="21"/>
        </w:rPr>
        <w:t>后28天内在研究中心</w:t>
      </w:r>
      <w:r>
        <w:rPr>
          <w:rFonts w:hint="eastAsia" w:cs="Times New Roman"/>
          <w:sz w:val="21"/>
          <w:szCs w:val="21"/>
          <w:lang w:val="en-US" w:eastAsia="zh-CN"/>
        </w:rPr>
        <w:t>对于PET阳性病灶/区域</w:t>
      </w:r>
      <w:r>
        <w:rPr>
          <w:rFonts w:cs="Times New Roman"/>
          <w:sz w:val="21"/>
          <w:szCs w:val="21"/>
        </w:rPr>
        <w:t>进行常规影像学检查（由研究者决定成像需要做的部位及影像模态）。</w:t>
      </w:r>
      <w:r>
        <w:rPr>
          <w:rFonts w:hint="eastAsia" w:cs="Times New Roman"/>
          <w:sz w:val="21"/>
          <w:szCs w:val="21"/>
        </w:rPr>
        <w:t>研究者将根据具体情况决定是否收集入组前3月-2年内的常规影像（胶片或DICOM格式数据）作为SoT诊断的依据（如适用）。如基线常规影像学检查无法确认，且在60天内未接受局部</w:t>
      </w:r>
      <w:r>
        <w:rPr>
          <w:rFonts w:cs="Times New Roman"/>
          <w:sz w:val="21"/>
          <w:szCs w:val="21"/>
        </w:rPr>
        <w:t>/</w:t>
      </w:r>
      <w:r>
        <w:rPr>
          <w:rFonts w:hint="eastAsia" w:cs="Times New Roman"/>
          <w:sz w:val="21"/>
          <w:szCs w:val="21"/>
        </w:rPr>
        <w:t>系统治疗者，在</w:t>
      </w:r>
      <w:r>
        <w:rPr>
          <w:rFonts w:cs="Times New Roman"/>
          <w:sz w:val="21"/>
          <w:szCs w:val="21"/>
        </w:rPr>
        <w:t>INR101</w:t>
      </w:r>
      <w:r>
        <w:rPr>
          <w:rFonts w:hint="eastAsia" w:cs="Times New Roman"/>
          <w:sz w:val="21"/>
          <w:szCs w:val="21"/>
        </w:rPr>
        <w:t>注射液</w:t>
      </w:r>
      <w:r>
        <w:rPr>
          <w:rFonts w:cs="Times New Roman"/>
          <w:sz w:val="21"/>
          <w:szCs w:val="21"/>
        </w:rPr>
        <w:t>PET/CT</w:t>
      </w:r>
      <w:r>
        <w:rPr>
          <w:rFonts w:hint="eastAsia" w:cs="Times New Roman"/>
          <w:sz w:val="21"/>
          <w:szCs w:val="21"/>
        </w:rPr>
        <w:t>成像后</w:t>
      </w:r>
      <w:r>
        <w:rPr>
          <w:rFonts w:cs="Times New Roman"/>
          <w:sz w:val="21"/>
          <w:szCs w:val="21"/>
        </w:rPr>
        <w:t>60</w:t>
      </w:r>
      <w:r>
        <w:rPr>
          <w:rFonts w:hint="eastAsia" w:cs="Times New Roman"/>
          <w:sz w:val="21"/>
          <w:szCs w:val="21"/>
        </w:rPr>
        <w:t>天（±</w:t>
      </w:r>
      <w:r>
        <w:rPr>
          <w:rFonts w:cs="Times New Roman"/>
          <w:sz w:val="21"/>
          <w:szCs w:val="21"/>
        </w:rPr>
        <w:t>7</w:t>
      </w:r>
      <w:r>
        <w:rPr>
          <w:rFonts w:hint="eastAsia" w:cs="Times New Roman"/>
          <w:sz w:val="21"/>
          <w:szCs w:val="21"/>
        </w:rPr>
        <w:t>）进行</w:t>
      </w:r>
      <w:r>
        <w:rPr>
          <w:rFonts w:hint="eastAsia" w:cs="Times New Roman"/>
          <w:sz w:val="21"/>
          <w:szCs w:val="21"/>
          <w:lang w:val="en-US" w:eastAsia="zh-CN"/>
        </w:rPr>
        <w:t>PET阳性病灶/区域</w:t>
      </w:r>
      <w:r>
        <w:rPr>
          <w:rFonts w:hint="eastAsia" w:cs="Times New Roman"/>
          <w:sz w:val="21"/>
          <w:szCs w:val="21"/>
        </w:rPr>
        <w:t>确认成像；若60天常规影像学未能确认PET阳性部位，且该受试者未接受任何治疗，则需在</w:t>
      </w:r>
      <w:r>
        <w:rPr>
          <w:rFonts w:cs="Times New Roman"/>
          <w:sz w:val="21"/>
          <w:szCs w:val="21"/>
        </w:rPr>
        <w:t>INR101</w:t>
      </w:r>
      <w:r>
        <w:rPr>
          <w:rFonts w:hint="eastAsia" w:cs="Times New Roman"/>
          <w:sz w:val="21"/>
          <w:szCs w:val="21"/>
        </w:rPr>
        <w:t>注射液</w:t>
      </w:r>
      <w:r>
        <w:rPr>
          <w:rFonts w:cs="Times New Roman"/>
          <w:sz w:val="21"/>
          <w:szCs w:val="21"/>
        </w:rPr>
        <w:t>PET/CT</w:t>
      </w:r>
      <w:r>
        <w:rPr>
          <w:rFonts w:hint="eastAsia" w:cs="Times New Roman"/>
          <w:sz w:val="21"/>
          <w:szCs w:val="21"/>
        </w:rPr>
        <w:t>成像后</w:t>
      </w:r>
      <w:r>
        <w:rPr>
          <w:rFonts w:cs="Times New Roman"/>
          <w:sz w:val="21"/>
          <w:szCs w:val="21"/>
        </w:rPr>
        <w:t>90</w:t>
      </w:r>
      <w:r>
        <w:rPr>
          <w:rFonts w:hint="eastAsia" w:cs="Times New Roman"/>
          <w:sz w:val="21"/>
          <w:szCs w:val="21"/>
        </w:rPr>
        <w:t>天（±</w:t>
      </w:r>
      <w:r>
        <w:rPr>
          <w:rFonts w:cs="Times New Roman"/>
          <w:sz w:val="21"/>
          <w:szCs w:val="21"/>
        </w:rPr>
        <w:t>7</w:t>
      </w:r>
      <w:r>
        <w:rPr>
          <w:rFonts w:hint="eastAsia" w:cs="Times New Roman"/>
          <w:sz w:val="21"/>
          <w:szCs w:val="21"/>
        </w:rPr>
        <w:t>）进行</w:t>
      </w:r>
      <w:r>
        <w:rPr>
          <w:rFonts w:hint="eastAsia" w:cs="Times New Roman"/>
          <w:sz w:val="21"/>
          <w:szCs w:val="21"/>
          <w:lang w:val="en-US" w:eastAsia="zh-CN"/>
        </w:rPr>
        <w:t>PET阳性病灶/区域</w:t>
      </w:r>
      <w:r>
        <w:rPr>
          <w:rFonts w:hint="eastAsia" w:cs="Times New Roman"/>
          <w:sz w:val="21"/>
          <w:szCs w:val="21"/>
        </w:rPr>
        <w:t>再次常规影像学确认成像</w:t>
      </w:r>
      <w:r>
        <w:rPr>
          <w:rFonts w:cs="Times New Roman"/>
          <w:sz w:val="21"/>
          <w:szCs w:val="21"/>
        </w:rPr>
        <w:t>。</w:t>
      </w:r>
      <w:r>
        <w:rPr>
          <w:rFonts w:hint="eastAsia" w:cs="Times New Roman"/>
          <w:sz w:val="21"/>
          <w:szCs w:val="21"/>
        </w:rPr>
        <w:t>如果治疗时间与确认成像时间间隔小于</w:t>
      </w:r>
      <w:r>
        <w:rPr>
          <w:rFonts w:cs="Times New Roman"/>
          <w:sz w:val="21"/>
          <w:szCs w:val="21"/>
        </w:rPr>
        <w:t>30</w:t>
      </w:r>
      <w:r>
        <w:rPr>
          <w:rFonts w:hint="eastAsia" w:cs="Times New Roman"/>
          <w:sz w:val="21"/>
          <w:szCs w:val="21"/>
        </w:rPr>
        <w:t>天，可不进行常规影像检查。</w:t>
      </w:r>
      <w:r>
        <w:rPr>
          <w:rFonts w:cs="Times New Roman"/>
          <w:sz w:val="21"/>
          <w:szCs w:val="21"/>
        </w:rPr>
        <w:t>如果INR101注射液PET/CT</w:t>
      </w:r>
      <w:r>
        <w:rPr>
          <w:rFonts w:hint="eastAsia" w:cs="Times New Roman"/>
          <w:sz w:val="21"/>
          <w:szCs w:val="21"/>
        </w:rPr>
        <w:t>成像</w:t>
      </w:r>
      <w:r>
        <w:rPr>
          <w:rFonts w:cs="Times New Roman"/>
          <w:sz w:val="21"/>
          <w:szCs w:val="21"/>
        </w:rPr>
        <w:t>90天内的确认性影像和随访期的PSA均无法提供SoT诊断信息，但后续（12月内）受试者接受了常规影像检查且经研究者判断可以提供SoT诊断信息，则可将后续的常规影像结果作为SoT。</w:t>
      </w:r>
    </w:p>
    <w:p w14:paraId="322BDB15">
      <w:pPr>
        <w:pStyle w:val="176"/>
        <w:spacing w:line="240" w:lineRule="auto"/>
        <w:ind w:left="0" w:firstLine="0"/>
        <w:rPr>
          <w:rFonts w:cs="Times New Roman"/>
          <w:sz w:val="21"/>
          <w:szCs w:val="21"/>
        </w:rPr>
      </w:pPr>
      <w:r>
        <w:rPr>
          <w:rFonts w:cs="Times New Roman"/>
          <w:sz w:val="21"/>
          <w:szCs w:val="21"/>
        </w:rPr>
        <w:t>病理检查：INR101注射液PET/CT检查结果阳性受试者，如果能够取得</w:t>
      </w:r>
      <w:r>
        <w:rPr>
          <w:rFonts w:hint="eastAsia" w:cs="Times New Roman"/>
          <w:sz w:val="21"/>
          <w:szCs w:val="21"/>
        </w:rPr>
        <w:t>病理诊断</w:t>
      </w:r>
      <w:r>
        <w:rPr>
          <w:rFonts w:cs="Times New Roman"/>
          <w:sz w:val="21"/>
          <w:szCs w:val="21"/>
        </w:rPr>
        <w:t>（研究者根据临床实际情况判断），对相应部位进行细胞学/组织学病理穿刺活检。如果受试者在INR101注射液PET/CT成像前90天内，已经取得相应部位穿刺</w:t>
      </w:r>
      <w:r>
        <w:rPr>
          <w:rFonts w:hint="eastAsia" w:cs="Times New Roman"/>
          <w:sz w:val="21"/>
          <w:szCs w:val="21"/>
        </w:rPr>
        <w:t>病理诊断</w:t>
      </w:r>
      <w:r>
        <w:rPr>
          <w:rFonts w:cs="Times New Roman"/>
          <w:sz w:val="21"/>
          <w:szCs w:val="21"/>
        </w:rPr>
        <w:t>，经研究者判断符合复合标准判读要求，则可以不必重复穿刺。如果穿刺活检在D2~7天内，需在穿刺活检前24小时内完成安全性访视。</w:t>
      </w:r>
    </w:p>
    <w:p w14:paraId="578088FF">
      <w:pPr>
        <w:pStyle w:val="176"/>
        <w:spacing w:line="240" w:lineRule="auto"/>
        <w:ind w:left="0" w:firstLine="0"/>
        <w:rPr>
          <w:rFonts w:cs="Times New Roman"/>
          <w:sz w:val="21"/>
          <w:szCs w:val="21"/>
        </w:rPr>
      </w:pPr>
      <w:r>
        <w:rPr>
          <w:rFonts w:cs="Times New Roman"/>
          <w:sz w:val="21"/>
          <w:szCs w:val="21"/>
        </w:rPr>
        <w:t>所有受试者在随访期D2~7完成安全性检查。INR101注射液PET/CT检查结果阳性受试者继续</w:t>
      </w:r>
      <w:r>
        <w:rPr>
          <w:rFonts w:hint="eastAsia" w:cs="Times New Roman"/>
          <w:sz w:val="21"/>
          <w:szCs w:val="21"/>
          <w:lang w:val="en-US" w:eastAsia="zh-CN"/>
        </w:rPr>
        <w:t>对PET阳性病灶/区域</w:t>
      </w:r>
      <w:r>
        <w:rPr>
          <w:rFonts w:cs="Times New Roman"/>
          <w:sz w:val="21"/>
          <w:szCs w:val="21"/>
        </w:rPr>
        <w:t>进行有效性随访。</w:t>
      </w:r>
    </w:p>
    <w:p w14:paraId="79148CB4">
      <w:pPr>
        <w:pStyle w:val="176"/>
        <w:numPr>
          <w:ilvl w:val="0"/>
          <w:numId w:val="0"/>
        </w:numPr>
        <w:spacing w:line="240" w:lineRule="auto"/>
        <w:rPr>
          <w:rFonts w:cs="Times New Roman"/>
          <w:sz w:val="18"/>
          <w:szCs w:val="18"/>
          <w:lang w:val="zh-TW"/>
        </w:rPr>
      </w:pPr>
      <w:r>
        <w:rPr>
          <w:rFonts w:cs="Times New Roman"/>
          <w:sz w:val="18"/>
          <w:szCs w:val="18"/>
          <w:lang w:val="zh-TW"/>
        </w:rPr>
        <w:br w:type="page"/>
      </w:r>
    </w:p>
    <w:bookmarkEnd w:id="37"/>
    <w:bookmarkEnd w:id="38"/>
    <w:p w14:paraId="4623DC49">
      <w:pPr>
        <w:pStyle w:val="2"/>
        <w:numPr>
          <w:ilvl w:val="0"/>
          <w:numId w:val="5"/>
        </w:numPr>
        <w:ind w:left="0" w:firstLine="0"/>
        <w:rPr>
          <w:rFonts w:ascii="Times New Roman" w:hAnsi="Times New Roman"/>
          <w:color w:val="auto"/>
          <w:szCs w:val="24"/>
        </w:rPr>
        <w:sectPr>
          <w:pgSz w:w="16840" w:h="11900" w:orient="landscape"/>
          <w:pgMar w:top="1418" w:right="1701" w:bottom="1134" w:left="1134" w:header="907" w:footer="850" w:gutter="0"/>
          <w:cols w:space="720" w:num="1"/>
          <w:docGrid w:type="linesAndChars" w:linePitch="326" w:charSpace="0"/>
        </w:sectPr>
      </w:pPr>
      <w:bookmarkStart w:id="40" w:name="_Toc106375052"/>
      <w:bookmarkStart w:id="41" w:name="_Toc475469769"/>
      <w:bookmarkStart w:id="42" w:name="_Toc446058118"/>
      <w:bookmarkStart w:id="43" w:name="OLE_LINK21"/>
      <w:bookmarkStart w:id="44" w:name="OLE_LINK14"/>
      <w:bookmarkStart w:id="45" w:name="_Toc491423757"/>
    </w:p>
    <w:p w14:paraId="1722E525">
      <w:pPr>
        <w:pStyle w:val="2"/>
        <w:numPr>
          <w:ilvl w:val="0"/>
          <w:numId w:val="5"/>
        </w:numPr>
        <w:ind w:left="0" w:firstLine="0"/>
        <w:rPr>
          <w:rFonts w:ascii="Times New Roman" w:hAnsi="Times New Roman"/>
          <w:color w:val="auto"/>
          <w:szCs w:val="24"/>
        </w:rPr>
      </w:pPr>
      <w:bookmarkStart w:id="46" w:name="_Toc211"/>
      <w:bookmarkStart w:id="47" w:name="_Toc19862"/>
      <w:bookmarkStart w:id="48" w:name="_Toc183522963"/>
      <w:bookmarkStart w:id="49" w:name="_Toc10309"/>
      <w:r>
        <w:rPr>
          <w:rFonts w:ascii="Times New Roman" w:hAnsi="Times New Roman"/>
          <w:color w:val="auto"/>
          <w:szCs w:val="24"/>
        </w:rPr>
        <w:t>前言</w:t>
      </w:r>
      <w:bookmarkEnd w:id="46"/>
      <w:bookmarkEnd w:id="47"/>
      <w:bookmarkEnd w:id="48"/>
      <w:bookmarkEnd w:id="49"/>
    </w:p>
    <w:p w14:paraId="30BD7CBB">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50" w:name="_Toc1254"/>
      <w:bookmarkStart w:id="51" w:name="_Toc42"/>
      <w:bookmarkStart w:id="52" w:name="_Toc475469780"/>
      <w:bookmarkStart w:id="53" w:name="_Toc183522964"/>
      <w:bookmarkStart w:id="54" w:name="_Toc491423768"/>
      <w:bookmarkStart w:id="55" w:name="_Toc106375065"/>
      <w:bookmarkStart w:id="56" w:name="_Toc31709"/>
      <w:r>
        <w:rPr>
          <w:rFonts w:ascii="Times New Roman" w:hAnsi="Times New Roman" w:eastAsia="宋体"/>
          <w:sz w:val="24"/>
          <w:szCs w:val="24"/>
          <w:lang w:val="zh-TW" w:eastAsia="zh-TW"/>
        </w:rPr>
        <w:t>试验背景</w:t>
      </w:r>
      <w:bookmarkEnd w:id="50"/>
      <w:bookmarkEnd w:id="51"/>
      <w:bookmarkEnd w:id="52"/>
      <w:bookmarkEnd w:id="53"/>
      <w:bookmarkEnd w:id="54"/>
      <w:bookmarkEnd w:id="55"/>
      <w:bookmarkEnd w:id="56"/>
    </w:p>
    <w:p w14:paraId="7066E5ED">
      <w:pPr>
        <w:spacing w:line="360" w:lineRule="auto"/>
        <w:ind w:firstLine="480" w:firstLineChars="200"/>
        <w:contextualSpacing/>
        <w:jc w:val="both"/>
        <w:rPr>
          <w:highlight w:val="yellow"/>
        </w:rPr>
      </w:pPr>
      <w:bookmarkStart w:id="57" w:name="_Hlk152495292"/>
      <w:bookmarkStart w:id="58" w:name="OLE_LINK37"/>
      <w:bookmarkStart w:id="59" w:name="_Hlk131086321"/>
      <w:bookmarkStart w:id="60" w:name="OLE_LINK116"/>
      <w:r>
        <w:t>前列腺癌是泌尿男性生殖系统最常见的恶性肿瘤之一。2021年2月世界卫生组织（WHO）国际癌症研究机构发表的全球癌症统计报告2020年版显示，2020年全球新发前列腺癌1,414,259例，占全身恶性肿瘤的7.3%，发病率仅次于乳腺癌和肺癌，位于第3位；前列腺癌死亡病例375,304例，占全身恶性肿瘤的3.8%，死亡率位居第8位。2024</w:t>
      </w:r>
      <w:r>
        <w:rPr>
          <w:rFonts w:hint="eastAsia"/>
        </w:rPr>
        <w:t>年</w:t>
      </w:r>
      <w:r>
        <w:t>3</w:t>
      </w:r>
      <w:r>
        <w:rPr>
          <w:rFonts w:hint="eastAsia"/>
        </w:rPr>
        <w:t>月国家癌症中心公布了</w:t>
      </w:r>
      <w:r>
        <w:t>2022</w:t>
      </w:r>
      <w:r>
        <w:rPr>
          <w:rFonts w:hint="eastAsia"/>
        </w:rPr>
        <w:t>年我国恶性肿瘤最新发病率和死亡率情况，其中前列腺癌新发病例</w:t>
      </w:r>
      <w:r>
        <w:t>13.42</w:t>
      </w:r>
      <w:r>
        <w:rPr>
          <w:rFonts w:hint="eastAsia"/>
        </w:rPr>
        <w:t>万，发病率为</w:t>
      </w:r>
      <w:r>
        <w:t>18.61/10</w:t>
      </w:r>
      <w:r>
        <w:rPr>
          <w:rFonts w:hint="eastAsia"/>
        </w:rPr>
        <w:t>万，位居男性恶性肿瘤的第</w:t>
      </w:r>
      <w:r>
        <w:t>6</w:t>
      </w:r>
      <w:r>
        <w:rPr>
          <w:rFonts w:hint="eastAsia"/>
        </w:rPr>
        <w:t>位；死亡</w:t>
      </w:r>
      <w:r>
        <w:t>4.75</w:t>
      </w:r>
      <w:r>
        <w:rPr>
          <w:rFonts w:hint="eastAsia"/>
        </w:rPr>
        <w:t>万，死亡率为</w:t>
      </w:r>
      <w:r>
        <w:t>3.21/10</w:t>
      </w:r>
      <w:r>
        <w:rPr>
          <w:rFonts w:hint="eastAsia"/>
        </w:rPr>
        <w:t>万，位居男性恶性肿瘤的第</w:t>
      </w:r>
      <w:r>
        <w:t>8</w:t>
      </w:r>
      <w:r>
        <w:rPr>
          <w:rFonts w:hint="eastAsia"/>
        </w:rPr>
        <w:t>位。与历史数据相比，前列腺癌发病率有所上升。我国前列腺癌发病率增加的主要原因可能是人口老龄化、人民生活方式改变以及前列腺特异抗原（</w:t>
      </w:r>
      <w:r>
        <w:t>PSA</w:t>
      </w:r>
      <w:r>
        <w:rPr>
          <w:rFonts w:hint="eastAsia"/>
        </w:rPr>
        <w:t>）等前列腺癌筛查方式的普及。我国前列腺癌的另一特点是城市的发病率显著高于农村，</w:t>
      </w:r>
      <w:r>
        <w:t>2022</w:t>
      </w:r>
      <w:r>
        <w:rPr>
          <w:rFonts w:hint="eastAsia"/>
        </w:rPr>
        <w:t>年我国城市前列腺癌的发病率为</w:t>
      </w:r>
      <w:r>
        <w:t>10.62/10</w:t>
      </w:r>
      <w:r>
        <w:rPr>
          <w:rFonts w:hint="eastAsia"/>
        </w:rPr>
        <w:t>万，而农村为</w:t>
      </w:r>
      <w:r>
        <w:t>8.83/10</w:t>
      </w:r>
      <w:r>
        <w:rPr>
          <w:rFonts w:hint="eastAsia"/>
        </w:rPr>
        <w:t>万</w:t>
      </w:r>
      <w:r>
        <w:rPr>
          <w:color w:val="0000FF"/>
          <w:vertAlign w:val="superscript"/>
          <w:lang w:eastAsia="zh-TW"/>
        </w:rPr>
        <w:fldChar w:fldCharType="begin"/>
      </w:r>
      <w:r>
        <w:rPr>
          <w:color w:val="0000FF"/>
          <w:vertAlign w:val="superscript"/>
        </w:rPr>
        <w:instrText xml:space="preserve"> REF _Ref132199851 \r \h  \* MERGEFORMAT </w:instrText>
      </w:r>
      <w:r>
        <w:rPr>
          <w:color w:val="0000FF"/>
          <w:vertAlign w:val="superscript"/>
          <w:lang w:eastAsia="zh-TW"/>
        </w:rPr>
        <w:fldChar w:fldCharType="separate"/>
      </w:r>
      <w:r>
        <w:rPr>
          <w:color w:val="0000FF"/>
          <w:vertAlign w:val="superscript"/>
        </w:rPr>
        <w:t>[1]</w:t>
      </w:r>
      <w:r>
        <w:rPr>
          <w:color w:val="0000FF"/>
          <w:vertAlign w:val="superscript"/>
          <w:lang w:eastAsia="zh-TW"/>
        </w:rPr>
        <w:fldChar w:fldCharType="end"/>
      </w:r>
      <w:r>
        <w:rPr>
          <w:color w:val="0000FF"/>
          <w:vertAlign w:val="superscript"/>
          <w:lang w:eastAsia="zh-TW"/>
        </w:rPr>
        <w:fldChar w:fldCharType="begin"/>
      </w:r>
      <w:r>
        <w:rPr>
          <w:color w:val="0000FF"/>
          <w:vertAlign w:val="superscript"/>
        </w:rPr>
        <w:instrText xml:space="preserve"> REF _Ref181888864 \r \h  \* MERGEFORMAT </w:instrText>
      </w:r>
      <w:r>
        <w:rPr>
          <w:color w:val="0000FF"/>
          <w:vertAlign w:val="superscript"/>
          <w:lang w:eastAsia="zh-TW"/>
        </w:rPr>
        <w:fldChar w:fldCharType="separate"/>
      </w:r>
      <w:r>
        <w:rPr>
          <w:color w:val="0000FF"/>
          <w:vertAlign w:val="superscript"/>
        </w:rPr>
        <w:t>[2]</w:t>
      </w:r>
      <w:r>
        <w:rPr>
          <w:color w:val="0000FF"/>
          <w:vertAlign w:val="superscript"/>
          <w:lang w:eastAsia="zh-TW"/>
        </w:rPr>
        <w:fldChar w:fldCharType="end"/>
      </w:r>
      <w:r>
        <w:t>。</w:t>
      </w:r>
    </w:p>
    <w:p w14:paraId="368FA6B1">
      <w:pPr>
        <w:spacing w:line="360" w:lineRule="auto"/>
        <w:ind w:firstLine="480" w:firstLineChars="200"/>
        <w:contextualSpacing/>
        <w:jc w:val="both"/>
      </w:pPr>
      <w:r>
        <w:t>研究显示，全球恶性肿瘤5年生存率都有所上升，但国家之间差距明显，我国前列腺癌的生存率上升明显，2010-2014年期间生存率为69.2%，但与欧美等发达国家的生存率（80%以上）仍差距较大。</w:t>
      </w:r>
      <w:bookmarkStart w:id="61" w:name="_Hlk135326998"/>
      <w:r>
        <w:t>分析发现，我国晚期前列腺癌患者比例高于美国等发达国家，这也许是死亡率高而生存率低的主要原因之一，另外，癌症检出率低、治疗策略不规范也可能是其中原因</w:t>
      </w:r>
      <w:r>
        <w:rPr>
          <w:color w:val="0000FF"/>
          <w:vertAlign w:val="superscript"/>
        </w:rPr>
        <w:fldChar w:fldCharType="begin"/>
      </w:r>
      <w:r>
        <w:rPr>
          <w:color w:val="0000FF"/>
          <w:vertAlign w:val="superscript"/>
        </w:rPr>
        <w:instrText xml:space="preserve"> REF _Ref150849550 \r \h  \* MERGEFORMAT </w:instrText>
      </w:r>
      <w:r>
        <w:rPr>
          <w:color w:val="0000FF"/>
          <w:vertAlign w:val="superscript"/>
        </w:rPr>
        <w:fldChar w:fldCharType="separate"/>
      </w:r>
      <w:r>
        <w:rPr>
          <w:color w:val="0000FF"/>
          <w:vertAlign w:val="superscript"/>
        </w:rPr>
        <w:t>[3]</w:t>
      </w:r>
      <w:r>
        <w:rPr>
          <w:color w:val="0000FF"/>
          <w:vertAlign w:val="superscript"/>
        </w:rPr>
        <w:fldChar w:fldCharType="end"/>
      </w:r>
      <w:r>
        <w:t>。因此，我国前列腺癌的诊断和治疗需要进一步提高。</w:t>
      </w:r>
      <w:bookmarkEnd w:id="61"/>
    </w:p>
    <w:p w14:paraId="3FFA95DD">
      <w:pPr>
        <w:spacing w:line="360" w:lineRule="auto"/>
        <w:ind w:firstLine="420"/>
        <w:contextualSpacing/>
        <w:jc w:val="both"/>
      </w:pPr>
      <w:r>
        <w:t>临床常用的前列腺癌诊断方法包括PSA、PSA密度及PSA速率、前列腺健康指数（PHI）、直肠指诊（DRE）、影像学检查、前列腺穿刺活检、基因检测和液体活检等</w:t>
      </w:r>
      <w:r>
        <w:rPr>
          <w:color w:val="0000FF"/>
          <w:vertAlign w:val="superscript"/>
        </w:rPr>
        <w:fldChar w:fldCharType="begin"/>
      </w:r>
      <w:r>
        <w:rPr>
          <w:color w:val="0000FF"/>
          <w:vertAlign w:val="superscript"/>
        </w:rPr>
        <w:instrText xml:space="preserve"> REF _Ref175925012 \r \h  \* MERGEFORMAT </w:instrText>
      </w:r>
      <w:r>
        <w:rPr>
          <w:color w:val="0000FF"/>
          <w:vertAlign w:val="superscript"/>
        </w:rPr>
        <w:fldChar w:fldCharType="separate"/>
      </w:r>
      <w:r>
        <w:rPr>
          <w:color w:val="0000FF"/>
          <w:vertAlign w:val="superscript"/>
        </w:rPr>
        <w:t>[4]</w:t>
      </w:r>
      <w:r>
        <w:rPr>
          <w:color w:val="0000FF"/>
          <w:vertAlign w:val="superscript"/>
        </w:rPr>
        <w:fldChar w:fldCharType="end"/>
      </w:r>
      <w:r>
        <w:t>。其中无创影像学检查仍然是早期前列腺癌术前准确诊断及术后复发准确评估鉴别的主要技术手段，包括超声检查、计算机断层</w:t>
      </w:r>
      <w:r>
        <w:rPr>
          <w:rFonts w:hint="eastAsia"/>
        </w:rPr>
        <w:t>成像</w:t>
      </w:r>
      <w:r>
        <w:t>（CT）、磁共振成像（MRI）、骨</w:t>
      </w:r>
      <w:r>
        <w:rPr>
          <w:rFonts w:hint="eastAsia"/>
        </w:rPr>
        <w:t>成像</w:t>
      </w:r>
      <w:r>
        <w:t>和正电子发射断层</w:t>
      </w:r>
      <w:r>
        <w:rPr>
          <w:rFonts w:hint="eastAsia"/>
        </w:rPr>
        <w:t>成像</w:t>
      </w:r>
      <w:r>
        <w:t>（PET）。</w:t>
      </w:r>
    </w:p>
    <w:p w14:paraId="0B5416A8">
      <w:pPr>
        <w:spacing w:line="360" w:lineRule="auto"/>
        <w:ind w:firstLine="480"/>
        <w:contextualSpacing/>
        <w:jc w:val="both"/>
      </w:pPr>
      <w:bookmarkStart w:id="62" w:name="_Hlk152495312"/>
      <w:r>
        <w:t>前列腺癌常用的治疗方法包括前列腺癌根治术、盆腔淋巴结清扫术；外放射治疗；近距离放射治疗；其他局部治疗如冷冻治疗、高能聚焦超声（HIFU）、不可逆电穿孔、光动力、质子刀等；全身治疗如雄激素剥夺治疗（手术去势、促性腺激素释放激素激动剂及拮抗剂、抗雄激素治疗）；化学治疗和PSMA靶向治疗等</w:t>
      </w:r>
      <w:r>
        <w:rPr>
          <w:color w:val="0000FF"/>
          <w:vertAlign w:val="superscript"/>
        </w:rPr>
        <w:fldChar w:fldCharType="begin"/>
      </w:r>
      <w:r>
        <w:rPr>
          <w:color w:val="0000FF"/>
          <w:vertAlign w:val="superscript"/>
        </w:rPr>
        <w:instrText xml:space="preserve"> REF _Ref175925012 \r \h  \* MERGEFORMAT </w:instrText>
      </w:r>
      <w:r>
        <w:rPr>
          <w:color w:val="0000FF"/>
          <w:vertAlign w:val="superscript"/>
        </w:rPr>
        <w:fldChar w:fldCharType="separate"/>
      </w:r>
      <w:r>
        <w:rPr>
          <w:color w:val="0000FF"/>
          <w:vertAlign w:val="superscript"/>
        </w:rPr>
        <w:t>[4]</w:t>
      </w:r>
      <w:r>
        <w:rPr>
          <w:color w:val="0000FF"/>
          <w:vertAlign w:val="superscript"/>
        </w:rPr>
        <w:fldChar w:fldCharType="end"/>
      </w:r>
      <w:r>
        <w:t>。早期前列腺癌患者可行根治性前列腺切除术，达到良好治疗效果，甚至治愈，而晚期转移性前列腺癌患者只能采用保守治疗方式，失去根治机会。因此对于前列腺癌的早期诊断、分期，以及对根治术后复发患者的及时判断，为患者制定个性化的治疗方案，是延长生存期改善预后的重要基础。</w:t>
      </w:r>
      <w:bookmarkEnd w:id="62"/>
    </w:p>
    <w:p w14:paraId="33F5D691">
      <w:pPr>
        <w:spacing w:line="360" w:lineRule="auto"/>
        <w:ind w:firstLine="480"/>
        <w:contextualSpacing/>
        <w:jc w:val="both"/>
      </w:pPr>
      <w:r>
        <w:t>局限性前列腺癌患者需要接受根治性治疗，根治性治疗包含前列腺癌根治术（radical prostatectomy，RP）和根治性放疗（radical radiotherapy，RT）。随着诊断治疗技术的不断提高，患者行根治性前列腺切除术和根治性放疗的比例逐步提升，但仍有27%~53%接受过根治治疗的患者在10年内出现复发，包括生化复发、局部复发及远处转移</w:t>
      </w:r>
      <w:r>
        <w:fldChar w:fldCharType="begin"/>
      </w:r>
      <w:r>
        <w:instrText xml:space="preserve"> REF _Ref175925218 \r \h  \* MERGEFORMAT </w:instrText>
      </w:r>
      <w:r>
        <w:fldChar w:fldCharType="separate"/>
      </w:r>
      <w:r>
        <w:rPr>
          <w:vertAlign w:val="superscript"/>
        </w:rPr>
        <w:t>[</w:t>
      </w:r>
      <w:r>
        <w:rPr>
          <w:color w:val="0000FF"/>
          <w:vertAlign w:val="superscript"/>
        </w:rPr>
        <w:t>5]</w:t>
      </w:r>
      <w:r>
        <w:fldChar w:fldCharType="end"/>
      </w:r>
      <w:r>
        <w:t>。近年来，研究表明挽救性局部治疗（如挽救性放疗）是前列腺癌术后复发最有效的干预手段之一，尤其是患者在PSA仍处于较低水平的早期复发阶段，病灶多为寡复发和寡转移，且多局限于术区和盆腔，及时行挽救性局部治疗可获得再次根治的可能对于此类前列腺癌患者。因此，尽早发现复发病灶及转移是治疗的关键</w:t>
      </w:r>
      <w:r>
        <w:rPr>
          <w:color w:val="0000FF"/>
          <w:vertAlign w:val="superscript"/>
        </w:rPr>
        <w:fldChar w:fldCharType="begin"/>
      </w:r>
      <w:r>
        <w:rPr>
          <w:color w:val="0000FF"/>
          <w:vertAlign w:val="superscript"/>
        </w:rPr>
        <w:instrText xml:space="preserve"> REF _Ref175925364 \r \h  \* MERGEFORMAT </w:instrText>
      </w:r>
      <w:r>
        <w:rPr>
          <w:color w:val="0000FF"/>
          <w:vertAlign w:val="superscript"/>
        </w:rPr>
        <w:fldChar w:fldCharType="separate"/>
      </w:r>
      <w:r>
        <w:rPr>
          <w:color w:val="0000FF"/>
          <w:vertAlign w:val="superscript"/>
        </w:rPr>
        <w:t>[6]</w:t>
      </w:r>
      <w:r>
        <w:rPr>
          <w:color w:val="0000FF"/>
          <w:vertAlign w:val="superscript"/>
        </w:rPr>
        <w:fldChar w:fldCharType="end"/>
      </w:r>
      <w:r>
        <w:t>。</w:t>
      </w:r>
    </w:p>
    <w:p w14:paraId="7935409B">
      <w:pPr>
        <w:spacing w:line="360" w:lineRule="auto"/>
        <w:ind w:firstLine="480"/>
        <w:contextualSpacing/>
        <w:jc w:val="both"/>
      </w:pPr>
      <w:r>
        <w:t>美国放射学和肿瘤学学会放射治疗肿瘤组Phoenix</w:t>
      </w:r>
      <w:r>
        <w:rPr>
          <w:rFonts w:hint="eastAsia"/>
        </w:rPr>
        <w:t>共识将</w:t>
      </w:r>
      <w:r>
        <w:t>生化复发（biochemical recurrence，BCR）</w:t>
      </w:r>
      <w:r>
        <w:rPr>
          <w:rFonts w:hint="eastAsia"/>
        </w:rPr>
        <w:t>定义为</w:t>
      </w:r>
      <w:r>
        <w:t>RP后连续两次（间隔3周以上）血清前列腺特异性抗原PSA</w:t>
      </w:r>
      <w:r>
        <w:rPr>
          <w:rFonts w:hint="eastAsia"/>
        </w:rPr>
        <w:t xml:space="preserve"> </w:t>
      </w:r>
      <w:r>
        <w:t>≥</w:t>
      </w:r>
      <w:r>
        <w:rPr>
          <w:rFonts w:hint="eastAsia"/>
        </w:rPr>
        <w:t xml:space="preserve"> </w:t>
      </w:r>
      <w:r>
        <w:t>0.2 ng/mL，或根治性放疗后（≥6周）在最低值的基础上，PSA升高超过2 ng/mL</w:t>
      </w:r>
      <w:r>
        <w:rPr>
          <w:color w:val="0000FF"/>
          <w:vertAlign w:val="superscript"/>
        </w:rPr>
        <w:fldChar w:fldCharType="begin"/>
      </w:r>
      <w:r>
        <w:rPr>
          <w:color w:val="0000FF"/>
          <w:vertAlign w:val="superscript"/>
        </w:rPr>
        <w:instrText xml:space="preserve"> REF _Ref181890259 \r \h  \* MERGEFORMAT </w:instrText>
      </w:r>
      <w:r>
        <w:rPr>
          <w:color w:val="0000FF"/>
          <w:vertAlign w:val="superscript"/>
        </w:rPr>
        <w:fldChar w:fldCharType="separate"/>
      </w:r>
      <w:r>
        <w:rPr>
          <w:color w:val="0000FF"/>
          <w:vertAlign w:val="superscript"/>
        </w:rPr>
        <w:t>[7]</w:t>
      </w:r>
      <w:r>
        <w:rPr>
          <w:color w:val="0000FF"/>
          <w:vertAlign w:val="superscript"/>
        </w:rPr>
        <w:fldChar w:fldCharType="end"/>
      </w:r>
      <w:r>
        <w:t>。2024 NCCN</w:t>
      </w:r>
      <w:r>
        <w:rPr>
          <w:rFonts w:hint="eastAsia"/>
        </w:rPr>
        <w:t>指南将根治性前列腺癌切除术后</w:t>
      </w:r>
      <w:r>
        <w:t>PSA</w:t>
      </w:r>
      <w:r>
        <w:rPr>
          <w:rFonts w:hint="eastAsia"/>
        </w:rPr>
        <w:t>降至检测水平以下，随后</w:t>
      </w:r>
      <w:r>
        <w:t>2</w:t>
      </w:r>
      <w:r>
        <w:rPr>
          <w:rFonts w:hint="eastAsia"/>
        </w:rPr>
        <w:t>次检测</w:t>
      </w:r>
      <w:r>
        <w:t>PSA&gt;0.1</w:t>
      </w:r>
      <w:r>
        <w:rPr>
          <w:rFonts w:hint="eastAsia"/>
        </w:rPr>
        <w:t xml:space="preserve"> </w:t>
      </w:r>
      <w:r>
        <w:t>ng/ml</w:t>
      </w:r>
      <w:r>
        <w:rPr>
          <w:rFonts w:hint="eastAsia"/>
        </w:rPr>
        <w:t>作为</w:t>
      </w:r>
      <w:r>
        <w:t>BCR</w:t>
      </w:r>
      <w:r>
        <w:rPr>
          <w:rFonts w:hint="eastAsia"/>
        </w:rPr>
        <w:t>最新的标准</w:t>
      </w:r>
      <w:r>
        <w:rPr>
          <w:color w:val="0000FF"/>
          <w:vertAlign w:val="superscript"/>
        </w:rPr>
        <w:fldChar w:fldCharType="begin"/>
      </w:r>
      <w:r>
        <w:rPr>
          <w:color w:val="0000FF"/>
          <w:vertAlign w:val="superscript"/>
        </w:rPr>
        <w:instrText xml:space="preserve"> REF _Ref176535817 \r \h  \* MERGEFORMAT </w:instrText>
      </w:r>
      <w:r>
        <w:rPr>
          <w:color w:val="0000FF"/>
          <w:vertAlign w:val="superscript"/>
        </w:rPr>
        <w:fldChar w:fldCharType="separate"/>
      </w:r>
      <w:r>
        <w:rPr>
          <w:color w:val="0000FF"/>
          <w:vertAlign w:val="superscript"/>
        </w:rPr>
        <w:t>[12]</w:t>
      </w:r>
      <w:r>
        <w:rPr>
          <w:color w:val="0000FF"/>
          <w:vertAlign w:val="superscript"/>
        </w:rPr>
        <w:fldChar w:fldCharType="end"/>
      </w:r>
      <w:r>
        <w:rPr>
          <w:rFonts w:hint="eastAsia"/>
        </w:rPr>
        <w:t>。</w:t>
      </w:r>
      <w:r>
        <w:t>RP后BCR率为20%~30%，RT后高达60%</w:t>
      </w:r>
      <w:bookmarkEnd w:id="57"/>
      <w:bookmarkStart w:id="63" w:name="_Hlk152495403"/>
      <w:r>
        <w:rPr>
          <w:color w:val="0000FF"/>
          <w:vertAlign w:val="superscript"/>
        </w:rPr>
        <w:fldChar w:fldCharType="begin"/>
      </w:r>
      <w:r>
        <w:rPr>
          <w:color w:val="0000FF"/>
          <w:vertAlign w:val="superscript"/>
        </w:rPr>
        <w:instrText xml:space="preserve"> REF _Ref183518628 \r \h  \* MERGEFORMAT </w:instrText>
      </w:r>
      <w:r>
        <w:rPr>
          <w:color w:val="0000FF"/>
          <w:vertAlign w:val="superscript"/>
        </w:rPr>
        <w:fldChar w:fldCharType="separate"/>
      </w:r>
      <w:r>
        <w:rPr>
          <w:color w:val="0000FF"/>
          <w:vertAlign w:val="superscript"/>
        </w:rPr>
        <w:t>[8]</w:t>
      </w:r>
      <w:r>
        <w:rPr>
          <w:color w:val="0000FF"/>
          <w:vertAlign w:val="superscript"/>
        </w:rPr>
        <w:fldChar w:fldCharType="end"/>
      </w:r>
      <w:r>
        <w:t>。BCR表明癌细胞可能已经复发或继续存在，预示着临床复发或转移的可能性增加，是肿瘤进展的早期预警。虽说BCR是临床复发的先兆，但并不是所有的BCR都会发展成临床复发，也就是说BCR并不一定代表患者会进展为局部复发或远处转移，但需要密切监测和进一步评估，以确定是否需要采取治疗措施</w:t>
      </w:r>
      <w:r>
        <w:rPr>
          <w:color w:val="0000FF"/>
          <w:vertAlign w:val="superscript"/>
        </w:rPr>
        <w:fldChar w:fldCharType="begin"/>
      </w:r>
      <w:r>
        <w:rPr>
          <w:color w:val="0000FF"/>
          <w:vertAlign w:val="superscript"/>
        </w:rPr>
        <w:instrText xml:space="preserve"> REF _Ref176535350 \r \h  \* MERGEFORMAT </w:instrText>
      </w:r>
      <w:r>
        <w:rPr>
          <w:color w:val="0000FF"/>
          <w:vertAlign w:val="superscript"/>
        </w:rPr>
        <w:fldChar w:fldCharType="separate"/>
      </w:r>
      <w:r>
        <w:rPr>
          <w:color w:val="0000FF"/>
          <w:vertAlign w:val="superscript"/>
        </w:rPr>
        <w:t>[9]</w:t>
      </w:r>
      <w:r>
        <w:rPr>
          <w:color w:val="0000FF"/>
          <w:vertAlign w:val="superscript"/>
        </w:rPr>
        <w:fldChar w:fldCharType="end"/>
      </w:r>
      <w:r>
        <w:t>。</w:t>
      </w:r>
    </w:p>
    <w:p w14:paraId="0AFC628A">
      <w:pPr>
        <w:spacing w:line="360" w:lineRule="auto"/>
        <w:ind w:firstLine="480"/>
        <w:contextualSpacing/>
        <w:jc w:val="both"/>
      </w:pPr>
      <w:r>
        <w:t>PSA水平升高是前列腺癌生化复发的首发体征，但PSA检测无法区分局部复发、区域复发或远处转移复发</w:t>
      </w:r>
      <w:r>
        <w:rPr>
          <w:color w:val="0000FF"/>
          <w:vertAlign w:val="superscript"/>
        </w:rPr>
        <w:fldChar w:fldCharType="begin"/>
      </w:r>
      <w:r>
        <w:rPr>
          <w:color w:val="0000FF"/>
          <w:vertAlign w:val="superscript"/>
        </w:rPr>
        <w:instrText xml:space="preserve"> REF _Ref176535768 \r \h  \* MERGEFORMAT </w:instrText>
      </w:r>
      <w:r>
        <w:rPr>
          <w:color w:val="0000FF"/>
          <w:vertAlign w:val="superscript"/>
        </w:rPr>
        <w:fldChar w:fldCharType="separate"/>
      </w:r>
      <w:r>
        <w:rPr>
          <w:color w:val="0000FF"/>
          <w:vertAlign w:val="superscript"/>
        </w:rPr>
        <w:t>[10]</w:t>
      </w:r>
      <w:r>
        <w:rPr>
          <w:color w:val="0000FF"/>
          <w:vertAlign w:val="superscript"/>
        </w:rPr>
        <w:fldChar w:fldCharType="end"/>
      </w:r>
      <w:r>
        <w:t>。生化复发的患者常规影像检查方法包括MRI、CT、</w:t>
      </w:r>
      <w:r>
        <w:rPr>
          <w:rFonts w:hint="eastAsia"/>
        </w:rPr>
        <w:t>全身骨成像</w:t>
      </w:r>
      <w:r>
        <w:t>等，前列腺窝的局部复发情况可应用MRI检查，MRI阳性的PSA临界值为0.3-0.5</w:t>
      </w:r>
      <w:r>
        <w:rPr>
          <w:rFonts w:hint="eastAsia"/>
        </w:rPr>
        <w:t xml:space="preserve"> </w:t>
      </w:r>
      <w:r>
        <w:t>ng/mL；PSA动力学也有一定影响。CT、</w:t>
      </w:r>
      <w:r>
        <w:rPr>
          <w:rFonts w:hint="eastAsia"/>
        </w:rPr>
        <w:t>全身骨成像</w:t>
      </w:r>
      <w:r>
        <w:t>检查在评估全身转移灶方面有一定价值，</w:t>
      </w:r>
      <w:r>
        <w:rPr>
          <w:rFonts w:hint="eastAsia"/>
        </w:rPr>
        <w:t>但</w:t>
      </w:r>
      <w:r>
        <w:t>阳性率较低。在根治性前列腺切除术后BCR患者中，当PSA</w:t>
      </w:r>
      <w:r>
        <w:rPr>
          <w:rFonts w:hint="eastAsia"/>
        </w:rPr>
        <w:t xml:space="preserve">&lt; </w:t>
      </w:r>
      <w:r>
        <w:t>7</w:t>
      </w:r>
      <w:r>
        <w:rPr>
          <w:rFonts w:hint="eastAsia"/>
        </w:rPr>
        <w:t xml:space="preserve"> </w:t>
      </w:r>
      <w:r>
        <w:t>ng/mL时，</w:t>
      </w:r>
      <w:r>
        <w:rPr>
          <w:rFonts w:hint="eastAsia"/>
        </w:rPr>
        <w:t>全身骨成像</w:t>
      </w:r>
      <w:r>
        <w:t>阳性率</w:t>
      </w:r>
      <w:r>
        <w:rPr>
          <w:rFonts w:hint="eastAsia"/>
        </w:rPr>
        <w:t xml:space="preserve">&lt; </w:t>
      </w:r>
      <w:r>
        <w:t>5%。在一项纳入132例根治性前列腺癌切除术后BCR患者的研究中，CT阳性患者的PSA平均水平为27.4</w:t>
      </w:r>
      <w:r>
        <w:rPr>
          <w:rFonts w:hint="eastAsia"/>
        </w:rPr>
        <w:t xml:space="preserve"> </w:t>
      </w:r>
      <w:r>
        <w:t>ng/mL，PSA速率为1.8ng/（mL·月）</w:t>
      </w:r>
      <w:r>
        <w:rPr>
          <w:color w:val="0000FF"/>
          <w:vertAlign w:val="superscript"/>
        </w:rPr>
        <w:fldChar w:fldCharType="begin"/>
      </w:r>
      <w:r>
        <w:rPr>
          <w:color w:val="0000FF"/>
          <w:vertAlign w:val="superscript"/>
        </w:rPr>
        <w:instrText xml:space="preserve"> REF _Ref176537177 \r \h  \* MERGEFORMAT </w:instrText>
      </w:r>
      <w:r>
        <w:rPr>
          <w:color w:val="0000FF"/>
          <w:vertAlign w:val="superscript"/>
        </w:rPr>
        <w:fldChar w:fldCharType="separate"/>
      </w:r>
      <w:r>
        <w:rPr>
          <w:color w:val="0000FF"/>
          <w:vertAlign w:val="superscript"/>
        </w:rPr>
        <w:t>[11]</w:t>
      </w:r>
      <w:r>
        <w:rPr>
          <w:color w:val="0000FF"/>
          <w:vertAlign w:val="superscript"/>
        </w:rPr>
        <w:fldChar w:fldCharType="end"/>
      </w:r>
      <w:r>
        <w:t>。所以当PSA处于低水平时（2.0</w:t>
      </w:r>
      <w:r>
        <w:rPr>
          <w:rFonts w:hint="eastAsia"/>
        </w:rPr>
        <w:t xml:space="preserve"> </w:t>
      </w:r>
      <w:r>
        <w:t>ng/mL)，生化复发的患者使用常规影像学（CT、MRI和</w:t>
      </w:r>
      <w:r>
        <w:rPr>
          <w:rFonts w:hint="eastAsia"/>
        </w:rPr>
        <w:t>全身骨成像</w:t>
      </w:r>
      <w:r>
        <w:t>）检查来确定复发病灶位置和范围，敏感性有限</w:t>
      </w:r>
      <w:r>
        <w:rPr>
          <w:color w:val="0000FF"/>
          <w:vertAlign w:val="superscript"/>
        </w:rPr>
        <w:fldChar w:fldCharType="begin"/>
      </w:r>
      <w:r>
        <w:rPr>
          <w:color w:val="0000FF"/>
          <w:vertAlign w:val="superscript"/>
        </w:rPr>
        <w:instrText xml:space="preserve"> REF _Ref176535817 \r \h  \* MERGEFORMAT </w:instrText>
      </w:r>
      <w:r>
        <w:rPr>
          <w:color w:val="0000FF"/>
          <w:vertAlign w:val="superscript"/>
        </w:rPr>
        <w:fldChar w:fldCharType="separate"/>
      </w:r>
      <w:r>
        <w:rPr>
          <w:color w:val="0000FF"/>
          <w:vertAlign w:val="superscript"/>
        </w:rPr>
        <w:t>[12]</w:t>
      </w:r>
      <w:r>
        <w:rPr>
          <w:color w:val="0000FF"/>
          <w:vertAlign w:val="superscript"/>
        </w:rPr>
        <w:fldChar w:fldCharType="end"/>
      </w:r>
      <w:r>
        <w:rPr>
          <w:color w:val="0000FF"/>
          <w:vertAlign w:val="superscript"/>
        </w:rPr>
        <w:fldChar w:fldCharType="begin"/>
      </w:r>
      <w:r>
        <w:rPr>
          <w:color w:val="0000FF"/>
          <w:vertAlign w:val="superscript"/>
        </w:rPr>
        <w:instrText xml:space="preserve"> REF _Ref156979667 \r \h  \* MERGEFORMAT </w:instrText>
      </w:r>
      <w:r>
        <w:rPr>
          <w:color w:val="0000FF"/>
          <w:vertAlign w:val="superscript"/>
        </w:rPr>
        <w:fldChar w:fldCharType="separate"/>
      </w:r>
      <w:r>
        <w:rPr>
          <w:color w:val="0000FF"/>
          <w:vertAlign w:val="superscript"/>
        </w:rPr>
        <w:t>[13]</w:t>
      </w:r>
      <w:r>
        <w:rPr>
          <w:color w:val="0000FF"/>
          <w:vertAlign w:val="superscript"/>
        </w:rPr>
        <w:fldChar w:fldCharType="end"/>
      </w:r>
      <w:r>
        <w:t>，并且无法确定复发病灶位置和范围，只能根据临床经验对患者进行局部或全身治疗</w:t>
      </w:r>
      <w:r>
        <w:rPr>
          <w:color w:val="0000FF"/>
          <w:vertAlign w:val="superscript"/>
        </w:rPr>
        <w:fldChar w:fldCharType="begin"/>
      </w:r>
      <w:r>
        <w:rPr>
          <w:color w:val="0000FF"/>
          <w:vertAlign w:val="superscript"/>
        </w:rPr>
        <w:instrText xml:space="preserve"> REF _Ref176535768 \r \h  \* MERGEFORMAT </w:instrText>
      </w:r>
      <w:r>
        <w:rPr>
          <w:color w:val="0000FF"/>
          <w:vertAlign w:val="superscript"/>
        </w:rPr>
        <w:fldChar w:fldCharType="separate"/>
      </w:r>
      <w:r>
        <w:rPr>
          <w:color w:val="0000FF"/>
          <w:vertAlign w:val="superscript"/>
        </w:rPr>
        <w:t>[10]</w:t>
      </w:r>
      <w:r>
        <w:rPr>
          <w:color w:val="0000FF"/>
          <w:vertAlign w:val="superscript"/>
        </w:rPr>
        <w:fldChar w:fldCharType="end"/>
      </w:r>
      <w:r>
        <w:rPr>
          <w:color w:val="0000FF"/>
          <w:vertAlign w:val="superscript"/>
        </w:rPr>
        <w:fldChar w:fldCharType="begin"/>
      </w:r>
      <w:r>
        <w:rPr>
          <w:color w:val="0000FF"/>
          <w:vertAlign w:val="superscript"/>
        </w:rPr>
        <w:instrText xml:space="preserve"> REF _Ref156979688 \r \h  \* MERGEFORMAT </w:instrText>
      </w:r>
      <w:r>
        <w:rPr>
          <w:color w:val="0000FF"/>
          <w:vertAlign w:val="superscript"/>
        </w:rPr>
        <w:fldChar w:fldCharType="separate"/>
      </w:r>
      <w:r>
        <w:rPr>
          <w:color w:val="0000FF"/>
          <w:vertAlign w:val="superscript"/>
        </w:rPr>
        <w:t>[14]</w:t>
      </w:r>
      <w:r>
        <w:rPr>
          <w:color w:val="0000FF"/>
          <w:vertAlign w:val="superscript"/>
        </w:rPr>
        <w:fldChar w:fldCharType="end"/>
      </w:r>
      <w:r>
        <w:t>。因此，早期发现生化复发对目前的成像方式仍是一个挑战。</w:t>
      </w:r>
    </w:p>
    <w:p w14:paraId="0F5CEEB9">
      <w:pPr>
        <w:spacing w:line="360" w:lineRule="auto"/>
        <w:ind w:firstLine="480" w:firstLineChars="200"/>
        <w:contextualSpacing/>
        <w:jc w:val="both"/>
      </w:pPr>
      <w:r>
        <w:t>综上所述，临床亟需一种可靠的检查方法帮助确定根治性治疗后PSA升高患者是否复发的诊断方法。</w:t>
      </w:r>
    </w:p>
    <w:bookmarkEnd w:id="63"/>
    <w:p w14:paraId="7B3EF796">
      <w:pPr>
        <w:spacing w:line="360" w:lineRule="auto"/>
        <w:ind w:firstLine="480" w:firstLineChars="200"/>
        <w:contextualSpacing/>
        <w:jc w:val="both"/>
      </w:pPr>
      <w:bookmarkStart w:id="64" w:name="_Hlk152750042"/>
      <w:bookmarkStart w:id="65" w:name="_Hlk152605500"/>
      <w:r>
        <w:t>PET/CT技术融合了CT解剖图像和PET功能代谢图像的独特优势，让医生在了解生物代谢信息的同时也能获得精准的解剖定位。近</w:t>
      </w:r>
      <w:r>
        <w:rPr>
          <w:rFonts w:hint="eastAsia"/>
        </w:rPr>
        <w:t>年来</w:t>
      </w:r>
      <w:r>
        <w:t>，基于靶向分子探针的PET/CT成像技术在恶性肿瘤精准诊疗中发挥着越来越重要的作用。</w:t>
      </w:r>
    </w:p>
    <w:bookmarkEnd w:id="64"/>
    <w:p w14:paraId="39AD212A">
      <w:pPr>
        <w:spacing w:line="360" w:lineRule="auto"/>
        <w:ind w:firstLine="480" w:firstLineChars="200"/>
        <w:contextualSpacing/>
        <w:jc w:val="both"/>
      </w:pPr>
      <w:bookmarkStart w:id="66" w:name="_Hlk152750063"/>
      <w:r>
        <w:rPr>
          <w:rFonts w:hint="eastAsia"/>
        </w:rPr>
        <w:t>PET技术与传统影像技术有所不同，PET技术可以通过特定的放射性示踪剂在分子层面对肿瘤细胞代谢信息进行成像，提高了对病灶检测能力，在前列腺癌诊断中已得到广泛应用。</w:t>
      </w:r>
      <w:r>
        <w:t>目前</w:t>
      </w:r>
      <w:r>
        <w:rPr>
          <w:vertAlign w:val="superscript"/>
        </w:rPr>
        <w:t>18</w:t>
      </w:r>
      <w:r>
        <w:t>F-FDG是国内PET</w:t>
      </w:r>
      <w:r>
        <w:rPr>
          <w:rFonts w:hint="eastAsia"/>
        </w:rPr>
        <w:t>成像</w:t>
      </w:r>
      <w:r>
        <w:t>中最常用的放射性示踪剂。</w:t>
      </w:r>
      <w:r>
        <w:rPr>
          <w:vertAlign w:val="superscript"/>
        </w:rPr>
        <w:t>18</w:t>
      </w:r>
      <w:r>
        <w:t>F-FDG为葡萄糖类似物，通过反映病灶对葡萄糖吸收的差异来显示肿瘤的部分、大小和数量等。</w:t>
      </w:r>
      <w:r>
        <w:rPr>
          <w:vertAlign w:val="superscript"/>
        </w:rPr>
        <w:t>18</w:t>
      </w:r>
      <w:r>
        <w:t>F-FDG的高摄取可以提示肿瘤细胞的葡萄糖高代谢活动，进而诊断。</w:t>
      </w:r>
      <w:r>
        <w:rPr>
          <w:vertAlign w:val="superscript"/>
        </w:rPr>
        <w:t>18</w:t>
      </w:r>
      <w:r>
        <w:t>F-FDG的</w:t>
      </w:r>
      <w:r>
        <w:rPr>
          <w:rFonts w:hint="eastAsia"/>
        </w:rPr>
        <w:t>成像</w:t>
      </w:r>
      <w:r>
        <w:t>是一种灵敏诊断肿瘤的方法，但部分缺乏特异性，应该认识到病理和生理过程也会影响葡萄糖代谢水平，如局部血流量、乏氧、坏死和肿瘤，周围炎性反应、激素、表皮生长因子（EGF）等，在特定的患者和疾病中需要结合更加特异性的分子探针示踪剂进行补足，例如，一般前列腺癌细胞增殖缓慢或低糖代谢导致</w:t>
      </w:r>
      <w:r>
        <w:rPr>
          <w:vertAlign w:val="superscript"/>
        </w:rPr>
        <w:t>18</w:t>
      </w:r>
      <w:r>
        <w:t>F-FDG摄取较低，且前列腺增生、前列腺炎组织同样会增加对</w:t>
      </w:r>
      <w:r>
        <w:rPr>
          <w:vertAlign w:val="superscript"/>
        </w:rPr>
        <w:t>18</w:t>
      </w:r>
      <w:r>
        <w:t>F-FDG的摄取，因此对于癌灶与良性前列腺增生或前列腺炎之间鉴别诊断较为困难</w:t>
      </w:r>
      <w:r>
        <w:rPr>
          <w:color w:val="0000FF"/>
          <w:vertAlign w:val="superscript"/>
        </w:rPr>
        <w:fldChar w:fldCharType="begin"/>
      </w:r>
      <w:r>
        <w:rPr>
          <w:color w:val="0000FF"/>
          <w:vertAlign w:val="superscript"/>
        </w:rPr>
        <w:instrText xml:space="preserve"> REF _Ref156981180 \r \h  \* MERGEFORMAT </w:instrText>
      </w:r>
      <w:r>
        <w:rPr>
          <w:color w:val="0000FF"/>
          <w:vertAlign w:val="superscript"/>
        </w:rPr>
        <w:fldChar w:fldCharType="separate"/>
      </w:r>
      <w:r>
        <w:rPr>
          <w:color w:val="0000FF"/>
          <w:vertAlign w:val="superscript"/>
        </w:rPr>
        <w:t>[15]</w:t>
      </w:r>
      <w:r>
        <w:rPr>
          <w:color w:val="0000FF"/>
          <w:vertAlign w:val="superscript"/>
        </w:rPr>
        <w:fldChar w:fldCharType="end"/>
      </w:r>
      <w:r>
        <w:rPr>
          <w:color w:val="0000FF"/>
          <w:vertAlign w:val="superscript"/>
        </w:rPr>
        <w:fldChar w:fldCharType="begin"/>
      </w:r>
      <w:r>
        <w:rPr>
          <w:color w:val="0000FF"/>
          <w:vertAlign w:val="superscript"/>
        </w:rPr>
        <w:instrText xml:space="preserve"> REF _Ref152667747 \r \h  \* MERGEFORMAT </w:instrText>
      </w:r>
      <w:r>
        <w:rPr>
          <w:color w:val="0000FF"/>
          <w:vertAlign w:val="superscript"/>
        </w:rPr>
        <w:fldChar w:fldCharType="separate"/>
      </w:r>
      <w:r>
        <w:rPr>
          <w:color w:val="0000FF"/>
          <w:vertAlign w:val="superscript"/>
        </w:rPr>
        <w:t>[16]</w:t>
      </w:r>
      <w:r>
        <w:rPr>
          <w:color w:val="0000FF"/>
          <w:vertAlign w:val="superscript"/>
        </w:rPr>
        <w:fldChar w:fldCharType="end"/>
      </w:r>
      <w:r>
        <w:t>，开发前列腺癌特异性探针成为临床亟待解决的问题。</w:t>
      </w:r>
    </w:p>
    <w:p w14:paraId="41DE22D9">
      <w:pPr>
        <w:spacing w:line="360" w:lineRule="auto"/>
        <w:ind w:firstLine="480" w:firstLineChars="200"/>
        <w:contextualSpacing/>
        <w:jc w:val="both"/>
      </w:pPr>
      <w:r>
        <w:t>前列腺特异性膜抗原（Prostate-Specific Membrane Antigen，简称PSMA）是一种Ⅱ型跨膜蛋白质，由19个细胞内、24个跨膜和707个细胞外氨基酸组成。研究表明，PSMA在90%的前列腺癌细胞中过表达，是正常细胞表达量的100~1000倍，在前列腺癌晚期和去势治疗抵抗的癌细胞中表达更高，且随着肿瘤分期及分级的升高而升高</w:t>
      </w:r>
      <w:r>
        <w:rPr>
          <w:color w:val="0000FF"/>
          <w:vertAlign w:val="superscript"/>
        </w:rPr>
        <w:fldChar w:fldCharType="begin"/>
      </w:r>
      <w:r>
        <w:rPr>
          <w:color w:val="0000FF"/>
          <w:vertAlign w:val="superscript"/>
        </w:rPr>
        <w:instrText xml:space="preserve"> REF _Ref152761073 \r \h  \* MERGEFORMAT </w:instrText>
      </w:r>
      <w:r>
        <w:rPr>
          <w:color w:val="0000FF"/>
          <w:vertAlign w:val="superscript"/>
        </w:rPr>
        <w:fldChar w:fldCharType="separate"/>
      </w:r>
      <w:r>
        <w:rPr>
          <w:color w:val="0000FF"/>
          <w:vertAlign w:val="superscript"/>
        </w:rPr>
        <w:t>[17]</w:t>
      </w:r>
      <w:r>
        <w:rPr>
          <w:color w:val="0000FF"/>
          <w:vertAlign w:val="superscript"/>
        </w:rPr>
        <w:fldChar w:fldCharType="end"/>
      </w:r>
      <w:r>
        <w:t>，尽管PSMA并不特异表达于前列腺癌，一些正常器官包括唾液腺、泪腺、小肠等以及部分肿瘤，如肾细胞癌等的新生血管中也可观察到PSMA的表达，但这些组织PSMA表达水平明显低于前列腺癌</w:t>
      </w:r>
      <w:r>
        <w:rPr>
          <w:color w:val="0000FF"/>
          <w:vertAlign w:val="superscript"/>
        </w:rPr>
        <w:fldChar w:fldCharType="begin"/>
      </w:r>
      <w:r>
        <w:rPr>
          <w:color w:val="0000FF"/>
          <w:vertAlign w:val="superscript"/>
        </w:rPr>
        <w:instrText xml:space="preserve"> REF _Ref152762013 \r \h  \* MERGEFORMAT </w:instrText>
      </w:r>
      <w:r>
        <w:rPr>
          <w:color w:val="0000FF"/>
          <w:vertAlign w:val="superscript"/>
        </w:rPr>
        <w:fldChar w:fldCharType="separate"/>
      </w:r>
      <w:r>
        <w:rPr>
          <w:color w:val="0000FF"/>
          <w:vertAlign w:val="superscript"/>
        </w:rPr>
        <w:t>[18]</w:t>
      </w:r>
      <w:r>
        <w:rPr>
          <w:color w:val="0000FF"/>
          <w:vertAlign w:val="superscript"/>
        </w:rPr>
        <w:fldChar w:fldCharType="end"/>
      </w:r>
      <w:r>
        <w:t>。许多临床研究已经积极证明了PSMA靶点在前列腺癌分期、生化复发评价、指导挽救性放疗、疗效评价等方面的重要价值</w:t>
      </w:r>
      <w:r>
        <w:rPr>
          <w:color w:val="0000FF"/>
          <w:vertAlign w:val="superscript"/>
        </w:rPr>
        <w:fldChar w:fldCharType="begin"/>
      </w:r>
      <w:r>
        <w:rPr>
          <w:color w:val="0000FF"/>
          <w:vertAlign w:val="superscript"/>
        </w:rPr>
        <w:instrText xml:space="preserve"> REF _Ref152762065 \r \h  \* MERGEFORMAT </w:instrText>
      </w:r>
      <w:r>
        <w:rPr>
          <w:color w:val="0000FF"/>
          <w:vertAlign w:val="superscript"/>
        </w:rPr>
        <w:fldChar w:fldCharType="separate"/>
      </w:r>
      <w:r>
        <w:rPr>
          <w:color w:val="0000FF"/>
          <w:vertAlign w:val="superscript"/>
        </w:rPr>
        <w:t>[19]</w:t>
      </w:r>
      <w:r>
        <w:rPr>
          <w:color w:val="0000FF"/>
          <w:vertAlign w:val="superscript"/>
        </w:rPr>
        <w:fldChar w:fldCharType="end"/>
      </w:r>
      <w:r>
        <w:t>。</w:t>
      </w:r>
    </w:p>
    <w:p w14:paraId="01EBA977">
      <w:pPr>
        <w:widowControl w:val="0"/>
        <w:spacing w:line="360" w:lineRule="auto"/>
        <w:ind w:firstLine="480" w:firstLineChars="200"/>
        <w:jc w:val="both"/>
      </w:pPr>
      <w:r>
        <w:t>放射性PSMA小分子探针对肿瘤的穿透性好，且本底放射性活性较低，是目前构建前列腺癌分子探针的首选，也是目前PET在前列腺癌分子影像诊断方面研究的前沿和热点</w:t>
      </w:r>
      <w:r>
        <w:rPr>
          <w:color w:val="0000FF"/>
          <w:vertAlign w:val="superscript"/>
        </w:rPr>
        <w:fldChar w:fldCharType="begin"/>
      </w:r>
      <w:r>
        <w:rPr>
          <w:color w:val="0000FF"/>
          <w:vertAlign w:val="superscript"/>
        </w:rPr>
        <w:instrText xml:space="preserve"> REF _Ref132196243 \r \h  \* MERGEFORMAT </w:instrText>
      </w:r>
      <w:r>
        <w:rPr>
          <w:color w:val="0000FF"/>
          <w:vertAlign w:val="superscript"/>
        </w:rPr>
        <w:fldChar w:fldCharType="separate"/>
      </w:r>
      <w:r>
        <w:rPr>
          <w:color w:val="0000FF"/>
          <w:vertAlign w:val="superscript"/>
        </w:rPr>
        <w:t>[20]</w:t>
      </w:r>
      <w:r>
        <w:rPr>
          <w:color w:val="0000FF"/>
          <w:vertAlign w:val="superscript"/>
        </w:rPr>
        <w:fldChar w:fldCharType="end"/>
      </w:r>
      <w:r>
        <w:t>。</w:t>
      </w:r>
    </w:p>
    <w:bookmarkEnd w:id="65"/>
    <w:p w14:paraId="48D0EA69">
      <w:pPr>
        <w:spacing w:line="360" w:lineRule="auto"/>
        <w:ind w:firstLine="480" w:firstLineChars="200"/>
        <w:contextualSpacing/>
        <w:jc w:val="both"/>
      </w:pPr>
      <w:bookmarkStart w:id="67" w:name="_Hlk152605585"/>
      <w:r>
        <w:t>美国国立综合癌症网络（NCCN）指南中指出，由于与传统影像学（CT、MRI）相比，PSMA-PET示踪剂在前列腺癌初始分期和生化复发时检测的灵敏度和特异度都有所提高，因此PSMA-PET/CT或PSMA-PET/MRI同样可以作为此类患者的一线成像工具</w:t>
      </w:r>
      <w:r>
        <w:rPr>
          <w:color w:val="0000FF"/>
          <w:vertAlign w:val="superscript"/>
        </w:rPr>
        <w:fldChar w:fldCharType="begin"/>
      </w:r>
      <w:r>
        <w:rPr>
          <w:color w:val="0000FF"/>
          <w:vertAlign w:val="superscript"/>
        </w:rPr>
        <w:instrText xml:space="preserve"> REF _Ref176535817 \r \h  \* MERGEFORMAT </w:instrText>
      </w:r>
      <w:r>
        <w:rPr>
          <w:color w:val="0000FF"/>
          <w:vertAlign w:val="superscript"/>
        </w:rPr>
        <w:fldChar w:fldCharType="separate"/>
      </w:r>
      <w:r>
        <w:rPr>
          <w:color w:val="0000FF"/>
          <w:vertAlign w:val="superscript"/>
        </w:rPr>
        <w:t>[12]</w:t>
      </w:r>
      <w:r>
        <w:rPr>
          <w:color w:val="0000FF"/>
          <w:vertAlign w:val="superscript"/>
        </w:rPr>
        <w:fldChar w:fldCharType="end"/>
      </w:r>
      <w:r>
        <w:t>。</w:t>
      </w:r>
    </w:p>
    <w:p w14:paraId="11BD901F">
      <w:pPr>
        <w:spacing w:line="360" w:lineRule="auto"/>
        <w:ind w:firstLine="480" w:firstLineChars="200"/>
        <w:contextualSpacing/>
        <w:jc w:val="both"/>
      </w:pPr>
      <w:r>
        <w:t>欧洲核医学会/核医学和分子成像学会（EANM/SNMMI）制定的PSMA-PET/CT指南提示PSMA-PET/CT可用于前列腺癌初始分期，复发性（BCR）或持续性（BCP）前列腺癌定位，非转移性前列腺癌的常规影像学定位；此外还可用于PSMA定向放射配体治疗前的分期，前列腺活检指导，转移性前列腺癌和全身治疗的监测等方面</w:t>
      </w:r>
      <w:r>
        <w:rPr>
          <w:color w:val="0000FF"/>
          <w:vertAlign w:val="superscript"/>
        </w:rPr>
        <w:fldChar w:fldCharType="begin"/>
      </w:r>
      <w:r>
        <w:rPr>
          <w:color w:val="0000FF"/>
          <w:vertAlign w:val="superscript"/>
        </w:rPr>
        <w:instrText xml:space="preserve"> REF _Ref141955146 \r \h  \* MERGEFORMAT </w:instrText>
      </w:r>
      <w:r>
        <w:rPr>
          <w:color w:val="0000FF"/>
          <w:vertAlign w:val="superscript"/>
        </w:rPr>
        <w:fldChar w:fldCharType="separate"/>
      </w:r>
      <w:r>
        <w:rPr>
          <w:color w:val="0000FF"/>
          <w:vertAlign w:val="superscript"/>
        </w:rPr>
        <w:t>[21]</w:t>
      </w:r>
      <w:r>
        <w:rPr>
          <w:color w:val="0000FF"/>
          <w:vertAlign w:val="superscript"/>
        </w:rPr>
        <w:fldChar w:fldCharType="end"/>
      </w:r>
      <w:r>
        <w:t>。PSMA-PET还可用于预测化疗、一线和二线雄激素剥夺疗法以及PSMA靶向放射配体治疗的反应</w:t>
      </w:r>
      <w:r>
        <w:rPr>
          <w:color w:val="0000FF"/>
          <w:vertAlign w:val="superscript"/>
        </w:rPr>
        <w:fldChar w:fldCharType="begin"/>
      </w:r>
      <w:r>
        <w:rPr>
          <w:color w:val="0000FF"/>
          <w:vertAlign w:val="superscript"/>
        </w:rPr>
        <w:instrText xml:space="preserve"> REF _Ref156979700 \r \h  \* MERGEFORMAT </w:instrText>
      </w:r>
      <w:r>
        <w:rPr>
          <w:color w:val="0000FF"/>
          <w:vertAlign w:val="superscript"/>
        </w:rPr>
        <w:fldChar w:fldCharType="separate"/>
      </w:r>
      <w:r>
        <w:rPr>
          <w:color w:val="0000FF"/>
          <w:vertAlign w:val="superscript"/>
        </w:rPr>
        <w:t>[22]</w:t>
      </w:r>
      <w:r>
        <w:rPr>
          <w:color w:val="0000FF"/>
          <w:vertAlign w:val="superscript"/>
        </w:rPr>
        <w:fldChar w:fldCharType="end"/>
      </w:r>
      <w:r>
        <w:t>。</w:t>
      </w:r>
    </w:p>
    <w:bookmarkEnd w:id="67"/>
    <w:p w14:paraId="304EB4CD">
      <w:pPr>
        <w:spacing w:line="360" w:lineRule="auto"/>
        <w:ind w:firstLine="480" w:firstLineChars="200"/>
        <w:contextualSpacing/>
        <w:jc w:val="both"/>
      </w:pPr>
      <w:bookmarkStart w:id="68" w:name="_Hlk152495718"/>
      <w:r>
        <w:t>目前已上市的PSMA示踪剂有FDA（美国食品药品监督管理局）批准上市的</w:t>
      </w:r>
      <w:bookmarkStart w:id="69" w:name="OLE_LINK8"/>
      <w:r>
        <w:rPr>
          <w:vertAlign w:val="superscript"/>
        </w:rPr>
        <w:t>68</w:t>
      </w:r>
      <w:r>
        <w:t>Ga-PSMA-11</w:t>
      </w:r>
      <w:bookmarkEnd w:id="69"/>
      <w:r>
        <w:t>、PYLARIFY（piflufolastat F 18）、</w:t>
      </w:r>
      <w:bookmarkStart w:id="70" w:name="OLE_LINK16"/>
      <w:r>
        <w:t>POSLUMA（flotufolastat F 18）</w:t>
      </w:r>
      <w:bookmarkEnd w:id="70"/>
      <w:r>
        <w:t>及HMA（欧洲药品局总部）批准上市的RADELUMIN（[</w:t>
      </w:r>
      <w:r>
        <w:rPr>
          <w:vertAlign w:val="superscript"/>
        </w:rPr>
        <w:t>18</w:t>
      </w:r>
      <w:r>
        <w:t>F]-PSMA-1007）。</w:t>
      </w:r>
      <w:bookmarkEnd w:id="68"/>
      <w:r>
        <w:t>国内尚未有类似产品获批上市。因此，开发一种具有相同或更佳诊断灵敏度和特异性、中国患者可及的PSMA-PET诊断示踪剂具有重大的社会意义和市场前景。</w:t>
      </w:r>
    </w:p>
    <w:bookmarkEnd w:id="58"/>
    <w:bookmarkEnd w:id="59"/>
    <w:bookmarkEnd w:id="60"/>
    <w:bookmarkEnd w:id="66"/>
    <w:p w14:paraId="567AF782">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71" w:name="_Toc183522965"/>
      <w:bookmarkStart w:id="72" w:name="_Toc7104"/>
      <w:bookmarkStart w:id="73" w:name="_Toc9651"/>
      <w:bookmarkStart w:id="74" w:name="_Toc21976"/>
      <w:r>
        <w:rPr>
          <w:rFonts w:ascii="Times New Roman" w:hAnsi="Times New Roman" w:eastAsia="宋体"/>
          <w:sz w:val="24"/>
          <w:szCs w:val="24"/>
          <w:lang w:val="zh-TW" w:eastAsia="zh-TW"/>
        </w:rPr>
        <w:t>获益和风险总结</w:t>
      </w:r>
      <w:bookmarkEnd w:id="71"/>
      <w:bookmarkEnd w:id="72"/>
      <w:bookmarkEnd w:id="73"/>
      <w:bookmarkEnd w:id="74"/>
    </w:p>
    <w:p w14:paraId="46762AAA">
      <w:pPr>
        <w:pStyle w:val="5"/>
        <w:numPr>
          <w:ilvl w:val="2"/>
          <w:numId w:val="6"/>
        </w:numPr>
        <w:spacing w:before="0" w:after="0" w:line="360" w:lineRule="auto"/>
        <w:ind w:left="0" w:firstLine="0"/>
        <w:jc w:val="both"/>
        <w:rPr>
          <w:sz w:val="24"/>
          <w:szCs w:val="24"/>
          <w:lang w:val="zh-TW" w:eastAsia="zh-TW"/>
        </w:rPr>
      </w:pPr>
      <w:bookmarkStart w:id="75" w:name="_Toc20960"/>
      <w:bookmarkStart w:id="76" w:name="_Toc8868"/>
      <w:bookmarkStart w:id="77" w:name="_Toc20337"/>
      <w:bookmarkStart w:id="78" w:name="_Toc183522966"/>
      <w:r>
        <w:rPr>
          <w:sz w:val="24"/>
          <w:szCs w:val="24"/>
          <w:lang w:val="zh-TW" w:eastAsia="zh-TW"/>
        </w:rPr>
        <w:t>获益总结</w:t>
      </w:r>
      <w:bookmarkEnd w:id="75"/>
      <w:bookmarkEnd w:id="76"/>
      <w:bookmarkEnd w:id="77"/>
      <w:bookmarkEnd w:id="78"/>
    </w:p>
    <w:p w14:paraId="3E4F9FF0">
      <w:pPr>
        <w:autoSpaceDE w:val="0"/>
        <w:autoSpaceDN w:val="0"/>
        <w:spacing w:line="360" w:lineRule="auto"/>
        <w:jc w:val="both"/>
        <w:rPr>
          <w:b/>
          <w:bCs/>
          <w:lang w:val="zh-TW" w:eastAsia="zh-TW"/>
        </w:rPr>
      </w:pPr>
      <w:r>
        <w:rPr>
          <w:b/>
          <w:bCs/>
          <w:lang w:val="zh-TW" w:eastAsia="zh-TW"/>
        </w:rPr>
        <w:t>非临床药效</w:t>
      </w:r>
    </w:p>
    <w:p w14:paraId="0FB78E69">
      <w:pPr>
        <w:autoSpaceDE w:val="0"/>
        <w:autoSpaceDN w:val="0"/>
        <w:spacing w:line="360" w:lineRule="auto"/>
        <w:ind w:firstLine="480" w:firstLineChars="200"/>
        <w:jc w:val="both"/>
        <w:rPr>
          <w:b/>
          <w:bCs/>
          <w:lang w:val="zh-TW"/>
        </w:rPr>
      </w:pPr>
      <w:r>
        <w:t>INR101注射液的非临床药效研究表明，INR101注射液靶向特异性强，能够特异性结合PSMA靶蛋白，临床前小动物PET</w:t>
      </w:r>
      <w:r>
        <w:rPr>
          <w:rFonts w:hint="eastAsia"/>
        </w:rPr>
        <w:t>成像</w:t>
      </w:r>
      <w:r>
        <w:t>结果良好，靶/非靶比高，病灶显示清晰，动物无不良反应，能实现前列腺特异性膜抗原（PSMA）阳性病灶的诊断。INR101注射液的4 h延迟</w:t>
      </w:r>
      <w:r>
        <w:rPr>
          <w:rFonts w:hint="eastAsia"/>
        </w:rPr>
        <w:t>成像</w:t>
      </w:r>
      <w:r>
        <w:t>有更高的肿瘤摄取及更高的靶本比，有助于前列腺癌病灶的观察，具备较好的肿瘤病灶诊断作用，有望在临床上实现较好的PSMA阳性病灶</w:t>
      </w:r>
      <w:r>
        <w:rPr>
          <w:rFonts w:hint="eastAsia"/>
        </w:rPr>
        <w:t>成像</w:t>
      </w:r>
      <w:r>
        <w:t>能力。</w:t>
      </w:r>
    </w:p>
    <w:p w14:paraId="0FDF0BEB">
      <w:pPr>
        <w:autoSpaceDE w:val="0"/>
        <w:autoSpaceDN w:val="0"/>
        <w:spacing w:line="360" w:lineRule="auto"/>
        <w:jc w:val="both"/>
        <w:rPr>
          <w:b/>
          <w:bCs/>
          <w:lang w:val="zh-TW" w:eastAsia="zh-TW"/>
        </w:rPr>
      </w:pPr>
      <w:r>
        <w:rPr>
          <w:b/>
          <w:bCs/>
          <w:lang w:val="zh-TW" w:eastAsia="zh-TW"/>
        </w:rPr>
        <w:t>临床药效</w:t>
      </w:r>
    </w:p>
    <w:p w14:paraId="7AD8EB91">
      <w:pPr>
        <w:pStyle w:val="122"/>
        <w:numPr>
          <w:ilvl w:val="0"/>
          <w:numId w:val="13"/>
        </w:numPr>
        <w:autoSpaceDE w:val="0"/>
        <w:autoSpaceDN w:val="0"/>
        <w:spacing w:line="360" w:lineRule="auto"/>
        <w:ind w:firstLineChars="0"/>
        <w:jc w:val="both"/>
        <w:rPr>
          <w:b/>
          <w:bCs/>
        </w:rPr>
      </w:pPr>
      <w:r>
        <w:rPr>
          <w:b/>
          <w:bCs/>
        </w:rPr>
        <w:t>INR101</w:t>
      </w:r>
      <w:r>
        <w:rPr>
          <w:rFonts w:hint="eastAsia"/>
          <w:b/>
          <w:bCs/>
        </w:rPr>
        <w:t>注射液临床研究结果</w:t>
      </w:r>
    </w:p>
    <w:p w14:paraId="6ED21887">
      <w:pPr>
        <w:spacing w:line="360" w:lineRule="auto"/>
        <w:jc w:val="both"/>
        <w:rPr>
          <w:b/>
          <w:bCs/>
        </w:rPr>
      </w:pPr>
      <w:r>
        <w:rPr>
          <w:b/>
          <w:bCs/>
        </w:rPr>
        <w:t>（1）人体PET/CT成像和辐射剂量学评估</w:t>
      </w:r>
    </w:p>
    <w:p w14:paraId="0D03E0D1">
      <w:pPr>
        <w:spacing w:line="360" w:lineRule="auto"/>
        <w:jc w:val="both"/>
        <w:rPr>
          <w:b/>
          <w:bCs/>
        </w:rPr>
      </w:pPr>
      <w:r>
        <w:rPr>
          <w:b/>
          <w:bCs/>
        </w:rPr>
        <w:t>研究方法：</w:t>
      </w:r>
    </w:p>
    <w:p w14:paraId="68D46972">
      <w:pPr>
        <w:spacing w:line="360" w:lineRule="auto"/>
        <w:ind w:firstLine="480" w:firstLineChars="200"/>
        <w:jc w:val="both"/>
      </w:pPr>
      <w:r>
        <w:t>在北京肿瘤医院开展了[</w:t>
      </w:r>
      <w:r>
        <w:rPr>
          <w:vertAlign w:val="superscript"/>
        </w:rPr>
        <w:t>18</w:t>
      </w:r>
      <w:r>
        <w:t>F]AlF-PSMA-137 PET/CT成像研究（Clinical Trials：NCT04693169）。该研究共纳入了13例患者。患者静脉注射[</w:t>
      </w:r>
      <w:r>
        <w:rPr>
          <w:vertAlign w:val="superscript"/>
        </w:rPr>
        <w:t>18</w:t>
      </w:r>
      <w:r>
        <w:t>F]AlF-PSMA-137（217.59 ± 21.16 MBq，1.85~3.7 MBq/kg）。所有患者在注射后1 h和2 h接受PET/CT</w:t>
      </w:r>
      <w:r>
        <w:rPr>
          <w:rFonts w:hint="eastAsia"/>
        </w:rPr>
        <w:t>成像</w:t>
      </w:r>
      <w:r>
        <w:t>。其中，4例患者在给药后5 min和3 h额外接受了PET/CT</w:t>
      </w:r>
      <w:r>
        <w:rPr>
          <w:rFonts w:hint="eastAsia"/>
        </w:rPr>
        <w:t>成像</w:t>
      </w:r>
      <w:r>
        <w:t>，进一步估计辐射剂量学。图像由两名经验丰富的医生阅片，并收集各器官和肿瘤病灶的SUVmax或SUVmean。经病理、综合影像学检查或随访最终证实为前列腺癌。当患者病灶小于或等于10 个，对所有病灶进行半定量分析，如果患者病灶大于10个，则随机选取10个可测量病灶进行半定量分析。</w:t>
      </w:r>
    </w:p>
    <w:p w14:paraId="37DE2B1B">
      <w:pPr>
        <w:spacing w:line="360" w:lineRule="auto"/>
        <w:jc w:val="both"/>
        <w:rPr>
          <w:b/>
          <w:bCs/>
        </w:rPr>
      </w:pPr>
      <w:r>
        <w:rPr>
          <w:b/>
          <w:bCs/>
        </w:rPr>
        <w:t>结果：</w:t>
      </w:r>
    </w:p>
    <w:p w14:paraId="61288BD7">
      <w:pPr>
        <w:spacing w:line="360" w:lineRule="auto"/>
        <w:jc w:val="both"/>
      </w:pPr>
      <w:r>
        <w:rPr>
          <w:b/>
          <w:bCs/>
        </w:rPr>
        <w:t>前列腺癌患者的PET/CT成像</w:t>
      </w:r>
      <w:bookmarkStart w:id="79" w:name="OLE_LINK2"/>
    </w:p>
    <w:p w14:paraId="6B89998F">
      <w:pPr>
        <w:spacing w:line="360" w:lineRule="auto"/>
        <w:ind w:firstLine="480" w:firstLineChars="200"/>
        <w:jc w:val="both"/>
      </w:pPr>
      <w:r>
        <w:t>[</w:t>
      </w:r>
      <w:r>
        <w:rPr>
          <w:vertAlign w:val="superscript"/>
        </w:rPr>
        <w:t>18</w:t>
      </w:r>
      <w:r>
        <w:t>F]AlF-PSMA-137在肾脏、泪腺、腮腺、下颌腺、肝脏和膀胱中高摄取，给药后1 h的SUVmean值为10.67±2.17，4.31±0.91，8.83±1.74，9.31±2.13，8.59±1.21和8.34±5.50。肾脏（13.52 ± 2.93，p = 0.0004）、泪腺（4.97 ± 0.93，p = 0.0011）、腮腺(11.20 ± 2.60，p = 0.0003）、下颌腺（10.95 ± 2.82，p = 0.0039）和肝脏（9.58 ± 1.56，p = 0.0011）的摄取在给药后2 h显著增加，而膀胱显著减少（5.02 ± 2.06，p = 0.02）。其他器官，如脑部、肺部、肌肉等，摄取相对较低，在给药后1-2 h之间没有变化。</w:t>
      </w:r>
    </w:p>
    <w:p w14:paraId="18D4F6B7">
      <w:pPr>
        <w:spacing w:line="360" w:lineRule="auto"/>
        <w:ind w:firstLine="480" w:firstLineChars="200"/>
        <w:jc w:val="both"/>
        <w:rPr>
          <w:szCs w:val="24"/>
        </w:rPr>
      </w:pPr>
      <w:r>
        <w:t>12例患者的PSMA PET/CT成像结果显示前列腺病灶为阳性，1例患者（Gleason评分为3 + 3）为阴性。共观察到81个病灶，包</w:t>
      </w:r>
      <w:bookmarkEnd w:id="79"/>
      <w:r>
        <w:t>括18例原发性前列腺癌病灶，22例骨转移，31例淋巴结（LN）转移，10例软组织转移。原发性前列腺癌病灶、骨转移、淋巴结转移和软组织转移在给药后1 h的平均SUV</w:t>
      </w:r>
      <w:r>
        <w:rPr>
          <w:vertAlign w:val="subscript"/>
        </w:rPr>
        <w:t>max</w:t>
      </w:r>
      <w:r>
        <w:t>值分别为13.25±8.17（4.1-28.7）、6.94±4.09（2.1-13.4）、15.57±27.26（2.3-148.6）和1.55±0.55（0.9-2.5）。在给药后2 h显著增加，平均SUV</w:t>
      </w:r>
      <w:r>
        <w:rPr>
          <w:vertAlign w:val="subscript"/>
        </w:rPr>
        <w:t>max</w:t>
      </w:r>
      <w:r>
        <w:t>值分别为16.59±10.32（4.3-35.3，p = 0.0002)，9.67±6.58（2.5-16.5，p = 0.0004)，20.06±31.49（3.1-167.5，p &lt; 0.001)和2.11±0.71（1.3-3.4，p &lt; 0.001)。在18个原发病灶中，44.44%（n=8）的病灶的SUV</w:t>
      </w:r>
      <w:r>
        <w:rPr>
          <w:vertAlign w:val="subscript"/>
        </w:rPr>
        <w:t>max</w:t>
      </w:r>
      <w:r>
        <w:t>在给药后2 h显著增加（&gt; +30%），55.56%的病灶（n=10）（+30%~-30%）保持在与1 h相同的水平。在63个转移病灶中，59.09%骨转移病灶（n=13）、58.06% LN转移病灶（n=18）和70%软组织转移（n=7）的SUV</w:t>
      </w:r>
      <w:r>
        <w:rPr>
          <w:vertAlign w:val="subscript"/>
        </w:rPr>
        <w:t>max</w:t>
      </w:r>
      <w:r>
        <w:t>值显著增加（&gt;30%），而其他病灶在给药后1-2 h内变化不大（+30% ~ -30%）。因此，背景中的低摄取（肌肉：在给药后1 h的平均SUV</w:t>
      </w:r>
      <w:r>
        <w:rPr>
          <w:vertAlign w:val="subscript"/>
        </w:rPr>
        <w:t>max</w:t>
      </w:r>
      <w:r>
        <w:t>值为0.80 ± 0.15。给药后2 h的平均SUV</w:t>
      </w:r>
      <w:r>
        <w:rPr>
          <w:vertAlign w:val="subscript"/>
        </w:rPr>
        <w:t>max</w:t>
      </w:r>
      <w:r>
        <w:t>值为0.72±0.20），而病灶中的高累积导致了肿瘤与肌肉的高比例（给药后1 h为15.57 ± 27.21，给药后2 h为25.42 ± 36.60，p &lt; 0.001），提供了较高的图像对比度。详</w:t>
      </w:r>
      <w:r>
        <w:rPr>
          <w:szCs w:val="24"/>
        </w:rPr>
        <w:t>见</w:t>
      </w:r>
      <w:r>
        <w:rPr>
          <w:color w:val="0000FF"/>
          <w:szCs w:val="24"/>
        </w:rPr>
        <w:fldChar w:fldCharType="begin"/>
      </w:r>
      <w:r>
        <w:rPr>
          <w:color w:val="0000FF"/>
          <w:szCs w:val="24"/>
        </w:rPr>
        <w:instrText xml:space="preserve"> REF _Ref180584703 \h  \* MERGEFORMAT </w:instrText>
      </w:r>
      <w:r>
        <w:rPr>
          <w:color w:val="0000FF"/>
          <w:szCs w:val="24"/>
        </w:rPr>
        <w:fldChar w:fldCharType="separate"/>
      </w:r>
      <w:r>
        <w:rPr>
          <w:rFonts w:hint="eastAsia"/>
          <w:b/>
          <w:bCs/>
          <w:color w:val="0000FF"/>
          <w:szCs w:val="24"/>
        </w:rPr>
        <w:t>图</w:t>
      </w:r>
      <w:r>
        <w:rPr>
          <w:b/>
          <w:bCs/>
          <w:color w:val="0000FF"/>
          <w:szCs w:val="24"/>
        </w:rPr>
        <w:t xml:space="preserve"> 1</w:t>
      </w:r>
      <w:r>
        <w:rPr>
          <w:color w:val="0000FF"/>
          <w:szCs w:val="24"/>
        </w:rPr>
        <w:fldChar w:fldCharType="end"/>
      </w:r>
      <w:r>
        <w:rPr>
          <w:color w:val="0000FF"/>
          <w:szCs w:val="24"/>
        </w:rPr>
        <w:t>。</w:t>
      </w:r>
    </w:p>
    <w:p w14:paraId="3D099662">
      <w:pPr>
        <w:spacing w:line="360" w:lineRule="auto"/>
        <w:ind w:firstLine="480" w:firstLineChars="200"/>
        <w:jc w:val="both"/>
      </w:pPr>
      <w:r>
        <w:t>[</w:t>
      </w:r>
      <w:r>
        <w:rPr>
          <w:vertAlign w:val="superscript"/>
        </w:rPr>
        <w:t>18</w:t>
      </w:r>
      <w:r>
        <w:t>F]AlF-PSMA-137 PET/CT成像可有效检测给药后1 h的原发性前列腺癌和转移性病灶。左叶基底至顶端的原发肿瘤病灶呈高摄取，SUV</w:t>
      </w:r>
      <w:r>
        <w:rPr>
          <w:vertAlign w:val="subscript"/>
        </w:rPr>
        <w:t>max</w:t>
      </w:r>
      <w:r>
        <w:t>为13.5（</w:t>
      </w:r>
      <w:r>
        <w:rPr>
          <w:color w:val="0000FF"/>
          <w:szCs w:val="24"/>
        </w:rPr>
        <w:fldChar w:fldCharType="begin"/>
      </w:r>
      <w:r>
        <w:rPr>
          <w:color w:val="0000FF"/>
          <w:szCs w:val="24"/>
        </w:rPr>
        <w:instrText xml:space="preserve"> REF _Ref180584734 \h  \* MERGEFORMAT </w:instrText>
      </w:r>
      <w:r>
        <w:rPr>
          <w:color w:val="0000FF"/>
          <w:szCs w:val="24"/>
        </w:rPr>
        <w:fldChar w:fldCharType="separate"/>
      </w:r>
      <w:r>
        <w:rPr>
          <w:rFonts w:hint="eastAsia"/>
          <w:b/>
          <w:bCs/>
          <w:color w:val="0000FF"/>
          <w:szCs w:val="24"/>
        </w:rPr>
        <w:t>图</w:t>
      </w:r>
      <w:r>
        <w:rPr>
          <w:b/>
          <w:bCs/>
          <w:color w:val="0000FF"/>
          <w:szCs w:val="24"/>
        </w:rPr>
        <w:t xml:space="preserve"> 2</w:t>
      </w:r>
      <w:r>
        <w:rPr>
          <w:color w:val="0000FF"/>
          <w:szCs w:val="24"/>
        </w:rPr>
        <w:fldChar w:fldCharType="end"/>
      </w:r>
      <w:r>
        <w:t>）。在4号受试者的MIP图像上，基部有3个原发肿瘤病灶（SUV</w:t>
      </w:r>
      <w:r>
        <w:rPr>
          <w:vertAlign w:val="subscript"/>
        </w:rPr>
        <w:t>max</w:t>
      </w:r>
      <w:r>
        <w:t>范围：17-28.7）显示高摄取，肠系膜区、直肠旁动脉和左闭孔区有多个淋巴结转移（SUV</w:t>
      </w:r>
      <w:r>
        <w:rPr>
          <w:vertAlign w:val="subscript"/>
        </w:rPr>
        <w:t>max</w:t>
      </w:r>
      <w:r>
        <w:t>范围：10.4-149.4）。此外，[</w:t>
      </w:r>
      <w:r>
        <w:rPr>
          <w:vertAlign w:val="superscript"/>
        </w:rPr>
        <w:t>18</w:t>
      </w:r>
      <w:r>
        <w:t>F]AlF-PSMA-137成像清晰地显示了给药后2 h的转移病灶。所有病灶在第2 h时摄取均较高，血池显著减少。</w:t>
      </w:r>
    </w:p>
    <w:p w14:paraId="33DB0784">
      <w:pPr>
        <w:pStyle w:val="14"/>
        <w:jc w:val="center"/>
        <w:rPr>
          <w:rFonts w:ascii="Times New Roman" w:hAnsi="Times New Roman" w:eastAsia="宋体" w:cs="Times New Roman"/>
          <w:b/>
          <w:bCs/>
          <w:sz w:val="21"/>
          <w:szCs w:val="21"/>
        </w:rPr>
      </w:pPr>
      <w:bookmarkStart w:id="80" w:name="_Ref180584703"/>
      <w:bookmarkStart w:id="81" w:name="_Toc180585126"/>
      <w:bookmarkStart w:id="82" w:name="_Toc180584861"/>
      <w:bookmarkStart w:id="83" w:name="_Ref180584693"/>
      <w:bookmarkStart w:id="84" w:name="_Ref152682113"/>
      <w:r>
        <w:rPr>
          <w:rFonts w:ascii="Times New Roman" w:hAnsi="Times New Roman" w:eastAsia="宋体" w:cs="Times New Roman"/>
          <w:b/>
          <w:bCs/>
          <w:sz w:val="21"/>
          <w:szCs w:val="21"/>
        </w:rPr>
        <w:t xml:space="preserve">图 </w:t>
      </w:r>
      <w:r>
        <w:rPr>
          <w:rFonts w:ascii="Times New Roman" w:hAnsi="Times New Roman" w:eastAsia="宋体" w:cs="Times New Roman"/>
          <w:b/>
          <w:bCs/>
          <w:sz w:val="21"/>
          <w:szCs w:val="21"/>
        </w:rPr>
        <w:fldChar w:fldCharType="begin"/>
      </w:r>
      <w:r>
        <w:rPr>
          <w:rFonts w:ascii="Times New Roman" w:hAnsi="Times New Roman" w:eastAsia="宋体" w:cs="Times New Roman"/>
          <w:b/>
          <w:bCs/>
          <w:sz w:val="21"/>
          <w:szCs w:val="21"/>
        </w:rPr>
        <w:instrText xml:space="preserve"> SEQ 图 \* ARABIC </w:instrText>
      </w:r>
      <w:r>
        <w:rPr>
          <w:rFonts w:ascii="Times New Roman" w:hAnsi="Times New Roman" w:eastAsia="宋体" w:cs="Times New Roman"/>
          <w:b/>
          <w:bCs/>
          <w:sz w:val="21"/>
          <w:szCs w:val="21"/>
        </w:rPr>
        <w:fldChar w:fldCharType="separate"/>
      </w:r>
      <w:r>
        <w:rPr>
          <w:rFonts w:ascii="Times New Roman" w:hAnsi="Times New Roman" w:eastAsia="宋体" w:cs="Times New Roman"/>
          <w:b/>
          <w:bCs/>
          <w:sz w:val="21"/>
          <w:szCs w:val="21"/>
        </w:rPr>
        <w:t>1</w:t>
      </w:r>
      <w:r>
        <w:rPr>
          <w:rFonts w:ascii="Times New Roman" w:hAnsi="Times New Roman" w:eastAsia="宋体" w:cs="Times New Roman"/>
          <w:b/>
          <w:bCs/>
          <w:sz w:val="21"/>
          <w:szCs w:val="21"/>
        </w:rPr>
        <w:fldChar w:fldCharType="end"/>
      </w:r>
      <w:bookmarkEnd w:id="80"/>
      <w:r>
        <w:rPr>
          <w:rFonts w:ascii="Times New Roman" w:hAnsi="Times New Roman" w:eastAsia="宋体" w:cs="Times New Roman"/>
          <w:b/>
          <w:bCs/>
          <w:sz w:val="21"/>
          <w:szCs w:val="21"/>
        </w:rPr>
        <w:t>：[18F]AlF-PSMA-137在各器官和肿瘤病灶中的SUV</w:t>
      </w:r>
      <w:bookmarkEnd w:id="81"/>
      <w:bookmarkEnd w:id="82"/>
      <w:bookmarkEnd w:id="83"/>
    </w:p>
    <w:p w14:paraId="74BC2B97">
      <w:pPr>
        <w:pStyle w:val="14"/>
        <w:rPr>
          <w:rFonts w:ascii="Times New Roman" w:hAnsi="Times New Roman" w:eastAsia="宋体" w:cs="Times New Roman"/>
          <w:b/>
          <w:bCs/>
          <w:sz w:val="21"/>
          <w:szCs w:val="21"/>
        </w:rPr>
      </w:pPr>
    </w:p>
    <w:bookmarkEnd w:id="84"/>
    <w:p w14:paraId="71E13B7C">
      <w:pPr>
        <w:spacing w:line="360" w:lineRule="auto"/>
        <w:jc w:val="center"/>
      </w:pPr>
      <w:r>
        <w:drawing>
          <wp:inline distT="0" distB="0" distL="0" distR="0">
            <wp:extent cx="5274310" cy="2794635"/>
            <wp:effectExtent l="0" t="0" r="2540" b="5715"/>
            <wp:docPr id="289084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84393"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b="15736"/>
                    <a:stretch>
                      <a:fillRect/>
                    </a:stretch>
                  </pic:blipFill>
                  <pic:spPr>
                    <a:xfrm>
                      <a:off x="0" y="0"/>
                      <a:ext cx="5274310" cy="2794715"/>
                    </a:xfrm>
                    <a:prstGeom prst="rect">
                      <a:avLst/>
                    </a:prstGeom>
                    <a:noFill/>
                    <a:ln>
                      <a:noFill/>
                    </a:ln>
                  </pic:spPr>
                </pic:pic>
              </a:graphicData>
            </a:graphic>
          </wp:inline>
        </w:drawing>
      </w:r>
    </w:p>
    <w:p w14:paraId="68B3F928">
      <w:pPr>
        <w:jc w:val="both"/>
        <w:rPr>
          <w:sz w:val="21"/>
          <w:szCs w:val="18"/>
        </w:rPr>
      </w:pPr>
      <w:r>
        <w:rPr>
          <w:sz w:val="21"/>
          <w:szCs w:val="18"/>
        </w:rPr>
        <w:t>注释：（A）前列腺癌患者各器官的生物分布，平均SUV</w:t>
      </w:r>
      <w:r>
        <w:rPr>
          <w:sz w:val="21"/>
          <w:szCs w:val="18"/>
          <w:vertAlign w:val="subscript"/>
        </w:rPr>
        <w:t>max</w:t>
      </w:r>
      <w:r>
        <w:rPr>
          <w:sz w:val="21"/>
          <w:szCs w:val="18"/>
        </w:rPr>
        <w:t>和SUV</w:t>
      </w:r>
      <w:r>
        <w:rPr>
          <w:sz w:val="21"/>
          <w:szCs w:val="18"/>
          <w:vertAlign w:val="subscript"/>
        </w:rPr>
        <w:t>mean</w:t>
      </w:r>
      <w:r>
        <w:rPr>
          <w:sz w:val="21"/>
          <w:szCs w:val="18"/>
        </w:rPr>
        <w:t>。（B）原发性前列腺癌、骨转移、淋巴结（LN）转移和软组织转移等病灶的平均SUV</w:t>
      </w:r>
      <w:r>
        <w:rPr>
          <w:sz w:val="21"/>
          <w:szCs w:val="18"/>
          <w:vertAlign w:val="subscript"/>
        </w:rPr>
        <w:t>max</w:t>
      </w:r>
      <w:r>
        <w:rPr>
          <w:sz w:val="21"/>
          <w:szCs w:val="18"/>
        </w:rPr>
        <w:t>。（C）12例PCa患者在给药后1 h和2 h的肿瘤-肌肉的比值。lacr泪腺、par腮腺、sub下颌腺、int肠。*: p &lt; 0.05，**: p &lt; 0.01，***: p &lt; 0.00。</w:t>
      </w:r>
    </w:p>
    <w:p w14:paraId="5B6A7023">
      <w:pPr>
        <w:pStyle w:val="14"/>
        <w:jc w:val="center"/>
        <w:rPr>
          <w:rFonts w:ascii="Times New Roman" w:hAnsi="Times New Roman" w:eastAsia="宋体" w:cs="Times New Roman"/>
          <w:b/>
          <w:bCs/>
          <w:sz w:val="21"/>
          <w:szCs w:val="21"/>
        </w:rPr>
      </w:pPr>
      <w:bookmarkStart w:id="85" w:name="_Ref180584734"/>
      <w:bookmarkStart w:id="86" w:name="_Toc180585127"/>
      <w:bookmarkStart w:id="87" w:name="_Toc180584862"/>
      <w:bookmarkStart w:id="88" w:name="_Ref152682072"/>
      <w:bookmarkStart w:id="89" w:name="_Ref152682079"/>
      <w:r>
        <w:rPr>
          <w:rFonts w:ascii="Times New Roman" w:hAnsi="Times New Roman" w:eastAsia="宋体" w:cs="Times New Roman"/>
          <w:b/>
          <w:bCs/>
          <w:sz w:val="21"/>
          <w:szCs w:val="21"/>
        </w:rPr>
        <w:t xml:space="preserve">图 </w:t>
      </w:r>
      <w:r>
        <w:rPr>
          <w:rFonts w:ascii="Times New Roman" w:hAnsi="Times New Roman" w:eastAsia="宋体" w:cs="Times New Roman"/>
          <w:b/>
          <w:bCs/>
          <w:sz w:val="21"/>
          <w:szCs w:val="21"/>
        </w:rPr>
        <w:fldChar w:fldCharType="begin"/>
      </w:r>
      <w:r>
        <w:rPr>
          <w:rFonts w:ascii="Times New Roman" w:hAnsi="Times New Roman" w:eastAsia="宋体" w:cs="Times New Roman"/>
          <w:b/>
          <w:bCs/>
          <w:sz w:val="21"/>
          <w:szCs w:val="21"/>
        </w:rPr>
        <w:instrText xml:space="preserve"> SEQ 图 \* ARABIC </w:instrText>
      </w:r>
      <w:r>
        <w:rPr>
          <w:rFonts w:ascii="Times New Roman" w:hAnsi="Times New Roman" w:eastAsia="宋体" w:cs="Times New Roman"/>
          <w:b/>
          <w:bCs/>
          <w:sz w:val="21"/>
          <w:szCs w:val="21"/>
        </w:rPr>
        <w:fldChar w:fldCharType="separate"/>
      </w:r>
      <w:r>
        <w:rPr>
          <w:rFonts w:ascii="Times New Roman" w:hAnsi="Times New Roman" w:eastAsia="宋体" w:cs="Times New Roman"/>
          <w:b/>
          <w:bCs/>
          <w:sz w:val="21"/>
          <w:szCs w:val="21"/>
        </w:rPr>
        <w:t>2</w:t>
      </w:r>
      <w:r>
        <w:rPr>
          <w:rFonts w:ascii="Times New Roman" w:hAnsi="Times New Roman" w:eastAsia="宋体" w:cs="Times New Roman"/>
          <w:b/>
          <w:bCs/>
          <w:sz w:val="21"/>
          <w:szCs w:val="21"/>
        </w:rPr>
        <w:fldChar w:fldCharType="end"/>
      </w:r>
      <w:bookmarkEnd w:id="85"/>
      <w:r>
        <w:rPr>
          <w:rFonts w:ascii="Times New Roman" w:hAnsi="Times New Roman" w:eastAsia="宋体" w:cs="Times New Roman"/>
          <w:b/>
          <w:bCs/>
          <w:sz w:val="21"/>
          <w:szCs w:val="21"/>
        </w:rPr>
        <w:t>：两例患者给药后图像</w:t>
      </w:r>
      <w:bookmarkEnd w:id="86"/>
      <w:bookmarkEnd w:id="87"/>
    </w:p>
    <w:bookmarkEnd w:id="88"/>
    <w:bookmarkEnd w:id="89"/>
    <w:p w14:paraId="1D5CCB2E">
      <w:pPr>
        <w:spacing w:line="360" w:lineRule="auto"/>
        <w:jc w:val="center"/>
      </w:pPr>
      <w:r>
        <w:drawing>
          <wp:inline distT="0" distB="0" distL="0" distR="0">
            <wp:extent cx="5314315" cy="2157095"/>
            <wp:effectExtent l="0" t="0" r="635" b="0"/>
            <wp:docPr id="18682194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19460" name="图片 2"/>
                    <pic:cNvPicPr>
                      <a:picLocks noChangeAspect="1" noChangeArrowheads="1"/>
                    </pic:cNvPicPr>
                  </pic:nvPicPr>
                  <pic:blipFill>
                    <a:blip r:embed="rId7">
                      <a:extLst>
                        <a:ext uri="{28A0092B-C50C-407E-A947-70E740481C1C}">
                          <a14:useLocalDpi xmlns:a14="http://schemas.microsoft.com/office/drawing/2010/main" val="0"/>
                        </a:ext>
                      </a:extLst>
                    </a:blip>
                    <a:srcRect b="23123"/>
                    <a:stretch>
                      <a:fillRect/>
                    </a:stretch>
                  </pic:blipFill>
                  <pic:spPr>
                    <a:xfrm>
                      <a:off x="0" y="0"/>
                      <a:ext cx="5323496" cy="2160740"/>
                    </a:xfrm>
                    <a:prstGeom prst="rect">
                      <a:avLst/>
                    </a:prstGeom>
                    <a:noFill/>
                    <a:ln>
                      <a:noFill/>
                    </a:ln>
                  </pic:spPr>
                </pic:pic>
              </a:graphicData>
            </a:graphic>
          </wp:inline>
        </w:drawing>
      </w:r>
    </w:p>
    <w:p w14:paraId="0BEB5CBC">
      <w:pPr>
        <w:jc w:val="both"/>
        <w:rPr>
          <w:sz w:val="21"/>
          <w:szCs w:val="18"/>
        </w:rPr>
      </w:pPr>
      <w:r>
        <w:rPr>
          <w:sz w:val="21"/>
          <w:szCs w:val="18"/>
        </w:rPr>
        <w:t>注释：2例患者在给药后1 h的最大强度投影（左）、CT图像（右上）和PET/CT图像（右下）（A）57岁的男性患者（7号受试者），PSA为130.29 ng/mL，格里森评分为4+3=7。蓝色箭头表示原发性PCa（SUV</w:t>
      </w:r>
      <w:r>
        <w:rPr>
          <w:sz w:val="21"/>
          <w:szCs w:val="18"/>
          <w:vertAlign w:val="subscript"/>
        </w:rPr>
        <w:t>max</w:t>
      </w:r>
      <w:r>
        <w:rPr>
          <w:sz w:val="21"/>
          <w:szCs w:val="18"/>
        </w:rPr>
        <w:t>：13.5）。（B）67岁患者（4号受试者），PSA为48.01 ng/mL，Gleason评分为4+4=8。蓝色和红色箭头分别表示原发性前列腺癌（原发病灶1、2、3，SUV</w:t>
      </w:r>
      <w:r>
        <w:rPr>
          <w:sz w:val="21"/>
          <w:szCs w:val="18"/>
          <w:vertAlign w:val="subscript"/>
        </w:rPr>
        <w:t>max</w:t>
      </w:r>
      <w:r>
        <w:rPr>
          <w:sz w:val="21"/>
          <w:szCs w:val="18"/>
        </w:rPr>
        <w:t>分别为28.7、25.4和17）和多发性淋巴结转移（SUV</w:t>
      </w:r>
      <w:r>
        <w:rPr>
          <w:sz w:val="21"/>
          <w:szCs w:val="18"/>
          <w:vertAlign w:val="subscript"/>
        </w:rPr>
        <w:t>max</w:t>
      </w:r>
      <w:r>
        <w:rPr>
          <w:sz w:val="21"/>
          <w:szCs w:val="18"/>
        </w:rPr>
        <w:t>范围：10.4-149.4）。CT和PET/CT成像均显示4号转移灶，SUV</w:t>
      </w:r>
      <w:r>
        <w:rPr>
          <w:sz w:val="21"/>
          <w:szCs w:val="18"/>
          <w:vertAlign w:val="subscript"/>
        </w:rPr>
        <w:t>max</w:t>
      </w:r>
      <w:r>
        <w:rPr>
          <w:sz w:val="21"/>
          <w:szCs w:val="18"/>
        </w:rPr>
        <w:t>为10.4。</w:t>
      </w:r>
    </w:p>
    <w:p w14:paraId="5F51548A">
      <w:pPr>
        <w:spacing w:line="360" w:lineRule="auto"/>
        <w:jc w:val="both"/>
        <w:rPr>
          <w:b/>
          <w:bCs/>
        </w:rPr>
      </w:pPr>
      <w:r>
        <w:rPr>
          <w:b/>
          <w:bCs/>
        </w:rPr>
        <w:t>人体辐射剂量学评估</w:t>
      </w:r>
    </w:p>
    <w:p w14:paraId="4E250D78">
      <w:pPr>
        <w:spacing w:line="360" w:lineRule="auto"/>
        <w:ind w:firstLine="480" w:firstLineChars="200"/>
        <w:jc w:val="both"/>
      </w:pPr>
      <w:r>
        <w:t>对4例PCa患者进行了多时相成像，以估计辐射剂量学。大多数器官的吸收剂量较低。肾脏是受辐射最多的器官，吸收剂量为1.13E-01±2.37E-02 mGy/MBq（范围：9.06E-02–1.51E-01 mGy/MBq），其次是唾液腺和脾脏，吸收剂量为5.68E-02±9.39E-03 mGy/MBq（范围：4.49E-02–6.71E-02 mGy/MBq）和4.83E-02±9.81E-03 mGy/MBq（范围：3.32E-02-5.91E-02 mGy/MBq）。平均有效剂量为0.0119±0.0009 mSv/MBq（范围：0.0110–0.0133 mSv/MBq）。</w:t>
      </w:r>
    </w:p>
    <w:p w14:paraId="7E829E8A">
      <w:pPr>
        <w:spacing w:line="360" w:lineRule="auto"/>
        <w:rPr>
          <w:b/>
          <w:bCs/>
        </w:rPr>
      </w:pPr>
      <w:r>
        <w:rPr>
          <w:b/>
          <w:bCs/>
        </w:rPr>
        <w:t>结论：</w:t>
      </w:r>
    </w:p>
    <w:p w14:paraId="74090E30">
      <w:pPr>
        <w:spacing w:line="360" w:lineRule="auto"/>
        <w:ind w:firstLine="480" w:firstLineChars="200"/>
      </w:pPr>
      <w:r>
        <w:t>与大多数报道的基于脲基的探针相似，[</w:t>
      </w:r>
      <w:r>
        <w:rPr>
          <w:vertAlign w:val="superscript"/>
        </w:rPr>
        <w:t>18</w:t>
      </w:r>
      <w:r>
        <w:t>F]AlF-PSMA-137主要积累在肾脏、泪腺、腮腺、下颌腺、肝脏和膀胱，并且在给药后1-2 h内器官的摄取增加，膀胱除外，常规1 h</w:t>
      </w:r>
      <w:r>
        <w:rPr>
          <w:rFonts w:hint="eastAsia"/>
        </w:rPr>
        <w:t>成像</w:t>
      </w:r>
      <w:r>
        <w:t>时，本品主要经肾脏以尿液排出，增加了膀胱对周围组织的放射性干扰，较难清晰地判断膀胱、输尿管或其他邻近组织中的累及，影响前列腺局部病灶的检出率。与大多数PSMA靶向示踪剂相比，膀胱在给药后2 h显示[</w:t>
      </w:r>
      <w:r>
        <w:rPr>
          <w:vertAlign w:val="superscript"/>
        </w:rPr>
        <w:t>18</w:t>
      </w:r>
      <w:r>
        <w:t>F]AlF-PSMA-137的累积量较低，与</w:t>
      </w:r>
      <w:r>
        <w:rPr>
          <w:vertAlign w:val="superscript"/>
        </w:rPr>
        <w:t>18</w:t>
      </w:r>
      <w:r>
        <w:t>F-PSMA-1007相似。此结果有助于检测前列腺内病</w:t>
      </w:r>
      <w:bookmarkStart w:id="90" w:name="OLE_LINK3"/>
      <w:r>
        <w:t>变</w:t>
      </w:r>
      <w:bookmarkEnd w:id="90"/>
      <w:r>
        <w:t>、复发性盆腔病变、转移性淋巴结病变和前列腺床病变。</w:t>
      </w:r>
    </w:p>
    <w:p w14:paraId="1A724399">
      <w:pPr>
        <w:spacing w:line="360" w:lineRule="auto"/>
        <w:ind w:firstLine="480" w:firstLineChars="200"/>
      </w:pPr>
      <w:r>
        <w:t>本研究证实了前列腺癌成像的可行性和安全性。[</w:t>
      </w:r>
      <w:r>
        <w:rPr>
          <w:vertAlign w:val="superscript"/>
        </w:rPr>
        <w:t>18</w:t>
      </w:r>
      <w:r>
        <w:t>F]AlF-PSMA-137可作为前列腺癌疾病的诊断性PET示踪剂。</w:t>
      </w:r>
    </w:p>
    <w:p w14:paraId="2C97F74F">
      <w:pPr>
        <w:spacing w:line="360" w:lineRule="auto"/>
        <w:jc w:val="both"/>
        <w:rPr>
          <w:b/>
          <w:bCs/>
        </w:rPr>
      </w:pPr>
      <w:r>
        <w:rPr>
          <w:b/>
          <w:bCs/>
        </w:rPr>
        <w:t>（2）北京大学第一医院研究者发起的临床研究</w:t>
      </w:r>
    </w:p>
    <w:p w14:paraId="5CF76A6A">
      <w:pPr>
        <w:spacing w:line="360" w:lineRule="auto"/>
        <w:ind w:firstLine="480" w:firstLineChars="200"/>
        <w:jc w:val="both"/>
      </w:pPr>
      <w:bookmarkStart w:id="91" w:name="OLE_LINK23"/>
      <w:r>
        <w:rPr>
          <w:lang w:bidi="ar"/>
        </w:rPr>
        <w:t>北京大学第一医院的独立研究者开展了研究者发起的临床研究。自2020年12月-2023年11月1日，共1857例前列腺癌患者进入筛选，共计40例生化复发患者纳入分析，所有纳入分析的患者根治性治疗后生化复发并均接受了</w:t>
      </w:r>
      <w:r>
        <w:t>INR101注射液</w:t>
      </w:r>
      <w:r>
        <w:rPr>
          <w:lang w:bidi="ar"/>
        </w:rPr>
        <w:t>PET/CT检查。收集患者其他影像（MRI、CT、</w:t>
      </w:r>
      <w:r>
        <w:rPr>
          <w:rFonts w:hint="eastAsia"/>
          <w:lang w:bidi="ar"/>
        </w:rPr>
        <w:t>全身骨成像</w:t>
      </w:r>
      <w:r>
        <w:rPr>
          <w:lang w:bidi="ar"/>
        </w:rPr>
        <w:t>、</w:t>
      </w:r>
      <w:r>
        <w:rPr>
          <w:vertAlign w:val="superscript"/>
          <w:lang w:bidi="ar"/>
        </w:rPr>
        <w:t>18</w:t>
      </w:r>
      <w:r>
        <w:rPr>
          <w:lang w:bidi="ar"/>
        </w:rPr>
        <w:t>F-FDG PET/CT）结果；并汇总相关临床资料，包括病史、血PSA水平、病理学检查结果、手术情况，辅助治疗等。</w:t>
      </w:r>
    </w:p>
    <w:p w14:paraId="1ABA40BF">
      <w:pPr>
        <w:pStyle w:val="178"/>
        <w:spacing w:line="360" w:lineRule="auto"/>
        <w:ind w:firstLine="480"/>
      </w:pPr>
      <w:r>
        <w:rPr>
          <w:lang w:bidi="ar"/>
        </w:rPr>
        <w:t>纳入分析的患者平均年龄69.3</w:t>
      </w:r>
      <w:r>
        <w:t>±6.9</w:t>
      </w:r>
      <w:r>
        <w:rPr>
          <w:lang w:bidi="ar"/>
        </w:rPr>
        <w:t>岁，平均体重72.7</w:t>
      </w:r>
      <w:r>
        <w:t>±9.4</w:t>
      </w:r>
      <w:r>
        <w:rPr>
          <w:lang w:bidi="ar"/>
        </w:rPr>
        <w:t>kg，平均药物使用剂量为7.14±0.84</w:t>
      </w:r>
      <w:r>
        <w:rPr>
          <w:rFonts w:hint="eastAsia"/>
          <w:lang w:bidi="ar"/>
        </w:rPr>
        <w:t xml:space="preserve"> </w:t>
      </w:r>
      <w:r>
        <w:t>mCi</w:t>
      </w:r>
      <w:r>
        <w:rPr>
          <w:lang w:bidi="ar"/>
        </w:rPr>
        <w:t>。平均血PSA水平为19.6±17.1</w:t>
      </w:r>
      <w:r>
        <w:rPr>
          <w:rFonts w:hint="eastAsia"/>
          <w:lang w:bidi="ar"/>
        </w:rPr>
        <w:t xml:space="preserve"> </w:t>
      </w:r>
      <w:r>
        <w:rPr>
          <w:lang w:bidi="ar"/>
        </w:rPr>
        <w:t>ng/mL；Gleason评分≥9占比最高，占比35.0%；PSA范围0.2-＜0.5 ng/mL占比较高为30.0%；行前列腺根治术患者占比87.5%，</w:t>
      </w:r>
      <w:r>
        <w:t>研究者根据复合诊断标准作为真实性标准。复合诊断标准的判读：如果能够取得</w:t>
      </w:r>
      <w:r>
        <w:rPr>
          <w:rFonts w:hint="eastAsia"/>
        </w:rPr>
        <w:t>病理诊断</w:t>
      </w:r>
      <w:r>
        <w:t>，以</w:t>
      </w:r>
      <w:r>
        <w:rPr>
          <w:rFonts w:hint="eastAsia"/>
        </w:rPr>
        <w:t>病理诊断</w:t>
      </w:r>
      <w:r>
        <w:t>为真实标准；如果无法获取</w:t>
      </w:r>
      <w:r>
        <w:rPr>
          <w:rFonts w:hint="eastAsia"/>
        </w:rPr>
        <w:t>病理诊断</w:t>
      </w:r>
      <w:r>
        <w:t>，由至少2名高年资肿瘤科医生依据受试者的病史、PSA水平变化及常规影像学检查结果进行综合判读。INR101注射液</w:t>
      </w:r>
      <w:r>
        <w:rPr>
          <w:lang w:bidi="ar"/>
        </w:rPr>
        <w:t>PET/CT</w:t>
      </w:r>
      <w:r>
        <w:t>检测生化复发的统计结果为真阳性29例、假阳性5例，假阴性4例</w:t>
      </w:r>
      <w:r>
        <w:rPr>
          <w:color w:val="000000"/>
        </w:rPr>
        <w:t>，由</w:t>
      </w:r>
      <w:r>
        <w:t>此计算出INR101注射液</w:t>
      </w:r>
      <w:r>
        <w:rPr>
          <w:lang w:bidi="ar"/>
        </w:rPr>
        <w:t xml:space="preserve"> PET/CT检测可疑生化复发患者中的</w:t>
      </w:r>
      <w:r>
        <w:t>灵敏度为87.88%（95%CI:0.72-0.97）；阳性预测值85.29%（95%CI:0.69-0.95）；准确度72.50%（95%CI:0.56-0.85）。PET/CT检查的诊断</w:t>
      </w:r>
      <w:r>
        <w:rPr>
          <w:szCs w:val="24"/>
        </w:rPr>
        <w:t>效能分析见</w:t>
      </w:r>
      <w:r>
        <w:rPr>
          <w:color w:val="0000FF"/>
          <w:szCs w:val="24"/>
        </w:rPr>
        <w:fldChar w:fldCharType="begin"/>
      </w:r>
      <w:r>
        <w:rPr>
          <w:color w:val="0000FF"/>
          <w:szCs w:val="24"/>
        </w:rPr>
        <w:instrText xml:space="preserve"> REF _Ref180583006 \h  \* MERGEFORMAT </w:instrText>
      </w:r>
      <w:r>
        <w:rPr>
          <w:color w:val="0000FF"/>
          <w:szCs w:val="24"/>
        </w:rPr>
        <w:fldChar w:fldCharType="separate"/>
      </w:r>
      <w:r>
        <w:rPr>
          <w:rFonts w:hint="eastAsia"/>
          <w:color w:val="0000FF"/>
          <w:szCs w:val="24"/>
        </w:rPr>
        <w:t>表</w:t>
      </w:r>
      <w:r>
        <w:rPr>
          <w:color w:val="0000FF"/>
          <w:szCs w:val="24"/>
        </w:rPr>
        <w:t xml:space="preserve"> 1</w:t>
      </w:r>
      <w:r>
        <w:rPr>
          <w:color w:val="0000FF"/>
          <w:szCs w:val="24"/>
        </w:rPr>
        <w:fldChar w:fldCharType="end"/>
      </w:r>
      <w:r>
        <w:rPr>
          <w:szCs w:val="24"/>
        </w:rPr>
        <w:t>。</w:t>
      </w:r>
    </w:p>
    <w:p w14:paraId="7652A9DD">
      <w:pPr>
        <w:pStyle w:val="83"/>
        <w:jc w:val="center"/>
        <w:rPr>
          <w:b/>
          <w:bCs/>
          <w:sz w:val="21"/>
          <w:szCs w:val="21"/>
        </w:rPr>
      </w:pPr>
      <w:bookmarkStart w:id="92" w:name="_Ref180583006"/>
      <w:bookmarkStart w:id="93" w:name="_Toc180584430"/>
      <w:bookmarkStart w:id="94" w:name="_Ref180583000"/>
      <w:bookmarkStart w:id="95" w:name="_Toc183523084"/>
      <w:r>
        <w:rPr>
          <w:b/>
          <w:bCs/>
          <w:sz w:val="21"/>
          <w:szCs w:val="21"/>
        </w:rPr>
        <w:t xml:space="preserve">表 </w:t>
      </w:r>
      <w:r>
        <w:rPr>
          <w:b/>
          <w:bCs/>
          <w:sz w:val="21"/>
          <w:szCs w:val="21"/>
        </w:rPr>
        <w:fldChar w:fldCharType="begin"/>
      </w:r>
      <w:r>
        <w:rPr>
          <w:b/>
          <w:bCs/>
          <w:sz w:val="21"/>
          <w:szCs w:val="21"/>
        </w:rPr>
        <w:instrText xml:space="preserve"> SEQ 表 \* ARABIC </w:instrText>
      </w:r>
      <w:r>
        <w:rPr>
          <w:b/>
          <w:bCs/>
          <w:sz w:val="21"/>
          <w:szCs w:val="21"/>
        </w:rPr>
        <w:fldChar w:fldCharType="separate"/>
      </w:r>
      <w:r>
        <w:rPr>
          <w:b/>
          <w:bCs/>
          <w:sz w:val="21"/>
          <w:szCs w:val="21"/>
        </w:rPr>
        <w:t>1</w:t>
      </w:r>
      <w:r>
        <w:rPr>
          <w:b/>
          <w:bCs/>
          <w:sz w:val="21"/>
          <w:szCs w:val="21"/>
        </w:rPr>
        <w:fldChar w:fldCharType="end"/>
      </w:r>
      <w:bookmarkEnd w:id="92"/>
      <w:r>
        <w:rPr>
          <w:b/>
          <w:bCs/>
          <w:sz w:val="21"/>
          <w:szCs w:val="21"/>
        </w:rPr>
        <w:t>：基于患者水平的PET/CT的诊断</w:t>
      </w:r>
      <w:bookmarkEnd w:id="93"/>
      <w:bookmarkEnd w:id="94"/>
      <w:bookmarkEnd w:id="95"/>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2"/>
        <w:gridCol w:w="1543"/>
        <w:gridCol w:w="1717"/>
        <w:gridCol w:w="1016"/>
      </w:tblGrid>
      <w:tr w14:paraId="50CCC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2" w:type="dxa"/>
          </w:tcPr>
          <w:p w14:paraId="5C4B7241">
            <w:pPr>
              <w:rPr>
                <w:sz w:val="21"/>
                <w:szCs w:val="21"/>
              </w:rPr>
            </w:pPr>
            <w:r>
              <w:rPr>
                <w:sz w:val="21"/>
                <w:szCs w:val="21"/>
              </w:rPr>
              <w:t>PET/CT</w:t>
            </w:r>
          </w:p>
        </w:tc>
        <w:tc>
          <w:tcPr>
            <w:tcW w:w="1543" w:type="dxa"/>
          </w:tcPr>
          <w:p w14:paraId="556B01E7">
            <w:pPr>
              <w:rPr>
                <w:sz w:val="21"/>
                <w:szCs w:val="21"/>
              </w:rPr>
            </w:pPr>
            <w:r>
              <w:rPr>
                <w:sz w:val="21"/>
                <w:szCs w:val="21"/>
              </w:rPr>
              <w:t>综合判定阳性</w:t>
            </w:r>
          </w:p>
        </w:tc>
        <w:tc>
          <w:tcPr>
            <w:tcW w:w="1717" w:type="dxa"/>
          </w:tcPr>
          <w:p w14:paraId="0534D00A">
            <w:pPr>
              <w:rPr>
                <w:sz w:val="21"/>
                <w:szCs w:val="21"/>
              </w:rPr>
            </w:pPr>
            <w:r>
              <w:rPr>
                <w:sz w:val="21"/>
                <w:szCs w:val="21"/>
              </w:rPr>
              <w:t>综合判定阴性</w:t>
            </w:r>
          </w:p>
        </w:tc>
        <w:tc>
          <w:tcPr>
            <w:tcW w:w="1016" w:type="dxa"/>
          </w:tcPr>
          <w:p w14:paraId="561DD04B">
            <w:pPr>
              <w:rPr>
                <w:sz w:val="21"/>
                <w:szCs w:val="21"/>
              </w:rPr>
            </w:pPr>
            <w:r>
              <w:rPr>
                <w:sz w:val="21"/>
                <w:szCs w:val="21"/>
              </w:rPr>
              <w:t>合计</w:t>
            </w:r>
          </w:p>
        </w:tc>
      </w:tr>
      <w:tr w14:paraId="0F11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2" w:type="dxa"/>
          </w:tcPr>
          <w:p w14:paraId="5A8B369D">
            <w:pPr>
              <w:rPr>
                <w:sz w:val="21"/>
                <w:szCs w:val="21"/>
              </w:rPr>
            </w:pPr>
            <w:r>
              <w:rPr>
                <w:sz w:val="21"/>
                <w:szCs w:val="21"/>
              </w:rPr>
              <w:t>阳性</w:t>
            </w:r>
          </w:p>
        </w:tc>
        <w:tc>
          <w:tcPr>
            <w:tcW w:w="1543" w:type="dxa"/>
          </w:tcPr>
          <w:p w14:paraId="29BB0ED6">
            <w:pPr>
              <w:rPr>
                <w:sz w:val="21"/>
                <w:szCs w:val="21"/>
              </w:rPr>
            </w:pPr>
            <w:r>
              <w:rPr>
                <w:sz w:val="21"/>
                <w:szCs w:val="21"/>
              </w:rPr>
              <w:t>29</w:t>
            </w:r>
          </w:p>
        </w:tc>
        <w:tc>
          <w:tcPr>
            <w:tcW w:w="1717" w:type="dxa"/>
          </w:tcPr>
          <w:p w14:paraId="0834ED81">
            <w:pPr>
              <w:rPr>
                <w:sz w:val="21"/>
                <w:szCs w:val="21"/>
              </w:rPr>
            </w:pPr>
            <w:r>
              <w:rPr>
                <w:sz w:val="21"/>
                <w:szCs w:val="21"/>
              </w:rPr>
              <w:t>5</w:t>
            </w:r>
          </w:p>
        </w:tc>
        <w:tc>
          <w:tcPr>
            <w:tcW w:w="1016" w:type="dxa"/>
          </w:tcPr>
          <w:p w14:paraId="71882575">
            <w:pPr>
              <w:rPr>
                <w:sz w:val="21"/>
                <w:szCs w:val="21"/>
              </w:rPr>
            </w:pPr>
            <w:r>
              <w:rPr>
                <w:sz w:val="21"/>
                <w:szCs w:val="21"/>
              </w:rPr>
              <w:t>34</w:t>
            </w:r>
          </w:p>
        </w:tc>
      </w:tr>
      <w:tr w14:paraId="7B7E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2" w:type="dxa"/>
          </w:tcPr>
          <w:p w14:paraId="3E5DB53F">
            <w:pPr>
              <w:rPr>
                <w:sz w:val="21"/>
                <w:szCs w:val="21"/>
              </w:rPr>
            </w:pPr>
            <w:r>
              <w:rPr>
                <w:sz w:val="21"/>
                <w:szCs w:val="21"/>
              </w:rPr>
              <w:t>阴性（或无法判断）</w:t>
            </w:r>
          </w:p>
        </w:tc>
        <w:tc>
          <w:tcPr>
            <w:tcW w:w="1543" w:type="dxa"/>
          </w:tcPr>
          <w:p w14:paraId="2BFEF553">
            <w:pPr>
              <w:rPr>
                <w:sz w:val="21"/>
                <w:szCs w:val="21"/>
              </w:rPr>
            </w:pPr>
            <w:r>
              <w:rPr>
                <w:sz w:val="21"/>
                <w:szCs w:val="21"/>
              </w:rPr>
              <w:t>4</w:t>
            </w:r>
          </w:p>
        </w:tc>
        <w:tc>
          <w:tcPr>
            <w:tcW w:w="1717" w:type="dxa"/>
          </w:tcPr>
          <w:p w14:paraId="6F1636E8">
            <w:pPr>
              <w:rPr>
                <w:sz w:val="21"/>
                <w:szCs w:val="21"/>
              </w:rPr>
            </w:pPr>
            <w:r>
              <w:rPr>
                <w:sz w:val="21"/>
                <w:szCs w:val="21"/>
              </w:rPr>
              <w:t>2</w:t>
            </w:r>
          </w:p>
        </w:tc>
        <w:tc>
          <w:tcPr>
            <w:tcW w:w="1016" w:type="dxa"/>
          </w:tcPr>
          <w:p w14:paraId="4245669B">
            <w:pPr>
              <w:rPr>
                <w:sz w:val="21"/>
                <w:szCs w:val="21"/>
              </w:rPr>
            </w:pPr>
            <w:r>
              <w:rPr>
                <w:sz w:val="21"/>
                <w:szCs w:val="21"/>
              </w:rPr>
              <w:t>6</w:t>
            </w:r>
          </w:p>
        </w:tc>
      </w:tr>
      <w:tr w14:paraId="07E4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2" w:type="dxa"/>
          </w:tcPr>
          <w:p w14:paraId="2FAEEBF6">
            <w:pPr>
              <w:rPr>
                <w:sz w:val="21"/>
                <w:szCs w:val="21"/>
              </w:rPr>
            </w:pPr>
          </w:p>
        </w:tc>
        <w:tc>
          <w:tcPr>
            <w:tcW w:w="1543" w:type="dxa"/>
          </w:tcPr>
          <w:p w14:paraId="649F171A">
            <w:pPr>
              <w:rPr>
                <w:sz w:val="21"/>
                <w:szCs w:val="21"/>
              </w:rPr>
            </w:pPr>
            <w:r>
              <w:rPr>
                <w:sz w:val="21"/>
                <w:szCs w:val="21"/>
              </w:rPr>
              <w:t>33</w:t>
            </w:r>
          </w:p>
        </w:tc>
        <w:tc>
          <w:tcPr>
            <w:tcW w:w="1717" w:type="dxa"/>
          </w:tcPr>
          <w:p w14:paraId="46463F60">
            <w:pPr>
              <w:rPr>
                <w:sz w:val="21"/>
                <w:szCs w:val="21"/>
              </w:rPr>
            </w:pPr>
            <w:r>
              <w:rPr>
                <w:sz w:val="21"/>
                <w:szCs w:val="21"/>
              </w:rPr>
              <w:t>7</w:t>
            </w:r>
          </w:p>
        </w:tc>
        <w:tc>
          <w:tcPr>
            <w:tcW w:w="1016" w:type="dxa"/>
          </w:tcPr>
          <w:p w14:paraId="0FFA142E">
            <w:pPr>
              <w:keepNext/>
              <w:tabs>
                <w:tab w:val="center" w:pos="957"/>
              </w:tabs>
              <w:rPr>
                <w:sz w:val="21"/>
                <w:szCs w:val="21"/>
              </w:rPr>
            </w:pPr>
            <w:r>
              <w:rPr>
                <w:sz w:val="21"/>
                <w:szCs w:val="21"/>
              </w:rPr>
              <w:t>40</w:t>
            </w:r>
            <w:r>
              <w:rPr>
                <w:sz w:val="21"/>
                <w:szCs w:val="21"/>
              </w:rPr>
              <w:tab/>
            </w:r>
          </w:p>
        </w:tc>
      </w:tr>
    </w:tbl>
    <w:p w14:paraId="70CEDB65">
      <w:pPr>
        <w:pStyle w:val="178"/>
        <w:spacing w:line="360" w:lineRule="auto"/>
        <w:ind w:firstLine="480"/>
      </w:pPr>
      <w:r>
        <w:t>研究者采用CMH方法评价INR101注射液</w:t>
      </w:r>
      <w:r>
        <w:rPr>
          <w:lang w:bidi="ar"/>
        </w:rPr>
        <w:t>PET/CT</w:t>
      </w:r>
      <w:r>
        <w:t>阳性检出率与基线PSA水平、Gleason评分是否相关。结果显示：PET/CT阳性检出率在不同的</w:t>
      </w:r>
      <w:r>
        <w:rPr>
          <w:color w:val="000000"/>
          <w:kern w:val="0"/>
          <w:szCs w:val="24"/>
          <w:lang w:bidi="ar"/>
        </w:rPr>
        <w:t>Gleason</w:t>
      </w:r>
      <w:r>
        <w:t>评分间无统计学差异(P&gt;0.05),在不同基线PSA水平间有显著的统计学差异(P=0.0266)，表明PET/CT阳性检出率与</w:t>
      </w:r>
      <w:r>
        <w:rPr>
          <w:color w:val="000000"/>
          <w:kern w:val="0"/>
          <w:szCs w:val="24"/>
          <w:lang w:bidi="ar"/>
        </w:rPr>
        <w:t>Gleason</w:t>
      </w:r>
      <w:r>
        <w:t>评分没有相关性，与基线PSA水平存在相关性，结果见</w:t>
      </w:r>
      <w:r>
        <w:rPr>
          <w:color w:val="0000FF"/>
          <w:szCs w:val="24"/>
        </w:rPr>
        <w:fldChar w:fldCharType="begin"/>
      </w:r>
      <w:r>
        <w:rPr>
          <w:color w:val="0000FF"/>
          <w:szCs w:val="24"/>
        </w:rPr>
        <w:instrText xml:space="preserve"> REF _Ref180583184 \h  \* MERGEFORMAT </w:instrText>
      </w:r>
      <w:r>
        <w:rPr>
          <w:color w:val="0000FF"/>
          <w:szCs w:val="24"/>
        </w:rPr>
        <w:fldChar w:fldCharType="separate"/>
      </w:r>
      <w:r>
        <w:rPr>
          <w:rFonts w:hint="eastAsia"/>
          <w:b/>
          <w:bCs/>
          <w:color w:val="0000FF"/>
          <w:szCs w:val="24"/>
        </w:rPr>
        <w:t>表</w:t>
      </w:r>
      <w:r>
        <w:rPr>
          <w:b/>
          <w:bCs/>
          <w:color w:val="0000FF"/>
          <w:szCs w:val="24"/>
        </w:rPr>
        <w:t xml:space="preserve"> 2</w:t>
      </w:r>
      <w:r>
        <w:rPr>
          <w:color w:val="0000FF"/>
          <w:szCs w:val="24"/>
        </w:rPr>
        <w:fldChar w:fldCharType="end"/>
      </w:r>
      <w:r>
        <w:t>。</w:t>
      </w:r>
    </w:p>
    <w:p w14:paraId="4AC392F3">
      <w:pPr>
        <w:pStyle w:val="178"/>
        <w:spacing w:line="360" w:lineRule="auto"/>
        <w:ind w:firstLine="422"/>
        <w:jc w:val="center"/>
        <w:rPr>
          <w:b/>
          <w:bCs/>
          <w:sz w:val="21"/>
          <w:szCs w:val="21"/>
          <w:lang w:bidi="ar"/>
        </w:rPr>
      </w:pPr>
      <w:bookmarkStart w:id="96" w:name="_Ref180583184"/>
      <w:bookmarkStart w:id="97" w:name="_Toc180584431"/>
      <w:bookmarkStart w:id="98" w:name="_Toc183523085"/>
      <w:r>
        <w:rPr>
          <w:b/>
          <w:bCs/>
          <w:sz w:val="21"/>
          <w:szCs w:val="21"/>
        </w:rPr>
        <w:t xml:space="preserve">表 </w:t>
      </w:r>
      <w:r>
        <w:rPr>
          <w:b/>
          <w:bCs/>
          <w:sz w:val="21"/>
          <w:szCs w:val="21"/>
        </w:rPr>
        <w:fldChar w:fldCharType="begin"/>
      </w:r>
      <w:r>
        <w:rPr>
          <w:b/>
          <w:bCs/>
          <w:sz w:val="21"/>
          <w:szCs w:val="21"/>
        </w:rPr>
        <w:instrText xml:space="preserve"> SEQ 表 \* ARABIC </w:instrText>
      </w:r>
      <w:r>
        <w:rPr>
          <w:b/>
          <w:bCs/>
          <w:sz w:val="21"/>
          <w:szCs w:val="21"/>
        </w:rPr>
        <w:fldChar w:fldCharType="separate"/>
      </w:r>
      <w:r>
        <w:rPr>
          <w:b/>
          <w:bCs/>
          <w:sz w:val="21"/>
          <w:szCs w:val="21"/>
        </w:rPr>
        <w:t>2</w:t>
      </w:r>
      <w:r>
        <w:rPr>
          <w:b/>
          <w:bCs/>
          <w:sz w:val="21"/>
          <w:szCs w:val="21"/>
        </w:rPr>
        <w:fldChar w:fldCharType="end"/>
      </w:r>
      <w:bookmarkEnd w:id="96"/>
      <w:r>
        <w:rPr>
          <w:b/>
          <w:bCs/>
          <w:sz w:val="21"/>
          <w:szCs w:val="21"/>
        </w:rPr>
        <w:t>：INR101注射液PET/CT 阳性率与基线PSA水平和</w:t>
      </w:r>
      <w:r>
        <w:rPr>
          <w:b/>
          <w:bCs/>
          <w:sz w:val="21"/>
          <w:szCs w:val="21"/>
          <w:lang w:bidi="ar"/>
        </w:rPr>
        <w:t>Gleason 评分的相关性分析</w:t>
      </w:r>
      <w:bookmarkEnd w:id="97"/>
      <w:bookmarkEnd w:id="98"/>
    </w:p>
    <w:tbl>
      <w:tblPr>
        <w:tblStyle w:val="41"/>
        <w:tblW w:w="4997" w:type="pct"/>
        <w:jc w:val="center"/>
        <w:tblLayout w:type="autofit"/>
        <w:tblCellMar>
          <w:top w:w="0" w:type="dxa"/>
          <w:left w:w="108" w:type="dxa"/>
          <w:bottom w:w="0" w:type="dxa"/>
          <w:right w:w="108" w:type="dxa"/>
        </w:tblCellMar>
      </w:tblPr>
      <w:tblGrid>
        <w:gridCol w:w="1577"/>
        <w:gridCol w:w="569"/>
        <w:gridCol w:w="1991"/>
        <w:gridCol w:w="794"/>
        <w:gridCol w:w="1463"/>
        <w:gridCol w:w="727"/>
        <w:gridCol w:w="1588"/>
        <w:gridCol w:w="849"/>
      </w:tblGrid>
      <w:tr w14:paraId="460414BE">
        <w:tblPrEx>
          <w:tblCellMar>
            <w:top w:w="0" w:type="dxa"/>
            <w:left w:w="108" w:type="dxa"/>
            <w:bottom w:w="0" w:type="dxa"/>
            <w:right w:w="108" w:type="dxa"/>
          </w:tblCellMar>
        </w:tblPrEx>
        <w:trPr>
          <w:trHeight w:val="398" w:hRule="atLeast"/>
          <w:jc w:val="center"/>
        </w:trPr>
        <w:tc>
          <w:tcPr>
            <w:tcW w:w="829" w:type="pct"/>
            <w:tcBorders>
              <w:top w:val="single" w:color="auto" w:sz="8" w:space="0"/>
              <w:left w:val="single" w:color="auto" w:sz="8" w:space="0"/>
              <w:bottom w:val="single" w:color="auto" w:sz="8" w:space="0"/>
              <w:right w:val="single" w:color="auto" w:sz="8" w:space="0"/>
            </w:tcBorders>
            <w:shd w:val="clear" w:color="auto" w:fill="auto"/>
            <w:vAlign w:val="center"/>
          </w:tcPr>
          <w:p w14:paraId="4BE9456D">
            <w:pPr>
              <w:snapToGrid w:val="0"/>
              <w:spacing w:line="240" w:lineRule="atLeast"/>
              <w:jc w:val="center"/>
              <w:rPr>
                <w:b/>
                <w:bCs/>
                <w:color w:val="000000"/>
                <w:kern w:val="0"/>
                <w:sz w:val="21"/>
                <w:szCs w:val="21"/>
              </w:rPr>
            </w:pPr>
            <w:r>
              <w:rPr>
                <w:b/>
                <w:bCs/>
                <w:color w:val="000000"/>
                <w:kern w:val="0"/>
                <w:sz w:val="21"/>
                <w:szCs w:val="21"/>
                <w:lang w:bidi="ar"/>
              </w:rPr>
              <w:t xml:space="preserve">基线PSA（ng/mL） </w:t>
            </w:r>
          </w:p>
        </w:tc>
        <w:tc>
          <w:tcPr>
            <w:tcW w:w="302" w:type="pct"/>
            <w:tcBorders>
              <w:top w:val="single" w:color="auto" w:sz="8" w:space="0"/>
              <w:left w:val="nil"/>
              <w:bottom w:val="single" w:color="auto" w:sz="8" w:space="0"/>
              <w:right w:val="single" w:color="auto" w:sz="8" w:space="0"/>
            </w:tcBorders>
            <w:shd w:val="clear" w:color="auto" w:fill="auto"/>
            <w:vAlign w:val="center"/>
          </w:tcPr>
          <w:p w14:paraId="4F193592">
            <w:pPr>
              <w:snapToGrid w:val="0"/>
              <w:spacing w:line="240" w:lineRule="atLeast"/>
              <w:jc w:val="center"/>
              <w:rPr>
                <w:b/>
                <w:bCs/>
                <w:color w:val="000000"/>
                <w:kern w:val="0"/>
                <w:sz w:val="21"/>
                <w:szCs w:val="21"/>
              </w:rPr>
            </w:pPr>
            <w:r>
              <w:rPr>
                <w:b/>
                <w:bCs/>
                <w:color w:val="000000"/>
                <w:kern w:val="0"/>
                <w:sz w:val="21"/>
                <w:szCs w:val="21"/>
                <w:lang w:bidi="ar"/>
              </w:rPr>
              <w:t>人数</w:t>
            </w:r>
          </w:p>
        </w:tc>
        <w:tc>
          <w:tcPr>
            <w:tcW w:w="1045" w:type="pct"/>
            <w:tcBorders>
              <w:top w:val="single" w:color="auto" w:sz="8" w:space="0"/>
              <w:left w:val="nil"/>
              <w:bottom w:val="single" w:color="auto" w:sz="8" w:space="0"/>
              <w:right w:val="single" w:color="auto" w:sz="8" w:space="0"/>
            </w:tcBorders>
            <w:shd w:val="clear" w:color="auto" w:fill="auto"/>
            <w:vAlign w:val="center"/>
          </w:tcPr>
          <w:p w14:paraId="15290D1D">
            <w:pPr>
              <w:snapToGrid w:val="0"/>
              <w:spacing w:line="240" w:lineRule="atLeast"/>
              <w:jc w:val="center"/>
              <w:rPr>
                <w:b/>
                <w:bCs/>
                <w:color w:val="000000"/>
                <w:kern w:val="0"/>
                <w:sz w:val="21"/>
                <w:szCs w:val="21"/>
              </w:rPr>
            </w:pPr>
            <w:r>
              <w:rPr>
                <w:b/>
                <w:bCs/>
                <w:color w:val="000000"/>
                <w:kern w:val="0"/>
                <w:sz w:val="21"/>
                <w:szCs w:val="21"/>
                <w:lang w:bidi="ar"/>
              </w:rPr>
              <w:t>PET阳性(率)</w:t>
            </w:r>
          </w:p>
        </w:tc>
        <w:tc>
          <w:tcPr>
            <w:tcW w:w="384" w:type="pct"/>
            <w:tcBorders>
              <w:top w:val="single" w:color="auto" w:sz="8" w:space="0"/>
              <w:left w:val="nil"/>
              <w:bottom w:val="single" w:color="auto" w:sz="8" w:space="0"/>
              <w:right w:val="single" w:color="auto" w:sz="8" w:space="0"/>
            </w:tcBorders>
            <w:shd w:val="clear" w:color="auto" w:fill="auto"/>
            <w:vAlign w:val="center"/>
          </w:tcPr>
          <w:p w14:paraId="62E8DAAA">
            <w:pPr>
              <w:snapToGrid w:val="0"/>
              <w:spacing w:line="240" w:lineRule="atLeast"/>
              <w:jc w:val="center"/>
              <w:rPr>
                <w:b/>
                <w:bCs/>
                <w:color w:val="000000"/>
                <w:kern w:val="0"/>
                <w:sz w:val="21"/>
                <w:szCs w:val="21"/>
              </w:rPr>
            </w:pPr>
            <w:r>
              <w:rPr>
                <w:b/>
                <w:bCs/>
                <w:color w:val="000000"/>
                <w:kern w:val="0"/>
                <w:sz w:val="21"/>
                <w:szCs w:val="21"/>
                <w:lang w:bidi="ar"/>
              </w:rPr>
              <w:t>P值</w:t>
            </w:r>
          </w:p>
        </w:tc>
        <w:tc>
          <w:tcPr>
            <w:tcW w:w="769" w:type="pct"/>
            <w:tcBorders>
              <w:top w:val="single" w:color="auto" w:sz="8" w:space="0"/>
              <w:left w:val="nil"/>
              <w:bottom w:val="single" w:color="auto" w:sz="8" w:space="0"/>
              <w:right w:val="single" w:color="auto" w:sz="8" w:space="0"/>
            </w:tcBorders>
            <w:shd w:val="clear" w:color="auto" w:fill="auto"/>
            <w:vAlign w:val="center"/>
          </w:tcPr>
          <w:p w14:paraId="1A199064">
            <w:pPr>
              <w:snapToGrid w:val="0"/>
              <w:spacing w:line="240" w:lineRule="atLeast"/>
              <w:jc w:val="center"/>
              <w:rPr>
                <w:b/>
                <w:bCs/>
                <w:color w:val="000000"/>
                <w:kern w:val="0"/>
                <w:sz w:val="21"/>
                <w:szCs w:val="21"/>
              </w:rPr>
            </w:pPr>
            <w:r>
              <w:rPr>
                <w:b/>
                <w:bCs/>
                <w:color w:val="000000"/>
                <w:kern w:val="0"/>
                <w:sz w:val="21"/>
                <w:szCs w:val="21"/>
                <w:lang w:bidi="ar"/>
              </w:rPr>
              <w:t>Gleason 评分</w:t>
            </w:r>
          </w:p>
        </w:tc>
        <w:tc>
          <w:tcPr>
            <w:tcW w:w="384" w:type="pct"/>
            <w:tcBorders>
              <w:top w:val="single" w:color="auto" w:sz="8" w:space="0"/>
              <w:left w:val="nil"/>
              <w:bottom w:val="single" w:color="auto" w:sz="8" w:space="0"/>
              <w:right w:val="single" w:color="auto" w:sz="8" w:space="0"/>
            </w:tcBorders>
            <w:shd w:val="clear" w:color="auto" w:fill="auto"/>
            <w:vAlign w:val="center"/>
          </w:tcPr>
          <w:p w14:paraId="61C4FDA1">
            <w:pPr>
              <w:snapToGrid w:val="0"/>
              <w:spacing w:line="240" w:lineRule="atLeast"/>
              <w:jc w:val="center"/>
              <w:rPr>
                <w:b/>
                <w:bCs/>
                <w:color w:val="000000"/>
                <w:kern w:val="0"/>
                <w:sz w:val="21"/>
                <w:szCs w:val="21"/>
              </w:rPr>
            </w:pPr>
            <w:r>
              <w:rPr>
                <w:b/>
                <w:bCs/>
                <w:color w:val="000000"/>
                <w:kern w:val="0"/>
                <w:sz w:val="21"/>
                <w:szCs w:val="21"/>
                <w:lang w:bidi="ar"/>
              </w:rPr>
              <w:t>人数</w:t>
            </w:r>
          </w:p>
        </w:tc>
        <w:tc>
          <w:tcPr>
            <w:tcW w:w="834" w:type="pct"/>
            <w:tcBorders>
              <w:top w:val="single" w:color="auto" w:sz="8" w:space="0"/>
              <w:left w:val="nil"/>
              <w:bottom w:val="single" w:color="auto" w:sz="8" w:space="0"/>
              <w:right w:val="single" w:color="auto" w:sz="8" w:space="0"/>
            </w:tcBorders>
            <w:shd w:val="clear" w:color="auto" w:fill="auto"/>
            <w:vAlign w:val="center"/>
          </w:tcPr>
          <w:p w14:paraId="5D42F742">
            <w:pPr>
              <w:snapToGrid w:val="0"/>
              <w:spacing w:line="240" w:lineRule="atLeast"/>
              <w:jc w:val="center"/>
              <w:rPr>
                <w:b/>
                <w:bCs/>
                <w:color w:val="000000"/>
                <w:kern w:val="0"/>
                <w:sz w:val="21"/>
                <w:szCs w:val="21"/>
              </w:rPr>
            </w:pPr>
            <w:r>
              <w:rPr>
                <w:b/>
                <w:bCs/>
                <w:color w:val="000000"/>
                <w:kern w:val="0"/>
                <w:sz w:val="21"/>
                <w:szCs w:val="21"/>
                <w:lang w:bidi="ar"/>
              </w:rPr>
              <w:t>PET阳性（率）</w:t>
            </w:r>
          </w:p>
        </w:tc>
        <w:tc>
          <w:tcPr>
            <w:tcW w:w="448" w:type="pct"/>
            <w:tcBorders>
              <w:top w:val="single" w:color="auto" w:sz="8" w:space="0"/>
              <w:left w:val="nil"/>
              <w:bottom w:val="single" w:color="auto" w:sz="8" w:space="0"/>
              <w:right w:val="single" w:color="auto" w:sz="8" w:space="0"/>
            </w:tcBorders>
            <w:shd w:val="clear" w:color="auto" w:fill="auto"/>
            <w:vAlign w:val="center"/>
          </w:tcPr>
          <w:p w14:paraId="6D147CC9">
            <w:pPr>
              <w:snapToGrid w:val="0"/>
              <w:spacing w:line="240" w:lineRule="atLeast"/>
              <w:jc w:val="center"/>
              <w:rPr>
                <w:b/>
                <w:bCs/>
                <w:color w:val="000000"/>
                <w:kern w:val="0"/>
                <w:sz w:val="21"/>
                <w:szCs w:val="21"/>
              </w:rPr>
            </w:pPr>
            <w:r>
              <w:rPr>
                <w:b/>
                <w:bCs/>
                <w:color w:val="000000"/>
                <w:kern w:val="0"/>
                <w:sz w:val="21"/>
                <w:szCs w:val="21"/>
                <w:lang w:bidi="ar"/>
              </w:rPr>
              <w:t>P值</w:t>
            </w:r>
          </w:p>
        </w:tc>
      </w:tr>
      <w:tr w14:paraId="61CD8EAE">
        <w:tblPrEx>
          <w:tblCellMar>
            <w:top w:w="0" w:type="dxa"/>
            <w:left w:w="108" w:type="dxa"/>
            <w:bottom w:w="0" w:type="dxa"/>
            <w:right w:w="108" w:type="dxa"/>
          </w:tblCellMar>
        </w:tblPrEx>
        <w:trPr>
          <w:trHeight w:val="400" w:hRule="atLeast"/>
          <w:jc w:val="center"/>
        </w:trPr>
        <w:tc>
          <w:tcPr>
            <w:tcW w:w="829" w:type="pct"/>
            <w:tcBorders>
              <w:top w:val="nil"/>
              <w:left w:val="single" w:color="auto" w:sz="8" w:space="0"/>
              <w:bottom w:val="single" w:color="auto" w:sz="8" w:space="0"/>
              <w:right w:val="single" w:color="auto" w:sz="8" w:space="0"/>
            </w:tcBorders>
            <w:shd w:val="clear" w:color="auto" w:fill="auto"/>
            <w:vAlign w:val="center"/>
          </w:tcPr>
          <w:p w14:paraId="259CA241">
            <w:pPr>
              <w:jc w:val="center"/>
              <w:rPr>
                <w:color w:val="000000"/>
                <w:kern w:val="0"/>
                <w:sz w:val="21"/>
                <w:szCs w:val="21"/>
              </w:rPr>
            </w:pPr>
            <w:r>
              <w:rPr>
                <w:color w:val="000000"/>
                <w:kern w:val="0"/>
                <w:sz w:val="21"/>
                <w:szCs w:val="21"/>
                <w:lang w:bidi="ar"/>
              </w:rPr>
              <w:t>0.2-</w:t>
            </w:r>
            <w:r>
              <w:rPr>
                <w:rFonts w:hint="eastAsia"/>
                <w:color w:val="000000"/>
                <w:kern w:val="0"/>
                <w:sz w:val="21"/>
                <w:szCs w:val="21"/>
                <w:lang w:bidi="ar"/>
              </w:rPr>
              <w:t>&lt;</w:t>
            </w:r>
            <w:r>
              <w:rPr>
                <w:color w:val="000000"/>
                <w:kern w:val="0"/>
                <w:sz w:val="21"/>
                <w:szCs w:val="21"/>
                <w:lang w:bidi="ar"/>
              </w:rPr>
              <w:t>0.5</w:t>
            </w:r>
          </w:p>
        </w:tc>
        <w:tc>
          <w:tcPr>
            <w:tcW w:w="302" w:type="pct"/>
            <w:tcBorders>
              <w:top w:val="nil"/>
              <w:left w:val="nil"/>
              <w:bottom w:val="single" w:color="auto" w:sz="8" w:space="0"/>
              <w:right w:val="single" w:color="auto" w:sz="8" w:space="0"/>
            </w:tcBorders>
            <w:shd w:val="clear" w:color="auto" w:fill="auto"/>
            <w:vAlign w:val="center"/>
          </w:tcPr>
          <w:p w14:paraId="05095A4E">
            <w:pPr>
              <w:jc w:val="center"/>
              <w:rPr>
                <w:color w:val="000000"/>
                <w:kern w:val="0"/>
                <w:sz w:val="21"/>
                <w:szCs w:val="21"/>
              </w:rPr>
            </w:pPr>
            <w:r>
              <w:rPr>
                <w:color w:val="000000"/>
                <w:kern w:val="0"/>
                <w:sz w:val="21"/>
                <w:szCs w:val="21"/>
                <w:lang w:bidi="ar"/>
              </w:rPr>
              <w:t>12</w:t>
            </w:r>
          </w:p>
        </w:tc>
        <w:tc>
          <w:tcPr>
            <w:tcW w:w="1045" w:type="pct"/>
            <w:tcBorders>
              <w:top w:val="nil"/>
              <w:left w:val="nil"/>
              <w:bottom w:val="single" w:color="auto" w:sz="8" w:space="0"/>
              <w:right w:val="single" w:color="auto" w:sz="8" w:space="0"/>
            </w:tcBorders>
            <w:shd w:val="clear" w:color="auto" w:fill="auto"/>
            <w:vAlign w:val="center"/>
          </w:tcPr>
          <w:p w14:paraId="52DA08C6">
            <w:pPr>
              <w:jc w:val="center"/>
              <w:rPr>
                <w:color w:val="000000"/>
                <w:kern w:val="0"/>
                <w:sz w:val="21"/>
                <w:szCs w:val="21"/>
              </w:rPr>
            </w:pPr>
            <w:r>
              <w:rPr>
                <w:color w:val="000000"/>
                <w:kern w:val="0"/>
                <w:sz w:val="21"/>
                <w:szCs w:val="21"/>
                <w:lang w:bidi="ar"/>
              </w:rPr>
              <w:t>8（66.7%）</w:t>
            </w:r>
          </w:p>
        </w:tc>
        <w:tc>
          <w:tcPr>
            <w:tcW w:w="384" w:type="pct"/>
            <w:vMerge w:val="restart"/>
            <w:tcBorders>
              <w:top w:val="nil"/>
              <w:left w:val="single" w:color="auto" w:sz="8" w:space="0"/>
              <w:bottom w:val="single" w:color="000000" w:sz="8" w:space="0"/>
              <w:right w:val="single" w:color="auto" w:sz="8" w:space="0"/>
            </w:tcBorders>
            <w:shd w:val="clear" w:color="auto" w:fill="auto"/>
            <w:vAlign w:val="center"/>
          </w:tcPr>
          <w:p w14:paraId="118F74BD">
            <w:pPr>
              <w:jc w:val="center"/>
              <w:rPr>
                <w:color w:val="000000"/>
                <w:kern w:val="0"/>
                <w:sz w:val="21"/>
                <w:szCs w:val="21"/>
              </w:rPr>
            </w:pPr>
            <w:r>
              <w:rPr>
                <w:color w:val="000000"/>
                <w:kern w:val="0"/>
                <w:sz w:val="21"/>
                <w:szCs w:val="21"/>
                <w:lang w:bidi="ar"/>
              </w:rPr>
              <w:t>0.0266</w:t>
            </w:r>
          </w:p>
        </w:tc>
        <w:tc>
          <w:tcPr>
            <w:tcW w:w="769" w:type="pct"/>
            <w:tcBorders>
              <w:top w:val="nil"/>
              <w:left w:val="nil"/>
              <w:bottom w:val="single" w:color="auto" w:sz="8" w:space="0"/>
              <w:right w:val="single" w:color="auto" w:sz="8" w:space="0"/>
            </w:tcBorders>
            <w:shd w:val="clear" w:color="auto" w:fill="auto"/>
            <w:vAlign w:val="center"/>
          </w:tcPr>
          <w:p w14:paraId="477E4436">
            <w:pPr>
              <w:jc w:val="center"/>
              <w:rPr>
                <w:color w:val="000000"/>
                <w:kern w:val="0"/>
                <w:sz w:val="21"/>
                <w:szCs w:val="21"/>
              </w:rPr>
            </w:pPr>
            <w:r>
              <w:rPr>
                <w:color w:val="000000"/>
                <w:kern w:val="0"/>
                <w:sz w:val="21"/>
                <w:szCs w:val="21"/>
                <w:lang w:bidi="ar"/>
              </w:rPr>
              <w:t>7（3+4）</w:t>
            </w:r>
          </w:p>
        </w:tc>
        <w:tc>
          <w:tcPr>
            <w:tcW w:w="384" w:type="pct"/>
            <w:tcBorders>
              <w:top w:val="nil"/>
              <w:left w:val="nil"/>
              <w:bottom w:val="single" w:color="auto" w:sz="8" w:space="0"/>
              <w:right w:val="single" w:color="auto" w:sz="8" w:space="0"/>
            </w:tcBorders>
            <w:shd w:val="clear" w:color="auto" w:fill="auto"/>
            <w:vAlign w:val="center"/>
          </w:tcPr>
          <w:p w14:paraId="520BA561">
            <w:pPr>
              <w:jc w:val="center"/>
              <w:rPr>
                <w:color w:val="000000"/>
                <w:kern w:val="0"/>
                <w:sz w:val="21"/>
                <w:szCs w:val="21"/>
              </w:rPr>
            </w:pPr>
            <w:r>
              <w:rPr>
                <w:color w:val="000000"/>
                <w:kern w:val="0"/>
                <w:sz w:val="21"/>
                <w:szCs w:val="21"/>
                <w:lang w:bidi="ar"/>
              </w:rPr>
              <w:t>8</w:t>
            </w:r>
          </w:p>
        </w:tc>
        <w:tc>
          <w:tcPr>
            <w:tcW w:w="834" w:type="pct"/>
            <w:tcBorders>
              <w:top w:val="nil"/>
              <w:left w:val="nil"/>
              <w:bottom w:val="single" w:color="auto" w:sz="8" w:space="0"/>
              <w:right w:val="single" w:color="auto" w:sz="8" w:space="0"/>
            </w:tcBorders>
            <w:shd w:val="clear" w:color="auto" w:fill="auto"/>
            <w:vAlign w:val="center"/>
          </w:tcPr>
          <w:p w14:paraId="23D46B4F">
            <w:pPr>
              <w:jc w:val="center"/>
              <w:rPr>
                <w:color w:val="000000"/>
                <w:kern w:val="0"/>
                <w:sz w:val="21"/>
                <w:szCs w:val="21"/>
              </w:rPr>
            </w:pPr>
            <w:r>
              <w:rPr>
                <w:color w:val="000000"/>
                <w:kern w:val="0"/>
                <w:sz w:val="21"/>
                <w:szCs w:val="21"/>
                <w:lang w:bidi="ar"/>
              </w:rPr>
              <w:t>5（62.5%）</w:t>
            </w:r>
          </w:p>
        </w:tc>
        <w:tc>
          <w:tcPr>
            <w:tcW w:w="448" w:type="pct"/>
            <w:vMerge w:val="restart"/>
            <w:tcBorders>
              <w:top w:val="nil"/>
              <w:left w:val="single" w:color="auto" w:sz="8" w:space="0"/>
              <w:bottom w:val="single" w:color="000000" w:sz="8" w:space="0"/>
              <w:right w:val="single" w:color="auto" w:sz="8" w:space="0"/>
            </w:tcBorders>
            <w:shd w:val="clear" w:color="auto" w:fill="auto"/>
            <w:vAlign w:val="center"/>
          </w:tcPr>
          <w:p w14:paraId="27256CD9">
            <w:pPr>
              <w:jc w:val="center"/>
              <w:rPr>
                <w:color w:val="000000"/>
                <w:kern w:val="0"/>
                <w:sz w:val="21"/>
                <w:szCs w:val="21"/>
              </w:rPr>
            </w:pPr>
            <w:r>
              <w:rPr>
                <w:color w:val="000000"/>
                <w:kern w:val="0"/>
                <w:sz w:val="21"/>
                <w:szCs w:val="21"/>
                <w:lang w:bidi="ar"/>
              </w:rPr>
              <w:t>0.0707</w:t>
            </w:r>
          </w:p>
        </w:tc>
      </w:tr>
      <w:tr w14:paraId="7AA3987B">
        <w:tblPrEx>
          <w:tblCellMar>
            <w:top w:w="0" w:type="dxa"/>
            <w:left w:w="108" w:type="dxa"/>
            <w:bottom w:w="0" w:type="dxa"/>
            <w:right w:w="108" w:type="dxa"/>
          </w:tblCellMar>
        </w:tblPrEx>
        <w:trPr>
          <w:trHeight w:val="400" w:hRule="atLeast"/>
          <w:jc w:val="center"/>
        </w:trPr>
        <w:tc>
          <w:tcPr>
            <w:tcW w:w="829" w:type="pct"/>
            <w:tcBorders>
              <w:top w:val="nil"/>
              <w:left w:val="single" w:color="auto" w:sz="8" w:space="0"/>
              <w:bottom w:val="single" w:color="auto" w:sz="8" w:space="0"/>
              <w:right w:val="single" w:color="auto" w:sz="8" w:space="0"/>
            </w:tcBorders>
            <w:shd w:val="clear" w:color="auto" w:fill="auto"/>
            <w:vAlign w:val="center"/>
          </w:tcPr>
          <w:p w14:paraId="25E79EDA">
            <w:pPr>
              <w:jc w:val="center"/>
              <w:rPr>
                <w:color w:val="000000"/>
                <w:kern w:val="0"/>
                <w:sz w:val="21"/>
                <w:szCs w:val="21"/>
              </w:rPr>
            </w:pPr>
            <w:r>
              <w:rPr>
                <w:color w:val="000000"/>
                <w:kern w:val="0"/>
                <w:sz w:val="21"/>
                <w:szCs w:val="21"/>
                <w:lang w:bidi="ar"/>
              </w:rPr>
              <w:t>0.5-</w:t>
            </w:r>
            <w:r>
              <w:rPr>
                <w:rFonts w:hint="eastAsia"/>
                <w:color w:val="000000"/>
                <w:kern w:val="0"/>
                <w:sz w:val="21"/>
                <w:szCs w:val="21"/>
                <w:lang w:bidi="ar"/>
              </w:rPr>
              <w:t>&lt;</w:t>
            </w:r>
            <w:r>
              <w:rPr>
                <w:color w:val="000000"/>
                <w:kern w:val="0"/>
                <w:sz w:val="21"/>
                <w:szCs w:val="21"/>
                <w:lang w:bidi="ar"/>
              </w:rPr>
              <w:t>1.0</w:t>
            </w:r>
          </w:p>
        </w:tc>
        <w:tc>
          <w:tcPr>
            <w:tcW w:w="302" w:type="pct"/>
            <w:tcBorders>
              <w:top w:val="nil"/>
              <w:left w:val="nil"/>
              <w:bottom w:val="single" w:color="auto" w:sz="8" w:space="0"/>
              <w:right w:val="single" w:color="auto" w:sz="8" w:space="0"/>
            </w:tcBorders>
            <w:shd w:val="clear" w:color="auto" w:fill="auto"/>
            <w:vAlign w:val="center"/>
          </w:tcPr>
          <w:p w14:paraId="41C5CB6A">
            <w:pPr>
              <w:jc w:val="center"/>
              <w:rPr>
                <w:color w:val="000000"/>
                <w:kern w:val="0"/>
                <w:sz w:val="21"/>
                <w:szCs w:val="21"/>
              </w:rPr>
            </w:pPr>
            <w:r>
              <w:rPr>
                <w:color w:val="000000"/>
                <w:kern w:val="0"/>
                <w:sz w:val="21"/>
                <w:szCs w:val="21"/>
                <w:lang w:bidi="ar"/>
              </w:rPr>
              <w:t>7</w:t>
            </w:r>
          </w:p>
        </w:tc>
        <w:tc>
          <w:tcPr>
            <w:tcW w:w="1045" w:type="pct"/>
            <w:tcBorders>
              <w:top w:val="nil"/>
              <w:left w:val="nil"/>
              <w:bottom w:val="single" w:color="auto" w:sz="8" w:space="0"/>
              <w:right w:val="single" w:color="auto" w:sz="8" w:space="0"/>
            </w:tcBorders>
            <w:shd w:val="clear" w:color="auto" w:fill="auto"/>
            <w:vAlign w:val="center"/>
          </w:tcPr>
          <w:p w14:paraId="5C198084">
            <w:pPr>
              <w:jc w:val="center"/>
              <w:rPr>
                <w:color w:val="000000"/>
                <w:kern w:val="0"/>
                <w:sz w:val="21"/>
                <w:szCs w:val="21"/>
              </w:rPr>
            </w:pPr>
            <w:r>
              <w:rPr>
                <w:color w:val="000000"/>
                <w:kern w:val="0"/>
                <w:sz w:val="21"/>
                <w:szCs w:val="21"/>
                <w:lang w:bidi="ar"/>
              </w:rPr>
              <w:t>6（75.0%）</w:t>
            </w:r>
          </w:p>
        </w:tc>
        <w:tc>
          <w:tcPr>
            <w:tcW w:w="384" w:type="pct"/>
            <w:vMerge w:val="continue"/>
            <w:tcBorders>
              <w:top w:val="nil"/>
              <w:left w:val="single" w:color="auto" w:sz="8" w:space="0"/>
              <w:bottom w:val="single" w:color="000000" w:sz="8" w:space="0"/>
              <w:right w:val="single" w:color="auto" w:sz="8" w:space="0"/>
            </w:tcBorders>
            <w:shd w:val="clear" w:color="auto" w:fill="auto"/>
            <w:vAlign w:val="center"/>
          </w:tcPr>
          <w:p w14:paraId="59642E14">
            <w:pPr>
              <w:rPr>
                <w:sz w:val="20"/>
              </w:rPr>
            </w:pPr>
          </w:p>
        </w:tc>
        <w:tc>
          <w:tcPr>
            <w:tcW w:w="769" w:type="pct"/>
            <w:tcBorders>
              <w:top w:val="nil"/>
              <w:left w:val="nil"/>
              <w:bottom w:val="single" w:color="auto" w:sz="8" w:space="0"/>
              <w:right w:val="single" w:color="auto" w:sz="8" w:space="0"/>
            </w:tcBorders>
            <w:shd w:val="clear" w:color="auto" w:fill="auto"/>
            <w:vAlign w:val="center"/>
          </w:tcPr>
          <w:p w14:paraId="7348A535">
            <w:pPr>
              <w:jc w:val="center"/>
              <w:rPr>
                <w:color w:val="000000"/>
                <w:kern w:val="0"/>
                <w:sz w:val="21"/>
                <w:szCs w:val="21"/>
              </w:rPr>
            </w:pPr>
            <w:r>
              <w:rPr>
                <w:color w:val="000000"/>
                <w:kern w:val="0"/>
                <w:sz w:val="21"/>
                <w:szCs w:val="21"/>
                <w:lang w:bidi="ar"/>
              </w:rPr>
              <w:t>7（4+3）</w:t>
            </w:r>
          </w:p>
        </w:tc>
        <w:tc>
          <w:tcPr>
            <w:tcW w:w="384" w:type="pct"/>
            <w:tcBorders>
              <w:top w:val="nil"/>
              <w:left w:val="nil"/>
              <w:bottom w:val="single" w:color="auto" w:sz="8" w:space="0"/>
              <w:right w:val="single" w:color="auto" w:sz="8" w:space="0"/>
            </w:tcBorders>
            <w:shd w:val="clear" w:color="auto" w:fill="auto"/>
            <w:vAlign w:val="center"/>
          </w:tcPr>
          <w:p w14:paraId="44F6CA54">
            <w:pPr>
              <w:jc w:val="center"/>
              <w:rPr>
                <w:color w:val="000000"/>
                <w:kern w:val="0"/>
                <w:sz w:val="21"/>
                <w:szCs w:val="21"/>
              </w:rPr>
            </w:pPr>
            <w:r>
              <w:rPr>
                <w:color w:val="000000"/>
                <w:kern w:val="0"/>
                <w:sz w:val="21"/>
                <w:szCs w:val="21"/>
                <w:lang w:bidi="ar"/>
              </w:rPr>
              <w:t>6</w:t>
            </w:r>
          </w:p>
        </w:tc>
        <w:tc>
          <w:tcPr>
            <w:tcW w:w="834" w:type="pct"/>
            <w:tcBorders>
              <w:top w:val="nil"/>
              <w:left w:val="nil"/>
              <w:bottom w:val="single" w:color="auto" w:sz="8" w:space="0"/>
              <w:right w:val="single" w:color="auto" w:sz="8" w:space="0"/>
            </w:tcBorders>
            <w:shd w:val="clear" w:color="auto" w:fill="auto"/>
            <w:vAlign w:val="center"/>
          </w:tcPr>
          <w:p w14:paraId="4ABCDDE5">
            <w:pPr>
              <w:jc w:val="center"/>
              <w:rPr>
                <w:color w:val="000000"/>
                <w:kern w:val="0"/>
                <w:sz w:val="21"/>
                <w:szCs w:val="21"/>
              </w:rPr>
            </w:pPr>
            <w:r>
              <w:rPr>
                <w:color w:val="000000"/>
                <w:kern w:val="0"/>
                <w:sz w:val="21"/>
                <w:szCs w:val="21"/>
                <w:lang w:bidi="ar"/>
              </w:rPr>
              <w:t>5（83.3%）</w:t>
            </w:r>
          </w:p>
        </w:tc>
        <w:tc>
          <w:tcPr>
            <w:tcW w:w="448" w:type="pct"/>
            <w:vMerge w:val="continue"/>
            <w:tcBorders>
              <w:top w:val="nil"/>
              <w:left w:val="single" w:color="auto" w:sz="8" w:space="0"/>
              <w:bottom w:val="single" w:color="000000" w:sz="8" w:space="0"/>
              <w:right w:val="single" w:color="auto" w:sz="8" w:space="0"/>
            </w:tcBorders>
            <w:shd w:val="clear" w:color="auto" w:fill="auto"/>
            <w:vAlign w:val="center"/>
          </w:tcPr>
          <w:p w14:paraId="4A996AD0">
            <w:pPr>
              <w:rPr>
                <w:sz w:val="20"/>
              </w:rPr>
            </w:pPr>
          </w:p>
        </w:tc>
      </w:tr>
      <w:tr w14:paraId="76FFD05C">
        <w:tblPrEx>
          <w:tblCellMar>
            <w:top w:w="0" w:type="dxa"/>
            <w:left w:w="108" w:type="dxa"/>
            <w:bottom w:w="0" w:type="dxa"/>
            <w:right w:w="108" w:type="dxa"/>
          </w:tblCellMar>
        </w:tblPrEx>
        <w:trPr>
          <w:trHeight w:val="400" w:hRule="atLeast"/>
          <w:jc w:val="center"/>
        </w:trPr>
        <w:tc>
          <w:tcPr>
            <w:tcW w:w="829" w:type="pct"/>
            <w:tcBorders>
              <w:top w:val="nil"/>
              <w:left w:val="single" w:color="auto" w:sz="8" w:space="0"/>
              <w:bottom w:val="single" w:color="auto" w:sz="8" w:space="0"/>
              <w:right w:val="single" w:color="auto" w:sz="8" w:space="0"/>
            </w:tcBorders>
            <w:shd w:val="clear" w:color="auto" w:fill="auto"/>
            <w:vAlign w:val="center"/>
          </w:tcPr>
          <w:p w14:paraId="711DAE9A">
            <w:pPr>
              <w:jc w:val="center"/>
              <w:rPr>
                <w:color w:val="000000"/>
                <w:kern w:val="0"/>
                <w:sz w:val="21"/>
                <w:szCs w:val="21"/>
              </w:rPr>
            </w:pPr>
            <w:r>
              <w:rPr>
                <w:color w:val="000000"/>
                <w:kern w:val="0"/>
                <w:sz w:val="21"/>
                <w:szCs w:val="21"/>
                <w:lang w:bidi="ar"/>
              </w:rPr>
              <w:t>1.0-</w:t>
            </w:r>
            <w:r>
              <w:rPr>
                <w:rFonts w:hint="eastAsia"/>
                <w:color w:val="000000"/>
                <w:kern w:val="0"/>
                <w:sz w:val="21"/>
                <w:szCs w:val="21"/>
                <w:lang w:bidi="ar"/>
              </w:rPr>
              <w:t>&lt;</w:t>
            </w:r>
            <w:r>
              <w:rPr>
                <w:color w:val="000000"/>
                <w:kern w:val="0"/>
                <w:sz w:val="21"/>
                <w:szCs w:val="21"/>
                <w:lang w:bidi="ar"/>
              </w:rPr>
              <w:t>2.0</w:t>
            </w:r>
          </w:p>
        </w:tc>
        <w:tc>
          <w:tcPr>
            <w:tcW w:w="302" w:type="pct"/>
            <w:tcBorders>
              <w:top w:val="nil"/>
              <w:left w:val="nil"/>
              <w:bottom w:val="single" w:color="auto" w:sz="8" w:space="0"/>
              <w:right w:val="single" w:color="auto" w:sz="8" w:space="0"/>
            </w:tcBorders>
            <w:shd w:val="clear" w:color="auto" w:fill="auto"/>
            <w:vAlign w:val="center"/>
          </w:tcPr>
          <w:p w14:paraId="1AC036F8">
            <w:pPr>
              <w:jc w:val="center"/>
              <w:rPr>
                <w:color w:val="000000"/>
                <w:kern w:val="0"/>
                <w:sz w:val="21"/>
                <w:szCs w:val="21"/>
              </w:rPr>
            </w:pPr>
            <w:r>
              <w:rPr>
                <w:color w:val="000000"/>
                <w:kern w:val="0"/>
                <w:sz w:val="21"/>
                <w:szCs w:val="21"/>
                <w:lang w:bidi="ar"/>
              </w:rPr>
              <w:t>7</w:t>
            </w:r>
          </w:p>
        </w:tc>
        <w:tc>
          <w:tcPr>
            <w:tcW w:w="1045" w:type="pct"/>
            <w:tcBorders>
              <w:top w:val="nil"/>
              <w:left w:val="nil"/>
              <w:bottom w:val="single" w:color="auto" w:sz="8" w:space="0"/>
              <w:right w:val="single" w:color="auto" w:sz="8" w:space="0"/>
            </w:tcBorders>
            <w:shd w:val="clear" w:color="auto" w:fill="auto"/>
            <w:vAlign w:val="center"/>
          </w:tcPr>
          <w:p w14:paraId="5B0986A8">
            <w:pPr>
              <w:jc w:val="center"/>
              <w:rPr>
                <w:color w:val="000000"/>
                <w:kern w:val="0"/>
                <w:sz w:val="21"/>
                <w:szCs w:val="21"/>
              </w:rPr>
            </w:pPr>
            <w:r>
              <w:rPr>
                <w:color w:val="000000"/>
                <w:kern w:val="0"/>
                <w:sz w:val="21"/>
                <w:szCs w:val="21"/>
                <w:lang w:bidi="ar"/>
              </w:rPr>
              <w:t>6（75.0%）</w:t>
            </w:r>
          </w:p>
        </w:tc>
        <w:tc>
          <w:tcPr>
            <w:tcW w:w="384" w:type="pct"/>
            <w:vMerge w:val="continue"/>
            <w:tcBorders>
              <w:top w:val="nil"/>
              <w:left w:val="single" w:color="auto" w:sz="8" w:space="0"/>
              <w:bottom w:val="single" w:color="000000" w:sz="8" w:space="0"/>
              <w:right w:val="single" w:color="auto" w:sz="8" w:space="0"/>
            </w:tcBorders>
            <w:shd w:val="clear" w:color="auto" w:fill="auto"/>
            <w:vAlign w:val="center"/>
          </w:tcPr>
          <w:p w14:paraId="177FCE93">
            <w:pPr>
              <w:rPr>
                <w:sz w:val="20"/>
              </w:rPr>
            </w:pPr>
          </w:p>
        </w:tc>
        <w:tc>
          <w:tcPr>
            <w:tcW w:w="769" w:type="pct"/>
            <w:tcBorders>
              <w:top w:val="nil"/>
              <w:left w:val="nil"/>
              <w:bottom w:val="single" w:color="auto" w:sz="8" w:space="0"/>
              <w:right w:val="single" w:color="auto" w:sz="8" w:space="0"/>
            </w:tcBorders>
            <w:shd w:val="clear" w:color="auto" w:fill="auto"/>
            <w:vAlign w:val="center"/>
          </w:tcPr>
          <w:p w14:paraId="1D249454">
            <w:pPr>
              <w:jc w:val="center"/>
              <w:rPr>
                <w:color w:val="000000"/>
                <w:kern w:val="0"/>
                <w:sz w:val="21"/>
                <w:szCs w:val="21"/>
              </w:rPr>
            </w:pPr>
            <w:r>
              <w:rPr>
                <w:color w:val="000000"/>
                <w:kern w:val="0"/>
                <w:sz w:val="21"/>
                <w:szCs w:val="21"/>
                <w:lang w:bidi="ar"/>
              </w:rPr>
              <w:t>8</w:t>
            </w:r>
          </w:p>
        </w:tc>
        <w:tc>
          <w:tcPr>
            <w:tcW w:w="384" w:type="pct"/>
            <w:tcBorders>
              <w:top w:val="nil"/>
              <w:left w:val="nil"/>
              <w:bottom w:val="single" w:color="auto" w:sz="8" w:space="0"/>
              <w:right w:val="single" w:color="auto" w:sz="8" w:space="0"/>
            </w:tcBorders>
            <w:shd w:val="clear" w:color="auto" w:fill="auto"/>
            <w:vAlign w:val="center"/>
          </w:tcPr>
          <w:p w14:paraId="1F5B1377">
            <w:pPr>
              <w:jc w:val="center"/>
              <w:rPr>
                <w:color w:val="000000"/>
                <w:kern w:val="0"/>
                <w:sz w:val="21"/>
                <w:szCs w:val="21"/>
              </w:rPr>
            </w:pPr>
            <w:r>
              <w:rPr>
                <w:color w:val="000000"/>
                <w:kern w:val="0"/>
                <w:sz w:val="21"/>
                <w:szCs w:val="21"/>
                <w:lang w:bidi="ar"/>
              </w:rPr>
              <w:t>10</w:t>
            </w:r>
          </w:p>
        </w:tc>
        <w:tc>
          <w:tcPr>
            <w:tcW w:w="834" w:type="pct"/>
            <w:tcBorders>
              <w:top w:val="nil"/>
              <w:left w:val="nil"/>
              <w:bottom w:val="single" w:color="auto" w:sz="8" w:space="0"/>
              <w:right w:val="single" w:color="auto" w:sz="8" w:space="0"/>
            </w:tcBorders>
            <w:shd w:val="clear" w:color="auto" w:fill="auto"/>
            <w:vAlign w:val="center"/>
          </w:tcPr>
          <w:p w14:paraId="04067182">
            <w:pPr>
              <w:jc w:val="center"/>
              <w:rPr>
                <w:color w:val="000000"/>
                <w:kern w:val="0"/>
                <w:sz w:val="21"/>
                <w:szCs w:val="21"/>
              </w:rPr>
            </w:pPr>
            <w:r>
              <w:rPr>
                <w:color w:val="000000"/>
                <w:kern w:val="0"/>
                <w:sz w:val="21"/>
                <w:szCs w:val="21"/>
                <w:lang w:bidi="ar"/>
              </w:rPr>
              <w:t>9（90.0%）</w:t>
            </w:r>
          </w:p>
        </w:tc>
        <w:tc>
          <w:tcPr>
            <w:tcW w:w="448" w:type="pct"/>
            <w:vMerge w:val="continue"/>
            <w:tcBorders>
              <w:top w:val="nil"/>
              <w:left w:val="single" w:color="auto" w:sz="8" w:space="0"/>
              <w:bottom w:val="single" w:color="000000" w:sz="8" w:space="0"/>
              <w:right w:val="single" w:color="auto" w:sz="8" w:space="0"/>
            </w:tcBorders>
            <w:shd w:val="clear" w:color="auto" w:fill="auto"/>
            <w:vAlign w:val="center"/>
          </w:tcPr>
          <w:p w14:paraId="063D4153">
            <w:pPr>
              <w:rPr>
                <w:sz w:val="20"/>
              </w:rPr>
            </w:pPr>
          </w:p>
        </w:tc>
      </w:tr>
      <w:tr w14:paraId="2CFB6E5E">
        <w:tblPrEx>
          <w:tblCellMar>
            <w:top w:w="0" w:type="dxa"/>
            <w:left w:w="108" w:type="dxa"/>
            <w:bottom w:w="0" w:type="dxa"/>
            <w:right w:w="108" w:type="dxa"/>
          </w:tblCellMar>
        </w:tblPrEx>
        <w:trPr>
          <w:trHeight w:val="400" w:hRule="atLeast"/>
          <w:jc w:val="center"/>
        </w:trPr>
        <w:tc>
          <w:tcPr>
            <w:tcW w:w="829" w:type="pct"/>
            <w:tcBorders>
              <w:top w:val="nil"/>
              <w:left w:val="single" w:color="auto" w:sz="8" w:space="0"/>
              <w:bottom w:val="single" w:color="auto" w:sz="8" w:space="0"/>
              <w:right w:val="single" w:color="auto" w:sz="8" w:space="0"/>
            </w:tcBorders>
            <w:shd w:val="clear" w:color="auto" w:fill="auto"/>
            <w:vAlign w:val="center"/>
          </w:tcPr>
          <w:p w14:paraId="4EE95700">
            <w:pPr>
              <w:jc w:val="center"/>
              <w:rPr>
                <w:color w:val="000000"/>
                <w:kern w:val="0"/>
                <w:sz w:val="21"/>
                <w:szCs w:val="21"/>
              </w:rPr>
            </w:pPr>
            <w:r>
              <w:rPr>
                <w:color w:val="000000"/>
                <w:kern w:val="0"/>
                <w:sz w:val="21"/>
                <w:szCs w:val="21"/>
                <w:lang w:bidi="ar"/>
              </w:rPr>
              <w:t>2.0-</w:t>
            </w:r>
            <w:r>
              <w:rPr>
                <w:rFonts w:hint="eastAsia"/>
                <w:color w:val="000000"/>
                <w:kern w:val="0"/>
                <w:sz w:val="21"/>
                <w:szCs w:val="21"/>
                <w:lang w:bidi="ar"/>
              </w:rPr>
              <w:t>&lt;</w:t>
            </w:r>
            <w:r>
              <w:rPr>
                <w:color w:val="000000"/>
                <w:kern w:val="0"/>
                <w:sz w:val="21"/>
                <w:szCs w:val="21"/>
                <w:lang w:bidi="ar"/>
              </w:rPr>
              <w:t>5.0</w:t>
            </w:r>
          </w:p>
        </w:tc>
        <w:tc>
          <w:tcPr>
            <w:tcW w:w="302" w:type="pct"/>
            <w:tcBorders>
              <w:top w:val="nil"/>
              <w:left w:val="nil"/>
              <w:bottom w:val="single" w:color="auto" w:sz="8" w:space="0"/>
              <w:right w:val="single" w:color="auto" w:sz="8" w:space="0"/>
            </w:tcBorders>
            <w:shd w:val="clear" w:color="auto" w:fill="auto"/>
            <w:vAlign w:val="center"/>
          </w:tcPr>
          <w:p w14:paraId="68BB8552">
            <w:pPr>
              <w:jc w:val="center"/>
              <w:rPr>
                <w:color w:val="000000"/>
                <w:kern w:val="0"/>
                <w:sz w:val="21"/>
                <w:szCs w:val="21"/>
              </w:rPr>
            </w:pPr>
            <w:r>
              <w:rPr>
                <w:color w:val="000000"/>
                <w:kern w:val="0"/>
                <w:sz w:val="21"/>
                <w:szCs w:val="21"/>
                <w:lang w:bidi="ar"/>
              </w:rPr>
              <w:t>8</w:t>
            </w:r>
          </w:p>
        </w:tc>
        <w:tc>
          <w:tcPr>
            <w:tcW w:w="1045" w:type="pct"/>
            <w:tcBorders>
              <w:top w:val="nil"/>
              <w:left w:val="nil"/>
              <w:bottom w:val="single" w:color="auto" w:sz="8" w:space="0"/>
              <w:right w:val="single" w:color="auto" w:sz="8" w:space="0"/>
            </w:tcBorders>
            <w:shd w:val="clear" w:color="auto" w:fill="auto"/>
            <w:vAlign w:val="center"/>
          </w:tcPr>
          <w:p w14:paraId="7CF69152">
            <w:pPr>
              <w:jc w:val="center"/>
              <w:rPr>
                <w:color w:val="000000"/>
                <w:kern w:val="0"/>
                <w:sz w:val="21"/>
                <w:szCs w:val="21"/>
              </w:rPr>
            </w:pPr>
            <w:r>
              <w:rPr>
                <w:color w:val="000000"/>
                <w:kern w:val="0"/>
                <w:sz w:val="21"/>
                <w:szCs w:val="21"/>
                <w:lang w:bidi="ar"/>
              </w:rPr>
              <w:t>8（100.0%）</w:t>
            </w:r>
          </w:p>
        </w:tc>
        <w:tc>
          <w:tcPr>
            <w:tcW w:w="384" w:type="pct"/>
            <w:vMerge w:val="continue"/>
            <w:tcBorders>
              <w:top w:val="nil"/>
              <w:left w:val="single" w:color="auto" w:sz="8" w:space="0"/>
              <w:bottom w:val="single" w:color="000000" w:sz="8" w:space="0"/>
              <w:right w:val="single" w:color="auto" w:sz="8" w:space="0"/>
            </w:tcBorders>
            <w:shd w:val="clear" w:color="auto" w:fill="auto"/>
            <w:vAlign w:val="center"/>
          </w:tcPr>
          <w:p w14:paraId="1A3204A2">
            <w:pPr>
              <w:rPr>
                <w:sz w:val="20"/>
              </w:rPr>
            </w:pPr>
          </w:p>
        </w:tc>
        <w:tc>
          <w:tcPr>
            <w:tcW w:w="769" w:type="pct"/>
            <w:tcBorders>
              <w:top w:val="nil"/>
              <w:left w:val="nil"/>
              <w:bottom w:val="single" w:color="auto" w:sz="8" w:space="0"/>
              <w:right w:val="single" w:color="auto" w:sz="8" w:space="0"/>
            </w:tcBorders>
            <w:shd w:val="clear" w:color="auto" w:fill="auto"/>
            <w:vAlign w:val="center"/>
          </w:tcPr>
          <w:p w14:paraId="0BE8687D">
            <w:pPr>
              <w:jc w:val="center"/>
              <w:rPr>
                <w:color w:val="000000"/>
                <w:kern w:val="0"/>
                <w:sz w:val="21"/>
                <w:szCs w:val="21"/>
              </w:rPr>
            </w:pPr>
            <w:r>
              <w:rPr>
                <w:color w:val="000000"/>
                <w:kern w:val="0"/>
                <w:sz w:val="21"/>
                <w:szCs w:val="21"/>
                <w:lang w:bidi="ar"/>
              </w:rPr>
              <w:t>≥9</w:t>
            </w:r>
          </w:p>
        </w:tc>
        <w:tc>
          <w:tcPr>
            <w:tcW w:w="384" w:type="pct"/>
            <w:tcBorders>
              <w:top w:val="nil"/>
              <w:left w:val="nil"/>
              <w:bottom w:val="single" w:color="auto" w:sz="8" w:space="0"/>
              <w:right w:val="single" w:color="auto" w:sz="8" w:space="0"/>
            </w:tcBorders>
            <w:shd w:val="clear" w:color="auto" w:fill="auto"/>
            <w:vAlign w:val="center"/>
          </w:tcPr>
          <w:p w14:paraId="6DFD2846">
            <w:pPr>
              <w:jc w:val="center"/>
              <w:rPr>
                <w:color w:val="000000"/>
                <w:kern w:val="0"/>
                <w:sz w:val="21"/>
                <w:szCs w:val="21"/>
              </w:rPr>
            </w:pPr>
            <w:r>
              <w:rPr>
                <w:color w:val="000000"/>
                <w:kern w:val="0"/>
                <w:sz w:val="21"/>
                <w:szCs w:val="21"/>
                <w:lang w:bidi="ar"/>
              </w:rPr>
              <w:t>14</w:t>
            </w:r>
          </w:p>
        </w:tc>
        <w:tc>
          <w:tcPr>
            <w:tcW w:w="834" w:type="pct"/>
            <w:tcBorders>
              <w:top w:val="nil"/>
              <w:left w:val="nil"/>
              <w:bottom w:val="single" w:color="auto" w:sz="8" w:space="0"/>
              <w:right w:val="single" w:color="auto" w:sz="8" w:space="0"/>
            </w:tcBorders>
            <w:shd w:val="clear" w:color="auto" w:fill="auto"/>
            <w:vAlign w:val="center"/>
          </w:tcPr>
          <w:p w14:paraId="23FEED5B">
            <w:pPr>
              <w:jc w:val="center"/>
              <w:rPr>
                <w:color w:val="000000"/>
                <w:kern w:val="0"/>
                <w:sz w:val="21"/>
                <w:szCs w:val="21"/>
              </w:rPr>
            </w:pPr>
            <w:r>
              <w:rPr>
                <w:color w:val="000000"/>
                <w:kern w:val="0"/>
                <w:sz w:val="21"/>
                <w:szCs w:val="21"/>
                <w:lang w:bidi="ar"/>
              </w:rPr>
              <w:t>13（92.9%）</w:t>
            </w:r>
          </w:p>
        </w:tc>
        <w:tc>
          <w:tcPr>
            <w:tcW w:w="448" w:type="pct"/>
            <w:vMerge w:val="continue"/>
            <w:tcBorders>
              <w:top w:val="nil"/>
              <w:left w:val="single" w:color="auto" w:sz="8" w:space="0"/>
              <w:bottom w:val="single" w:color="000000" w:sz="8" w:space="0"/>
              <w:right w:val="single" w:color="auto" w:sz="8" w:space="0"/>
            </w:tcBorders>
            <w:shd w:val="clear" w:color="auto" w:fill="auto"/>
            <w:vAlign w:val="center"/>
          </w:tcPr>
          <w:p w14:paraId="05E49381">
            <w:pPr>
              <w:rPr>
                <w:sz w:val="20"/>
              </w:rPr>
            </w:pPr>
          </w:p>
        </w:tc>
      </w:tr>
      <w:tr w14:paraId="14D1DB5E">
        <w:tblPrEx>
          <w:tblCellMar>
            <w:top w:w="0" w:type="dxa"/>
            <w:left w:w="108" w:type="dxa"/>
            <w:bottom w:w="0" w:type="dxa"/>
            <w:right w:w="108" w:type="dxa"/>
          </w:tblCellMar>
        </w:tblPrEx>
        <w:trPr>
          <w:trHeight w:val="400" w:hRule="atLeast"/>
          <w:jc w:val="center"/>
        </w:trPr>
        <w:tc>
          <w:tcPr>
            <w:tcW w:w="829" w:type="pct"/>
            <w:tcBorders>
              <w:top w:val="nil"/>
              <w:left w:val="single" w:color="auto" w:sz="8" w:space="0"/>
              <w:bottom w:val="single" w:color="auto" w:sz="8" w:space="0"/>
              <w:right w:val="single" w:color="auto" w:sz="8" w:space="0"/>
            </w:tcBorders>
            <w:shd w:val="clear" w:color="auto" w:fill="auto"/>
            <w:vAlign w:val="center"/>
          </w:tcPr>
          <w:p w14:paraId="44C5CFF5">
            <w:pPr>
              <w:jc w:val="center"/>
              <w:rPr>
                <w:color w:val="000000"/>
                <w:kern w:val="0"/>
                <w:sz w:val="21"/>
                <w:szCs w:val="21"/>
              </w:rPr>
            </w:pPr>
            <w:r>
              <w:rPr>
                <w:color w:val="000000"/>
                <w:kern w:val="0"/>
                <w:sz w:val="21"/>
                <w:szCs w:val="21"/>
                <w:lang w:bidi="ar"/>
              </w:rPr>
              <w:t>≥5.0</w:t>
            </w:r>
          </w:p>
        </w:tc>
        <w:tc>
          <w:tcPr>
            <w:tcW w:w="302" w:type="pct"/>
            <w:tcBorders>
              <w:top w:val="nil"/>
              <w:left w:val="nil"/>
              <w:bottom w:val="single" w:color="auto" w:sz="8" w:space="0"/>
              <w:right w:val="single" w:color="auto" w:sz="8" w:space="0"/>
            </w:tcBorders>
            <w:shd w:val="clear" w:color="auto" w:fill="auto"/>
            <w:vAlign w:val="center"/>
          </w:tcPr>
          <w:p w14:paraId="73C7D29A">
            <w:pPr>
              <w:jc w:val="center"/>
              <w:rPr>
                <w:color w:val="000000"/>
                <w:kern w:val="0"/>
                <w:sz w:val="21"/>
                <w:szCs w:val="21"/>
              </w:rPr>
            </w:pPr>
            <w:r>
              <w:rPr>
                <w:color w:val="000000"/>
                <w:kern w:val="0"/>
                <w:sz w:val="21"/>
                <w:szCs w:val="21"/>
                <w:lang w:bidi="ar"/>
              </w:rPr>
              <w:t>6</w:t>
            </w:r>
          </w:p>
        </w:tc>
        <w:tc>
          <w:tcPr>
            <w:tcW w:w="1045" w:type="pct"/>
            <w:tcBorders>
              <w:top w:val="nil"/>
              <w:left w:val="nil"/>
              <w:bottom w:val="single" w:color="auto" w:sz="8" w:space="0"/>
              <w:right w:val="single" w:color="auto" w:sz="8" w:space="0"/>
            </w:tcBorders>
            <w:shd w:val="clear" w:color="auto" w:fill="auto"/>
            <w:vAlign w:val="center"/>
          </w:tcPr>
          <w:p w14:paraId="53E74DAA">
            <w:pPr>
              <w:jc w:val="center"/>
              <w:rPr>
                <w:color w:val="000000"/>
                <w:kern w:val="0"/>
                <w:sz w:val="21"/>
                <w:szCs w:val="21"/>
              </w:rPr>
            </w:pPr>
            <w:r>
              <w:rPr>
                <w:color w:val="000000"/>
                <w:kern w:val="0"/>
                <w:sz w:val="21"/>
                <w:szCs w:val="21"/>
                <w:lang w:bidi="ar"/>
              </w:rPr>
              <w:t>6（100.0%）</w:t>
            </w:r>
          </w:p>
        </w:tc>
        <w:tc>
          <w:tcPr>
            <w:tcW w:w="384" w:type="pct"/>
            <w:vMerge w:val="continue"/>
            <w:tcBorders>
              <w:top w:val="nil"/>
              <w:left w:val="single" w:color="auto" w:sz="8" w:space="0"/>
              <w:bottom w:val="single" w:color="000000" w:sz="8" w:space="0"/>
              <w:right w:val="single" w:color="auto" w:sz="8" w:space="0"/>
            </w:tcBorders>
            <w:shd w:val="clear" w:color="auto" w:fill="auto"/>
            <w:vAlign w:val="center"/>
          </w:tcPr>
          <w:p w14:paraId="6B9B4600">
            <w:pPr>
              <w:rPr>
                <w:sz w:val="20"/>
              </w:rPr>
            </w:pPr>
          </w:p>
        </w:tc>
        <w:tc>
          <w:tcPr>
            <w:tcW w:w="769" w:type="pct"/>
            <w:tcBorders>
              <w:top w:val="nil"/>
              <w:left w:val="nil"/>
              <w:bottom w:val="single" w:color="auto" w:sz="8" w:space="0"/>
              <w:right w:val="single" w:color="auto" w:sz="8" w:space="0"/>
            </w:tcBorders>
            <w:shd w:val="clear" w:color="auto" w:fill="auto"/>
            <w:vAlign w:val="center"/>
          </w:tcPr>
          <w:p w14:paraId="3ED966A3">
            <w:pPr>
              <w:jc w:val="center"/>
              <w:rPr>
                <w:color w:val="000000"/>
                <w:kern w:val="0"/>
                <w:sz w:val="21"/>
                <w:szCs w:val="21"/>
              </w:rPr>
            </w:pPr>
            <w:r>
              <w:rPr>
                <w:color w:val="000000"/>
                <w:kern w:val="0"/>
                <w:sz w:val="21"/>
                <w:szCs w:val="21"/>
                <w:lang w:bidi="ar"/>
              </w:rPr>
              <w:t>无GS评分</w:t>
            </w:r>
          </w:p>
        </w:tc>
        <w:tc>
          <w:tcPr>
            <w:tcW w:w="384" w:type="pct"/>
            <w:tcBorders>
              <w:top w:val="nil"/>
              <w:left w:val="nil"/>
              <w:bottom w:val="single" w:color="auto" w:sz="8" w:space="0"/>
              <w:right w:val="single" w:color="auto" w:sz="8" w:space="0"/>
            </w:tcBorders>
            <w:shd w:val="clear" w:color="auto" w:fill="auto"/>
            <w:vAlign w:val="center"/>
          </w:tcPr>
          <w:p w14:paraId="35433FC6">
            <w:pPr>
              <w:jc w:val="center"/>
              <w:rPr>
                <w:color w:val="000000"/>
                <w:kern w:val="0"/>
                <w:sz w:val="21"/>
                <w:szCs w:val="21"/>
              </w:rPr>
            </w:pPr>
            <w:r>
              <w:rPr>
                <w:color w:val="000000"/>
                <w:kern w:val="0"/>
                <w:sz w:val="21"/>
                <w:szCs w:val="21"/>
                <w:lang w:bidi="ar"/>
              </w:rPr>
              <w:t>2</w:t>
            </w:r>
          </w:p>
        </w:tc>
        <w:tc>
          <w:tcPr>
            <w:tcW w:w="834" w:type="pct"/>
            <w:tcBorders>
              <w:top w:val="nil"/>
              <w:left w:val="nil"/>
              <w:bottom w:val="single" w:color="auto" w:sz="8" w:space="0"/>
              <w:right w:val="single" w:color="auto" w:sz="8" w:space="0"/>
            </w:tcBorders>
            <w:shd w:val="clear" w:color="auto" w:fill="auto"/>
            <w:vAlign w:val="center"/>
          </w:tcPr>
          <w:p w14:paraId="6FF2707C">
            <w:pPr>
              <w:jc w:val="center"/>
              <w:rPr>
                <w:color w:val="000000"/>
                <w:kern w:val="0"/>
                <w:sz w:val="21"/>
                <w:szCs w:val="21"/>
              </w:rPr>
            </w:pPr>
            <w:r>
              <w:rPr>
                <w:color w:val="000000"/>
                <w:kern w:val="0"/>
                <w:sz w:val="21"/>
                <w:szCs w:val="21"/>
                <w:lang w:bidi="ar"/>
              </w:rPr>
              <w:t>2（100.0%）</w:t>
            </w:r>
          </w:p>
        </w:tc>
        <w:tc>
          <w:tcPr>
            <w:tcW w:w="448" w:type="pct"/>
            <w:vMerge w:val="continue"/>
            <w:tcBorders>
              <w:top w:val="nil"/>
              <w:left w:val="single" w:color="auto" w:sz="8" w:space="0"/>
              <w:bottom w:val="single" w:color="000000" w:sz="8" w:space="0"/>
              <w:right w:val="single" w:color="auto" w:sz="8" w:space="0"/>
            </w:tcBorders>
            <w:shd w:val="clear" w:color="auto" w:fill="auto"/>
            <w:vAlign w:val="center"/>
          </w:tcPr>
          <w:p w14:paraId="42D231EB">
            <w:pPr>
              <w:rPr>
                <w:sz w:val="20"/>
              </w:rPr>
            </w:pPr>
          </w:p>
        </w:tc>
      </w:tr>
    </w:tbl>
    <w:p w14:paraId="51D95434">
      <w:pPr>
        <w:pStyle w:val="37"/>
        <w:spacing w:before="0" w:beforeAutospacing="0" w:after="0" w:afterAutospacing="0" w:line="360" w:lineRule="auto"/>
        <w:rPr>
          <w:rFonts w:ascii="Times New Roman" w:hAnsi="Times New Roman"/>
          <w:color w:val="auto"/>
          <w:sz w:val="24"/>
          <w:szCs w:val="20"/>
        </w:rPr>
      </w:pPr>
      <w:r>
        <w:rPr>
          <w:rFonts w:ascii="Times New Roman" w:hAnsi="Times New Roman"/>
          <w:color w:val="auto"/>
          <w:sz w:val="24"/>
          <w:szCs w:val="20"/>
        </w:rPr>
        <w:t xml:space="preserve">    单因素逻辑回归分析结果显示剂量、</w:t>
      </w:r>
      <w:r>
        <w:rPr>
          <w:rFonts w:hint="eastAsia" w:ascii="Times New Roman" w:hAnsi="Times New Roman"/>
          <w:color w:val="auto"/>
          <w:sz w:val="24"/>
          <w:szCs w:val="20"/>
        </w:rPr>
        <w:t>成像</w:t>
      </w:r>
      <w:r>
        <w:rPr>
          <w:rFonts w:ascii="Times New Roman" w:hAnsi="Times New Roman"/>
          <w:color w:val="auto"/>
          <w:sz w:val="24"/>
          <w:szCs w:val="20"/>
        </w:rPr>
        <w:t>时间、PSA倍增时间、3个月PSA增加绝对值均不是显著影响阳性预测值的因素。</w:t>
      </w:r>
    </w:p>
    <w:p w14:paraId="19802B6E">
      <w:pPr>
        <w:spacing w:line="360" w:lineRule="auto"/>
        <w:rPr>
          <w:b/>
          <w:bCs/>
        </w:rPr>
      </w:pPr>
      <w:r>
        <w:rPr>
          <w:b/>
          <w:bCs/>
        </w:rPr>
        <w:t>结论：</w:t>
      </w:r>
    </w:p>
    <w:p w14:paraId="650EDAF3">
      <w:pPr>
        <w:spacing w:line="360" w:lineRule="auto"/>
        <w:ind w:firstLine="480" w:firstLineChars="200"/>
        <w:contextualSpacing/>
        <w:jc w:val="both"/>
      </w:pPr>
      <w:r>
        <w:t>INR101注射液PET/CT在诊断</w:t>
      </w:r>
      <w:r>
        <w:rPr>
          <w:lang w:bidi="ar"/>
        </w:rPr>
        <w:t>可疑生化复发患者中具有较高的灵敏度和阳性预测值，与国外同类产品报道相似。</w:t>
      </w:r>
      <w:r>
        <w:t>INR101注射液PET/CT阳性检出率与</w:t>
      </w:r>
      <w:r>
        <w:rPr>
          <w:color w:val="000000"/>
          <w:kern w:val="0"/>
          <w:szCs w:val="24"/>
          <w:lang w:bidi="ar"/>
        </w:rPr>
        <w:t>Gleason</w:t>
      </w:r>
      <w:r>
        <w:t>评分没有相关性，与基线PSA水平存在相关性。</w:t>
      </w:r>
    </w:p>
    <w:p w14:paraId="05F27AC4">
      <w:pPr>
        <w:spacing w:line="360" w:lineRule="auto"/>
        <w:contextualSpacing/>
        <w:jc w:val="both"/>
      </w:pPr>
      <w:r>
        <w:t>（3）INR101注射液 Ⅰ/Ⅱa期研究结果</w:t>
      </w:r>
    </w:p>
    <w:bookmarkEnd w:id="91"/>
    <w:p w14:paraId="425C668D">
      <w:pPr>
        <w:widowControl w:val="0"/>
        <w:spacing w:line="360" w:lineRule="auto"/>
        <w:ind w:firstLine="480" w:firstLineChars="200"/>
        <w:jc w:val="both"/>
        <w:rPr>
          <w:highlight w:val="yellow"/>
        </w:rPr>
      </w:pPr>
      <w:r>
        <w:rPr>
          <w:szCs w:val="24"/>
          <w:u w:color="000000"/>
        </w:rPr>
        <w:t>INR101</w:t>
      </w:r>
      <w:r>
        <w:rPr>
          <w:rFonts w:hint="eastAsia"/>
          <w:szCs w:val="24"/>
          <w:u w:color="000000"/>
        </w:rPr>
        <w:t>注射液</w:t>
      </w:r>
      <w:r>
        <w:rPr>
          <w:szCs w:val="24"/>
          <w:u w:color="000000"/>
        </w:rPr>
        <w:t xml:space="preserve"> </w:t>
      </w:r>
      <w:r>
        <w:t>Ⅰ/Ⅱa</w:t>
      </w:r>
      <w:r>
        <w:rPr>
          <w:rFonts w:hint="eastAsia"/>
          <w:szCs w:val="24"/>
          <w:u w:color="000000"/>
        </w:rPr>
        <w:t>期临床试验</w:t>
      </w:r>
      <w:r>
        <w:rPr>
          <w:szCs w:val="24"/>
          <w:u w:color="000000"/>
        </w:rPr>
        <w:t>总体设计为前瞻性、多中心、开放临床试验设计。Ⅰ期研究完成受试者安全性随访后再开展Ⅱa期研究。</w:t>
      </w:r>
      <w:r>
        <w:t>Ⅰ</w:t>
      </w:r>
      <w:r>
        <w:rPr>
          <w:rFonts w:hint="eastAsia"/>
          <w:szCs w:val="24"/>
          <w:u w:color="000000"/>
        </w:rPr>
        <w:t>期研究在健康男性受试者中进行，符合入组标准的受试者将接受</w:t>
      </w:r>
      <w:r>
        <w:rPr>
          <w:szCs w:val="24"/>
          <w:u w:color="000000"/>
        </w:rPr>
        <w:t>INR101</w:t>
      </w:r>
      <w:r>
        <w:rPr>
          <w:rFonts w:hint="eastAsia"/>
          <w:szCs w:val="24"/>
          <w:u w:color="000000"/>
        </w:rPr>
        <w:t>注射液单次给药，</w:t>
      </w:r>
      <w:r>
        <w:rPr>
          <w:szCs w:val="24"/>
          <w:u w:color="000000"/>
        </w:rPr>
        <w:t>9</w:t>
      </w:r>
      <w:r>
        <w:rPr>
          <w:rFonts w:hint="eastAsia"/>
          <w:szCs w:val="24"/>
          <w:u w:color="000000"/>
        </w:rPr>
        <w:t>±</w:t>
      </w:r>
      <w:r>
        <w:rPr>
          <w:szCs w:val="24"/>
          <w:u w:color="000000"/>
        </w:rPr>
        <w:t>1 mCi</w:t>
      </w:r>
      <w:r>
        <w:rPr>
          <w:rFonts w:hint="eastAsia"/>
          <w:szCs w:val="24"/>
          <w:u w:color="000000"/>
        </w:rPr>
        <w:t>，于给药后进行</w:t>
      </w:r>
      <w:r>
        <w:rPr>
          <w:szCs w:val="24"/>
          <w:u w:color="000000"/>
        </w:rPr>
        <w:t>6</w:t>
      </w:r>
      <w:r>
        <w:rPr>
          <w:rFonts w:hint="eastAsia"/>
          <w:szCs w:val="24"/>
          <w:u w:color="000000"/>
        </w:rPr>
        <w:t>次</w:t>
      </w:r>
      <w:r>
        <w:rPr>
          <w:szCs w:val="24"/>
          <w:u w:color="000000"/>
        </w:rPr>
        <w:t>PET/CT</w:t>
      </w:r>
      <w:r>
        <w:rPr>
          <w:rFonts w:hint="eastAsia"/>
          <w:szCs w:val="24"/>
          <w:u w:color="000000"/>
        </w:rPr>
        <w:t>成像。于给药前后进行血液和尿液样本的采集。检查期和随访期均进行安全性检查。</w:t>
      </w:r>
      <w:r>
        <w:t>Ⅱa</w:t>
      </w:r>
      <w:r>
        <w:rPr>
          <w:rFonts w:hint="eastAsia"/>
          <w:szCs w:val="24"/>
          <w:u w:color="000000"/>
        </w:rPr>
        <w:t>期研究在可疑前列腺癌拟进行前列腺穿刺活检的受试者中进行，符合入组标准的受试者将随机分为两个剂量组，给药剂量分别为</w:t>
      </w:r>
      <w:r>
        <w:rPr>
          <w:szCs w:val="24"/>
          <w:u w:color="000000"/>
        </w:rPr>
        <w:t>7</w:t>
      </w:r>
      <w:r>
        <w:rPr>
          <w:rFonts w:hint="eastAsia"/>
          <w:szCs w:val="24"/>
          <w:u w:color="000000"/>
        </w:rPr>
        <w:t>±</w:t>
      </w:r>
      <w:r>
        <w:rPr>
          <w:szCs w:val="24"/>
          <w:u w:color="000000"/>
        </w:rPr>
        <w:t>1 mCi</w:t>
      </w:r>
      <w:r>
        <w:rPr>
          <w:rFonts w:hint="eastAsia"/>
          <w:szCs w:val="24"/>
          <w:u w:color="000000"/>
        </w:rPr>
        <w:t>和</w:t>
      </w:r>
      <w:r>
        <w:rPr>
          <w:szCs w:val="24"/>
          <w:u w:color="000000"/>
        </w:rPr>
        <w:t>9</w:t>
      </w:r>
      <w:r>
        <w:rPr>
          <w:rFonts w:hint="eastAsia"/>
          <w:szCs w:val="24"/>
          <w:u w:color="000000"/>
        </w:rPr>
        <w:t>±</w:t>
      </w:r>
      <w:r>
        <w:rPr>
          <w:szCs w:val="24"/>
          <w:u w:color="000000"/>
        </w:rPr>
        <w:t>1 mCi</w:t>
      </w:r>
      <w:r>
        <w:rPr>
          <w:rFonts w:hint="eastAsia"/>
          <w:szCs w:val="24"/>
          <w:u w:color="000000"/>
        </w:rPr>
        <w:t>，每个剂量组各</w:t>
      </w:r>
      <w:r>
        <w:rPr>
          <w:szCs w:val="24"/>
          <w:u w:color="000000"/>
        </w:rPr>
        <w:t>12</w:t>
      </w:r>
      <w:r>
        <w:rPr>
          <w:rFonts w:hint="eastAsia"/>
          <w:szCs w:val="24"/>
          <w:u w:color="000000"/>
        </w:rPr>
        <w:t>例受试者，均接受</w:t>
      </w:r>
      <w:r>
        <w:rPr>
          <w:szCs w:val="24"/>
          <w:u w:color="000000"/>
        </w:rPr>
        <w:t>INR101</w:t>
      </w:r>
      <w:r>
        <w:rPr>
          <w:rFonts w:hint="eastAsia"/>
          <w:szCs w:val="24"/>
          <w:u w:color="000000"/>
        </w:rPr>
        <w:t>注射液单次给药。每个剂量组均在给药后接受</w:t>
      </w:r>
      <w:r>
        <w:rPr>
          <w:szCs w:val="24"/>
          <w:u w:color="000000"/>
        </w:rPr>
        <w:t>2</w:t>
      </w:r>
      <w:r>
        <w:rPr>
          <w:rFonts w:hint="eastAsia"/>
          <w:szCs w:val="24"/>
          <w:u w:color="000000"/>
        </w:rPr>
        <w:t>个时间的</w:t>
      </w:r>
      <w:r>
        <w:rPr>
          <w:szCs w:val="24"/>
          <w:u w:color="000000"/>
        </w:rPr>
        <w:t>PET/CT</w:t>
      </w:r>
      <w:r>
        <w:rPr>
          <w:rFonts w:hint="eastAsia"/>
          <w:szCs w:val="24"/>
          <w:u w:color="000000"/>
        </w:rPr>
        <w:t>成像，成像时间为</w:t>
      </w:r>
      <w:r>
        <w:rPr>
          <w:szCs w:val="24"/>
          <w:u w:color="000000"/>
        </w:rPr>
        <w:t>80</w:t>
      </w:r>
      <w:r>
        <w:rPr>
          <w:rFonts w:hint="eastAsia"/>
          <w:szCs w:val="24"/>
          <w:u w:color="000000"/>
        </w:rPr>
        <w:t>±</w:t>
      </w:r>
      <w:r>
        <w:rPr>
          <w:szCs w:val="24"/>
          <w:u w:color="000000"/>
        </w:rPr>
        <w:t>10 min</w:t>
      </w:r>
      <w:r>
        <w:rPr>
          <w:rFonts w:hint="eastAsia"/>
          <w:szCs w:val="24"/>
          <w:u w:color="000000"/>
        </w:rPr>
        <w:t>，</w:t>
      </w:r>
      <w:r>
        <w:rPr>
          <w:szCs w:val="24"/>
          <w:u w:color="000000"/>
        </w:rPr>
        <w:t>120</w:t>
      </w:r>
      <w:r>
        <w:rPr>
          <w:rFonts w:hint="eastAsia"/>
          <w:szCs w:val="24"/>
          <w:u w:color="000000"/>
        </w:rPr>
        <w:t>±</w:t>
      </w:r>
      <w:r>
        <w:rPr>
          <w:szCs w:val="24"/>
          <w:u w:color="000000"/>
        </w:rPr>
        <w:t>10 min</w:t>
      </w:r>
      <w:r>
        <w:rPr>
          <w:rFonts w:hint="eastAsia"/>
          <w:szCs w:val="24"/>
          <w:u w:color="000000"/>
        </w:rPr>
        <w:t>，成像范围从大腿中部到头顶。检查期和随访期均进行安全性检查。在给药后</w:t>
      </w:r>
      <w:r>
        <w:rPr>
          <w:szCs w:val="24"/>
          <w:u w:color="000000"/>
        </w:rPr>
        <w:t>28</w:t>
      </w:r>
      <w:r>
        <w:rPr>
          <w:rFonts w:hint="eastAsia"/>
          <w:szCs w:val="24"/>
          <w:u w:color="000000"/>
        </w:rPr>
        <w:t>天内进行前列腺穿刺活检，收集活检病理诊断作为真实性标准进行诊断效能评估。</w:t>
      </w:r>
    </w:p>
    <w:p w14:paraId="6DD715A6">
      <w:pPr>
        <w:pStyle w:val="15"/>
        <w:numPr>
          <w:ilvl w:val="255"/>
          <w:numId w:val="0"/>
        </w:numPr>
        <w:rPr>
          <w:b/>
          <w:bCs/>
        </w:rPr>
      </w:pPr>
      <w:r>
        <w:rPr>
          <w:rFonts w:hint="eastAsia"/>
          <w:b/>
          <w:bCs/>
        </w:rPr>
        <w:t>结果：</w:t>
      </w:r>
    </w:p>
    <w:p w14:paraId="6F6666C1">
      <w:pPr>
        <w:numPr>
          <w:ilvl w:val="255"/>
          <w:numId w:val="0"/>
        </w:numPr>
        <w:rPr>
          <w:b/>
          <w:bCs/>
        </w:rPr>
      </w:pPr>
      <w:r>
        <w:rPr>
          <w:rFonts w:hint="eastAsia"/>
          <w:b/>
          <w:bCs/>
        </w:rPr>
        <w:t>安全性结果：</w:t>
      </w:r>
    </w:p>
    <w:p w14:paraId="4680F838">
      <w:pPr>
        <w:spacing w:line="360" w:lineRule="auto"/>
        <w:ind w:firstLine="480" w:firstLineChars="200"/>
      </w:pPr>
      <w:r>
        <w:t>I</w:t>
      </w:r>
      <w:r>
        <w:rPr>
          <w:rFonts w:hint="eastAsia"/>
        </w:rPr>
        <w:t>期：</w:t>
      </w:r>
      <w:r>
        <w:t>8</w:t>
      </w:r>
      <w:r>
        <w:rPr>
          <w:rFonts w:hint="eastAsia"/>
        </w:rPr>
        <w:t>例受试者共</w:t>
      </w:r>
      <w:r>
        <w:t>1</w:t>
      </w:r>
      <w:r>
        <w:rPr>
          <w:rFonts w:hint="eastAsia"/>
        </w:rPr>
        <w:t>例受试者发生</w:t>
      </w:r>
      <w:r>
        <w:t>1</w:t>
      </w:r>
      <w:r>
        <w:rPr>
          <w:rFonts w:hint="eastAsia"/>
        </w:rPr>
        <w:t>例次的严重程度为</w:t>
      </w:r>
      <w:r>
        <w:t>1</w:t>
      </w:r>
      <w:r>
        <w:rPr>
          <w:rFonts w:hint="eastAsia"/>
        </w:rPr>
        <w:t>级的用药后不良事件（</w:t>
      </w:r>
      <w:r>
        <w:t>TEAE</w:t>
      </w:r>
      <w:r>
        <w:rPr>
          <w:rFonts w:hint="eastAsia"/>
        </w:rPr>
        <w:t>）（</w:t>
      </w:r>
      <w:r>
        <w:t>12.5%</w:t>
      </w:r>
      <w:r>
        <w:rPr>
          <w:rFonts w:hint="eastAsia"/>
        </w:rPr>
        <w:t>），</w:t>
      </w:r>
      <w:r>
        <w:t>SOC</w:t>
      </w:r>
      <w:r>
        <w:rPr>
          <w:rFonts w:hint="eastAsia"/>
        </w:rPr>
        <w:t>为代谢及营养类疾病，</w:t>
      </w:r>
      <w:r>
        <w:t>PT</w:t>
      </w:r>
      <w:r>
        <w:rPr>
          <w:rFonts w:hint="eastAsia"/>
        </w:rPr>
        <w:t>为高尿酸血症，发生率为</w:t>
      </w:r>
      <w:r>
        <w:t>12.5%</w:t>
      </w:r>
      <w:r>
        <w:rPr>
          <w:rFonts w:hint="eastAsia"/>
        </w:rPr>
        <w:t>。该</w:t>
      </w:r>
      <w:r>
        <w:t>TEAE</w:t>
      </w:r>
      <w:r>
        <w:rPr>
          <w:rFonts w:hint="eastAsia"/>
        </w:rPr>
        <w:t>与试验用药可能无关，转归为持续。</w:t>
      </w:r>
    </w:p>
    <w:p w14:paraId="5CBF4ACB">
      <w:pPr>
        <w:spacing w:line="360" w:lineRule="auto"/>
        <w:ind w:firstLine="480" w:firstLineChars="200"/>
      </w:pPr>
      <w:r>
        <w:t>IIa</w:t>
      </w:r>
      <w:r>
        <w:rPr>
          <w:rFonts w:hint="eastAsia"/>
        </w:rPr>
        <w:t>期：</w:t>
      </w:r>
      <w:r>
        <w:t>24</w:t>
      </w:r>
      <w:r>
        <w:rPr>
          <w:rFonts w:hint="eastAsia"/>
        </w:rPr>
        <w:t>例受试者共</w:t>
      </w:r>
      <w:r>
        <w:t>2</w:t>
      </w:r>
      <w:r>
        <w:rPr>
          <w:rFonts w:hint="eastAsia"/>
        </w:rPr>
        <w:t>例受试者发生</w:t>
      </w:r>
      <w:r>
        <w:t>2</w:t>
      </w:r>
      <w:r>
        <w:rPr>
          <w:rFonts w:hint="eastAsia"/>
        </w:rPr>
        <w:t>例次的</w:t>
      </w:r>
      <w:r>
        <w:t>TEAE</w:t>
      </w:r>
      <w:r>
        <w:rPr>
          <w:rFonts w:hint="eastAsia"/>
        </w:rPr>
        <w:t>，其中低剂量组的</w:t>
      </w:r>
      <w:r>
        <w:t>1</w:t>
      </w:r>
      <w:r>
        <w:rPr>
          <w:rFonts w:hint="eastAsia"/>
        </w:rPr>
        <w:t>例受试者发生</w:t>
      </w:r>
      <w:r>
        <w:t>1</w:t>
      </w:r>
      <w:r>
        <w:rPr>
          <w:rFonts w:hint="eastAsia"/>
        </w:rPr>
        <w:t>例次严重程度为</w:t>
      </w:r>
      <w:r>
        <w:t>2</w:t>
      </w:r>
      <w:r>
        <w:rPr>
          <w:rFonts w:hint="eastAsia"/>
        </w:rPr>
        <w:t>级的血压升高，发生率为</w:t>
      </w:r>
      <w:r>
        <w:t>8.3%</w:t>
      </w:r>
      <w:r>
        <w:rPr>
          <w:rFonts w:hint="eastAsia"/>
        </w:rPr>
        <w:t>，与试验用药可能无关，转归为已恢复</w:t>
      </w:r>
      <w:r>
        <w:t>/</w:t>
      </w:r>
      <w:r>
        <w:rPr>
          <w:rFonts w:hint="eastAsia"/>
        </w:rPr>
        <w:t>已解决；高剂量组的</w:t>
      </w:r>
      <w:r>
        <w:t>1</w:t>
      </w:r>
      <w:r>
        <w:rPr>
          <w:rFonts w:hint="eastAsia"/>
        </w:rPr>
        <w:t>例受试者发生</w:t>
      </w:r>
      <w:r>
        <w:t>1</w:t>
      </w:r>
      <w:r>
        <w:rPr>
          <w:rFonts w:hint="eastAsia"/>
        </w:rPr>
        <w:t>例次严重程度为</w:t>
      </w:r>
      <w:r>
        <w:t>1</w:t>
      </w:r>
      <w:r>
        <w:rPr>
          <w:rFonts w:hint="eastAsia"/>
        </w:rPr>
        <w:t>级的尿路感染，发生率为</w:t>
      </w:r>
      <w:r>
        <w:t>8.3%</w:t>
      </w:r>
      <w:r>
        <w:rPr>
          <w:rFonts w:hint="eastAsia"/>
        </w:rPr>
        <w:t>，与试验用药肯定无关，转归为持续。</w:t>
      </w:r>
    </w:p>
    <w:p w14:paraId="31A52E68">
      <w:pPr>
        <w:rPr>
          <w:b/>
          <w:bCs/>
        </w:rPr>
      </w:pPr>
      <w:r>
        <w:rPr>
          <w:rFonts w:hint="eastAsia"/>
          <w:b/>
          <w:bCs/>
        </w:rPr>
        <w:t>有效性结果：</w:t>
      </w:r>
    </w:p>
    <w:p w14:paraId="28F20B66">
      <w:pPr>
        <w:pStyle w:val="165"/>
        <w:ind w:firstLine="0" w:firstLineChars="0"/>
        <w:rPr>
          <w:rFonts w:cs="Times New Roman"/>
          <w:b/>
          <w:szCs w:val="24"/>
        </w:rPr>
      </w:pPr>
      <w:r>
        <w:rPr>
          <w:rFonts w:cs="Times New Roman"/>
          <w:b/>
          <w:szCs w:val="24"/>
        </w:rPr>
        <w:t>Ⅰ期：</w:t>
      </w:r>
    </w:p>
    <w:p w14:paraId="68AC03B2">
      <w:pPr>
        <w:spacing w:line="360" w:lineRule="auto"/>
        <w:ind w:firstLine="480" w:firstLineChars="200"/>
        <w:jc w:val="both"/>
        <w:rPr>
          <w:b/>
          <w:bCs/>
          <w:szCs w:val="24"/>
        </w:rPr>
      </w:pPr>
      <w:r>
        <w:rPr>
          <w:rFonts w:hint="eastAsia"/>
          <w:b/>
          <w:bCs/>
          <w:szCs w:val="24"/>
        </w:rPr>
        <w:t>药代动力学评估：</w:t>
      </w:r>
    </w:p>
    <w:p w14:paraId="2A16B3FC">
      <w:pPr>
        <w:pStyle w:val="17"/>
        <w:spacing w:line="360" w:lineRule="auto"/>
        <w:ind w:firstLine="480" w:firstLineChars="200"/>
        <w:rPr>
          <w:kern w:val="0"/>
          <w:szCs w:val="24"/>
        </w:rPr>
      </w:pPr>
      <w:r>
        <w:rPr>
          <w:szCs w:val="24"/>
        </w:rPr>
        <w:t>INR101</w:t>
      </w:r>
      <w:r>
        <w:rPr>
          <w:rFonts w:hint="eastAsia"/>
          <w:szCs w:val="24"/>
        </w:rPr>
        <w:t>注射液给药后在血液中迅速达峰，达峰时间约为</w:t>
      </w:r>
      <w:r>
        <w:rPr>
          <w:szCs w:val="24"/>
        </w:rPr>
        <w:t>0.05 h</w:t>
      </w:r>
      <w:r>
        <w:rPr>
          <w:rFonts w:hint="eastAsia"/>
          <w:szCs w:val="24"/>
        </w:rPr>
        <w:t>，在循环系统中较快消除，消除半衰期约为</w:t>
      </w:r>
      <w:r>
        <w:rPr>
          <w:szCs w:val="24"/>
        </w:rPr>
        <w:t>1.3 h</w:t>
      </w:r>
      <w:r>
        <w:rPr>
          <w:rFonts w:hint="eastAsia"/>
          <w:szCs w:val="24"/>
        </w:rPr>
        <w:t>，部分通过尿液排泄，给药后</w:t>
      </w:r>
      <w:r>
        <w:rPr>
          <w:szCs w:val="24"/>
        </w:rPr>
        <w:t>480 min</w:t>
      </w:r>
      <w:r>
        <w:rPr>
          <w:rFonts w:hint="eastAsia"/>
          <w:szCs w:val="24"/>
        </w:rPr>
        <w:t>尿液中放射性累积排泄率为</w:t>
      </w:r>
      <w:r>
        <w:rPr>
          <w:szCs w:val="24"/>
        </w:rPr>
        <w:t>9.79%</w:t>
      </w:r>
      <w:r>
        <w:rPr>
          <w:rFonts w:hint="eastAsia"/>
          <w:szCs w:val="24"/>
        </w:rPr>
        <w:t>，尿液中检出一种代谢产物，占比</w:t>
      </w:r>
      <w:r>
        <w:rPr>
          <w:szCs w:val="24"/>
        </w:rPr>
        <w:t>9.73%</w:t>
      </w:r>
      <w:r>
        <w:rPr>
          <w:rFonts w:hint="eastAsia"/>
          <w:szCs w:val="24"/>
        </w:rPr>
        <w:t>。</w:t>
      </w:r>
    </w:p>
    <w:p w14:paraId="440388BD">
      <w:pPr>
        <w:spacing w:line="360" w:lineRule="auto"/>
        <w:ind w:firstLine="480" w:firstLineChars="200"/>
        <w:jc w:val="both"/>
        <w:rPr>
          <w:b/>
          <w:bCs/>
          <w:szCs w:val="24"/>
        </w:rPr>
      </w:pPr>
      <w:r>
        <w:rPr>
          <w:rFonts w:hint="eastAsia"/>
          <w:b/>
          <w:bCs/>
          <w:szCs w:val="24"/>
        </w:rPr>
        <w:t>生物分布评估：</w:t>
      </w:r>
    </w:p>
    <w:p w14:paraId="56A18B5B">
      <w:pPr>
        <w:pStyle w:val="17"/>
        <w:spacing w:line="360" w:lineRule="auto"/>
        <w:ind w:firstLine="480" w:firstLineChars="200"/>
        <w:rPr>
          <w:szCs w:val="24"/>
        </w:rPr>
      </w:pPr>
      <w:r>
        <w:rPr>
          <w:szCs w:val="24"/>
        </w:rPr>
        <w:t>INR101给药后在唾液腺、心内容物、泪腺、肝脏、肾脏、胆囊内容物</w:t>
      </w:r>
      <w:r>
        <w:rPr>
          <w:rFonts w:hint="eastAsia"/>
          <w:szCs w:val="24"/>
        </w:rPr>
        <w:t>、脾</w:t>
      </w:r>
      <w:r>
        <w:rPr>
          <w:szCs w:val="24"/>
        </w:rPr>
        <w:t>等正常器官中有不同程度生理性摄取。</w:t>
      </w:r>
    </w:p>
    <w:p w14:paraId="0E6C13F4">
      <w:pPr>
        <w:pStyle w:val="17"/>
        <w:spacing w:line="360" w:lineRule="auto"/>
        <w:ind w:firstLine="480" w:firstLineChars="200"/>
        <w:rPr>
          <w:szCs w:val="24"/>
        </w:rPr>
      </w:pPr>
      <w:r>
        <w:rPr>
          <w:rFonts w:hint="eastAsia"/>
          <w:szCs w:val="24"/>
        </w:rPr>
        <w:t>根据生物分布和动态变化显示，</w:t>
      </w:r>
      <w:r>
        <w:rPr>
          <w:szCs w:val="24"/>
        </w:rPr>
        <w:t>INR101</w:t>
      </w:r>
      <w:r>
        <w:rPr>
          <w:rFonts w:hint="eastAsia"/>
          <w:szCs w:val="24"/>
        </w:rPr>
        <w:t>在体内主要的清除途径是肾脏</w:t>
      </w:r>
      <w:r>
        <w:rPr>
          <w:szCs w:val="24"/>
        </w:rPr>
        <w:t>-</w:t>
      </w:r>
      <w:r>
        <w:rPr>
          <w:rFonts w:hint="eastAsia"/>
          <w:szCs w:val="24"/>
        </w:rPr>
        <w:t>泌尿系统和肝胆</w:t>
      </w:r>
      <w:r>
        <w:rPr>
          <w:szCs w:val="24"/>
        </w:rPr>
        <w:t>-</w:t>
      </w:r>
      <w:r>
        <w:rPr>
          <w:rFonts w:hint="eastAsia"/>
          <w:szCs w:val="24"/>
        </w:rPr>
        <w:t>肠道路径。肾脏活度包含自身摄取和尿液排泄两部分，肾脏与唾液腺的摄取浓度在所有脏器中分列</w:t>
      </w:r>
      <w:r>
        <w:rPr>
          <w:szCs w:val="24"/>
        </w:rPr>
        <w:t>1</w:t>
      </w:r>
      <w:r>
        <w:rPr>
          <w:rFonts w:hint="eastAsia"/>
          <w:szCs w:val="24"/>
        </w:rPr>
        <w:t>、</w:t>
      </w:r>
      <w:r>
        <w:rPr>
          <w:szCs w:val="24"/>
        </w:rPr>
        <w:t>2</w:t>
      </w:r>
      <w:r>
        <w:rPr>
          <w:rFonts w:hint="eastAsia"/>
          <w:szCs w:val="24"/>
        </w:rPr>
        <w:t>位。大脑基本无摄取。肝脏和脾的摄取在早期增加较快，后期有所减缓。</w:t>
      </w:r>
    </w:p>
    <w:p w14:paraId="63462EB6">
      <w:pPr>
        <w:spacing w:line="360" w:lineRule="auto"/>
        <w:ind w:firstLine="480" w:firstLineChars="200"/>
        <w:jc w:val="both"/>
        <w:rPr>
          <w:b/>
          <w:bCs/>
          <w:szCs w:val="24"/>
        </w:rPr>
      </w:pPr>
      <w:r>
        <w:rPr>
          <w:rFonts w:hint="eastAsia"/>
          <w:b/>
          <w:bCs/>
          <w:szCs w:val="24"/>
        </w:rPr>
        <w:t>滞留时间：</w:t>
      </w:r>
    </w:p>
    <w:p w14:paraId="167AE95E">
      <w:pPr>
        <w:pStyle w:val="17"/>
        <w:spacing w:line="360" w:lineRule="auto"/>
        <w:ind w:firstLine="480" w:firstLineChars="200"/>
        <w:contextualSpacing/>
        <w:rPr>
          <w:szCs w:val="24"/>
        </w:rPr>
      </w:pPr>
      <w:r>
        <w:rPr>
          <w:rFonts w:hint="eastAsia"/>
          <w:szCs w:val="24"/>
        </w:rPr>
        <w:t>在所有器官</w:t>
      </w:r>
      <w:r>
        <w:rPr>
          <w:szCs w:val="24"/>
        </w:rPr>
        <w:t>/</w:t>
      </w:r>
      <w:r>
        <w:rPr>
          <w:rFonts w:hint="eastAsia"/>
          <w:szCs w:val="24"/>
        </w:rPr>
        <w:t>组织中，滞留时间最长的器官为肝，其次是肾、心内容物，分别为</w:t>
      </w:r>
      <w:r>
        <w:rPr>
          <w:szCs w:val="24"/>
        </w:rPr>
        <w:t>0.7530</w:t>
      </w:r>
      <w:r>
        <w:rPr>
          <w:rFonts w:hint="eastAsia"/>
          <w:szCs w:val="24"/>
        </w:rPr>
        <w:t>±</w:t>
      </w:r>
      <w:r>
        <w:rPr>
          <w:szCs w:val="24"/>
        </w:rPr>
        <w:t>0.1656</w:t>
      </w:r>
      <w:r>
        <w:rPr>
          <w:rFonts w:hint="eastAsia"/>
          <w:szCs w:val="24"/>
        </w:rPr>
        <w:t>（</w:t>
      </w:r>
      <w:r>
        <w:rPr>
          <w:szCs w:val="24"/>
        </w:rPr>
        <w:t>MBq-h/MBq</w:t>
      </w:r>
      <w:r>
        <w:rPr>
          <w:rFonts w:hint="eastAsia"/>
          <w:szCs w:val="24"/>
        </w:rPr>
        <w:t>）、</w:t>
      </w:r>
      <w:r>
        <w:rPr>
          <w:szCs w:val="24"/>
        </w:rPr>
        <w:t>0.2836</w:t>
      </w:r>
      <w:r>
        <w:rPr>
          <w:rFonts w:hint="eastAsia"/>
          <w:szCs w:val="24"/>
        </w:rPr>
        <w:t>±</w:t>
      </w:r>
      <w:r>
        <w:rPr>
          <w:szCs w:val="24"/>
        </w:rPr>
        <w:t>0.0443</w:t>
      </w:r>
      <w:r>
        <w:rPr>
          <w:rFonts w:hint="eastAsia"/>
          <w:szCs w:val="24"/>
        </w:rPr>
        <w:t>（</w:t>
      </w:r>
      <w:r>
        <w:rPr>
          <w:szCs w:val="24"/>
        </w:rPr>
        <w:t>MBq-h/MBq</w:t>
      </w:r>
      <w:r>
        <w:rPr>
          <w:rFonts w:hint="eastAsia"/>
          <w:szCs w:val="24"/>
        </w:rPr>
        <w:t>）、</w:t>
      </w:r>
      <w:r>
        <w:rPr>
          <w:szCs w:val="24"/>
        </w:rPr>
        <w:t>0.1191</w:t>
      </w:r>
      <w:r>
        <w:rPr>
          <w:rFonts w:hint="eastAsia"/>
          <w:szCs w:val="24"/>
        </w:rPr>
        <w:t>±</w:t>
      </w:r>
      <w:r>
        <w:rPr>
          <w:szCs w:val="24"/>
        </w:rPr>
        <w:t>0.0255</w:t>
      </w:r>
      <w:r>
        <w:rPr>
          <w:rFonts w:hint="eastAsia"/>
          <w:szCs w:val="24"/>
        </w:rPr>
        <w:t>（</w:t>
      </w:r>
      <w:r>
        <w:rPr>
          <w:szCs w:val="24"/>
        </w:rPr>
        <w:t>MBq-h/MBq</w:t>
      </w:r>
      <w:r>
        <w:rPr>
          <w:rFonts w:hint="eastAsia"/>
          <w:szCs w:val="24"/>
        </w:rPr>
        <w:t>）。</w:t>
      </w:r>
    </w:p>
    <w:p w14:paraId="0457682F">
      <w:pPr>
        <w:spacing w:line="360" w:lineRule="auto"/>
        <w:ind w:firstLine="480" w:firstLineChars="200"/>
        <w:jc w:val="both"/>
        <w:rPr>
          <w:b/>
          <w:bCs/>
          <w:szCs w:val="24"/>
        </w:rPr>
      </w:pPr>
      <w:r>
        <w:rPr>
          <w:rFonts w:hint="eastAsia"/>
          <w:b/>
          <w:bCs/>
          <w:szCs w:val="24"/>
        </w:rPr>
        <w:t>辐射剂量学评估：</w:t>
      </w:r>
    </w:p>
    <w:p w14:paraId="28448CEC">
      <w:pPr>
        <w:pStyle w:val="17"/>
        <w:spacing w:line="360" w:lineRule="auto"/>
        <w:ind w:firstLine="480" w:firstLineChars="200"/>
        <w:rPr>
          <w:szCs w:val="24"/>
        </w:rPr>
      </w:pPr>
      <w:r>
        <w:rPr>
          <w:rFonts w:hint="eastAsia"/>
          <w:szCs w:val="24"/>
        </w:rPr>
        <w:t>全身及身体各部位的辐射吸收剂量最高的器官为肾，单位活度吸收剂量为</w:t>
      </w:r>
      <w:r>
        <w:rPr>
          <w:szCs w:val="24"/>
        </w:rPr>
        <w:t>0.181</w:t>
      </w:r>
      <w:r>
        <w:rPr>
          <w:rFonts w:hint="eastAsia"/>
          <w:szCs w:val="24"/>
        </w:rPr>
        <w:t>±</w:t>
      </w:r>
      <w:r>
        <w:rPr>
          <w:szCs w:val="24"/>
        </w:rPr>
        <w:t>0.0280</w:t>
      </w:r>
      <w:r>
        <w:rPr>
          <w:rFonts w:hint="eastAsia"/>
          <w:szCs w:val="24"/>
        </w:rPr>
        <w:t>（</w:t>
      </w:r>
      <w:r>
        <w:rPr>
          <w:szCs w:val="24"/>
        </w:rPr>
        <w:t>mGy/MBq</w:t>
      </w:r>
      <w:r>
        <w:rPr>
          <w:rFonts w:hint="eastAsia"/>
          <w:szCs w:val="24"/>
        </w:rPr>
        <w:t>）；其次是肝、唾液腺和胆囊壁，分别为</w:t>
      </w:r>
      <w:r>
        <w:rPr>
          <w:szCs w:val="24"/>
        </w:rPr>
        <w:t>0.106</w:t>
      </w:r>
      <w:r>
        <w:rPr>
          <w:rFonts w:hint="eastAsia"/>
          <w:szCs w:val="24"/>
        </w:rPr>
        <w:t>±</w:t>
      </w:r>
      <w:r>
        <w:rPr>
          <w:szCs w:val="24"/>
        </w:rPr>
        <w:t>0.0226</w:t>
      </w:r>
      <w:r>
        <w:rPr>
          <w:rFonts w:hint="eastAsia"/>
          <w:szCs w:val="24"/>
        </w:rPr>
        <w:t>（</w:t>
      </w:r>
      <w:r>
        <w:rPr>
          <w:szCs w:val="24"/>
        </w:rPr>
        <w:t>mGy/MBq</w:t>
      </w:r>
      <w:r>
        <w:rPr>
          <w:rFonts w:hint="eastAsia"/>
          <w:szCs w:val="24"/>
        </w:rPr>
        <w:t>）、</w:t>
      </w:r>
      <w:r>
        <w:rPr>
          <w:szCs w:val="24"/>
        </w:rPr>
        <w:t>0.083</w:t>
      </w:r>
      <w:r>
        <w:rPr>
          <w:rFonts w:hint="eastAsia"/>
          <w:szCs w:val="24"/>
        </w:rPr>
        <w:t>±</w:t>
      </w:r>
      <w:r>
        <w:rPr>
          <w:szCs w:val="24"/>
        </w:rPr>
        <w:t>0.0139</w:t>
      </w:r>
      <w:r>
        <w:rPr>
          <w:rFonts w:hint="eastAsia"/>
          <w:szCs w:val="24"/>
        </w:rPr>
        <w:t>（</w:t>
      </w:r>
      <w:r>
        <w:rPr>
          <w:szCs w:val="24"/>
        </w:rPr>
        <w:t>mGy/MBq</w:t>
      </w:r>
      <w:r>
        <w:rPr>
          <w:rFonts w:hint="eastAsia"/>
          <w:szCs w:val="24"/>
        </w:rPr>
        <w:t>）、</w:t>
      </w:r>
      <w:r>
        <w:rPr>
          <w:szCs w:val="24"/>
        </w:rPr>
        <w:t>0.068</w:t>
      </w:r>
      <w:r>
        <w:rPr>
          <w:rFonts w:hint="eastAsia"/>
          <w:szCs w:val="24"/>
        </w:rPr>
        <w:t>±</w:t>
      </w:r>
      <w:r>
        <w:rPr>
          <w:szCs w:val="24"/>
        </w:rPr>
        <w:t>0.0183</w:t>
      </w:r>
      <w:r>
        <w:rPr>
          <w:rFonts w:hint="eastAsia"/>
          <w:szCs w:val="24"/>
        </w:rPr>
        <w:t>（</w:t>
      </w:r>
      <w:r>
        <w:rPr>
          <w:szCs w:val="24"/>
        </w:rPr>
        <w:t>mGy/MBq</w:t>
      </w:r>
      <w:r>
        <w:rPr>
          <w:rFonts w:hint="eastAsia"/>
          <w:szCs w:val="24"/>
        </w:rPr>
        <w:t>）。全身有效剂量为</w:t>
      </w:r>
      <w:r>
        <w:rPr>
          <w:szCs w:val="24"/>
        </w:rPr>
        <w:t>7.593</w:t>
      </w:r>
      <w:r>
        <w:rPr>
          <w:rFonts w:hint="eastAsia"/>
          <w:szCs w:val="24"/>
        </w:rPr>
        <w:t>±</w:t>
      </w:r>
      <w:r>
        <w:rPr>
          <w:szCs w:val="24"/>
        </w:rPr>
        <w:t>1.1719 mSv</w:t>
      </w:r>
      <w:r>
        <w:rPr>
          <w:rFonts w:hint="eastAsia"/>
          <w:szCs w:val="24"/>
        </w:rPr>
        <w:t>，全身单位活度有效剂量为</w:t>
      </w:r>
      <w:r>
        <w:rPr>
          <w:szCs w:val="24"/>
        </w:rPr>
        <w:t>0.021</w:t>
      </w:r>
      <w:r>
        <w:rPr>
          <w:rFonts w:hint="eastAsia"/>
          <w:szCs w:val="24"/>
        </w:rPr>
        <w:t>±</w:t>
      </w:r>
      <w:r>
        <w:rPr>
          <w:szCs w:val="24"/>
        </w:rPr>
        <w:t>0.0035</w:t>
      </w:r>
      <w:r>
        <w:rPr>
          <w:rFonts w:hint="eastAsia"/>
          <w:szCs w:val="24"/>
        </w:rPr>
        <w:t>（</w:t>
      </w:r>
      <w:r>
        <w:rPr>
          <w:szCs w:val="24"/>
        </w:rPr>
        <w:t>mSV/MBq</w:t>
      </w:r>
      <w:r>
        <w:rPr>
          <w:rFonts w:hint="eastAsia"/>
          <w:szCs w:val="24"/>
        </w:rPr>
        <w:t>）。</w:t>
      </w:r>
    </w:p>
    <w:p w14:paraId="68DEF5E6">
      <w:pPr>
        <w:pStyle w:val="165"/>
        <w:ind w:firstLine="0" w:firstLineChars="0"/>
        <w:rPr>
          <w:rFonts w:cs="Times New Roman"/>
          <w:b/>
          <w:szCs w:val="24"/>
        </w:rPr>
      </w:pPr>
      <w:r>
        <w:rPr>
          <w:rFonts w:cs="Times New Roman"/>
          <w:b/>
          <w:szCs w:val="24"/>
        </w:rPr>
        <w:t>ⅠIa期：</w:t>
      </w:r>
    </w:p>
    <w:p w14:paraId="4C8C7349">
      <w:pPr>
        <w:pStyle w:val="17"/>
        <w:spacing w:line="360" w:lineRule="auto"/>
        <w:ind w:firstLine="480" w:firstLineChars="200"/>
        <w:rPr>
          <w:b/>
          <w:bCs/>
          <w:szCs w:val="24"/>
        </w:rPr>
      </w:pPr>
      <w:r>
        <w:rPr>
          <w:b/>
          <w:bCs/>
          <w:szCs w:val="24"/>
        </w:rPr>
        <w:t>INR101</w:t>
      </w:r>
      <w:r>
        <w:rPr>
          <w:rFonts w:hint="eastAsia"/>
          <w:b/>
          <w:bCs/>
          <w:szCs w:val="24"/>
        </w:rPr>
        <w:t>注射液</w:t>
      </w:r>
      <w:r>
        <w:rPr>
          <w:b/>
          <w:bCs/>
          <w:szCs w:val="24"/>
        </w:rPr>
        <w:t>PET/CT</w:t>
      </w:r>
      <w:r>
        <w:rPr>
          <w:rFonts w:hint="eastAsia"/>
          <w:b/>
          <w:bCs/>
          <w:szCs w:val="24"/>
        </w:rPr>
        <w:t>阳性病灶评估：</w:t>
      </w:r>
    </w:p>
    <w:p w14:paraId="432FA597">
      <w:pPr>
        <w:snapToGrid w:val="0"/>
        <w:spacing w:line="360" w:lineRule="auto"/>
        <w:ind w:firstLine="420" w:firstLineChars="175"/>
        <w:jc w:val="both"/>
        <w:rPr>
          <w:szCs w:val="24"/>
        </w:rPr>
      </w:pPr>
      <w:r>
        <w:rPr>
          <w:szCs w:val="24"/>
        </w:rPr>
        <w:t>相较于给药后80 min，前列腺癌病灶在给药后120 min的SUV</w:t>
      </w:r>
      <w:r>
        <w:rPr>
          <w:szCs w:val="24"/>
          <w:vertAlign w:val="subscript"/>
        </w:rPr>
        <w:t>max</w:t>
      </w:r>
      <w:r>
        <w:rPr>
          <w:szCs w:val="24"/>
        </w:rPr>
        <w:t>、T/B、T/L均有一定的上升；低剂量组的各项指标均高于高剂量组。</w:t>
      </w:r>
    </w:p>
    <w:p w14:paraId="15F0652E">
      <w:pPr>
        <w:pStyle w:val="17"/>
        <w:spacing w:line="360" w:lineRule="auto"/>
        <w:ind w:firstLine="480" w:firstLineChars="200"/>
        <w:rPr>
          <w:b/>
          <w:bCs/>
          <w:szCs w:val="24"/>
        </w:rPr>
      </w:pPr>
      <w:r>
        <w:rPr>
          <w:rFonts w:hint="eastAsia"/>
          <w:b/>
          <w:bCs/>
          <w:szCs w:val="24"/>
        </w:rPr>
        <w:t>诊断效能评估：</w:t>
      </w:r>
    </w:p>
    <w:p w14:paraId="42664896">
      <w:pPr>
        <w:pStyle w:val="17"/>
        <w:spacing w:line="360" w:lineRule="auto"/>
        <w:ind w:firstLine="480" w:firstLineChars="200"/>
        <w:rPr>
          <w:b/>
          <w:bCs/>
          <w:szCs w:val="24"/>
        </w:rPr>
      </w:pPr>
      <w:r>
        <w:rPr>
          <w:b/>
          <w:bCs/>
          <w:szCs w:val="24"/>
        </w:rPr>
        <w:t>INR101 PET/CT</w:t>
      </w:r>
      <w:r>
        <w:rPr>
          <w:rFonts w:hint="eastAsia"/>
          <w:b/>
          <w:bCs/>
          <w:szCs w:val="24"/>
        </w:rPr>
        <w:t>成像：</w:t>
      </w:r>
    </w:p>
    <w:p w14:paraId="68FB8924">
      <w:pPr>
        <w:spacing w:line="360" w:lineRule="auto"/>
        <w:ind w:firstLine="480" w:firstLineChars="200"/>
        <w:jc w:val="both"/>
        <w:rPr>
          <w:szCs w:val="24"/>
        </w:rPr>
      </w:pPr>
      <w:r>
        <w:rPr>
          <w:rFonts w:hint="eastAsia"/>
          <w:szCs w:val="24"/>
        </w:rPr>
        <w:t>低剂量组在给药后</w:t>
      </w:r>
      <w:r>
        <w:rPr>
          <w:szCs w:val="24"/>
        </w:rPr>
        <w:t>80 min</w:t>
      </w:r>
      <w:r>
        <w:rPr>
          <w:rFonts w:hint="eastAsia"/>
          <w:szCs w:val="24"/>
        </w:rPr>
        <w:t>时，</w:t>
      </w:r>
      <w:r>
        <w:rPr>
          <w:szCs w:val="24"/>
        </w:rPr>
        <w:t>PET/CT</w:t>
      </w:r>
      <w:r>
        <w:rPr>
          <w:rFonts w:hint="eastAsia"/>
          <w:szCs w:val="24"/>
        </w:rPr>
        <w:t>的灵敏度为</w:t>
      </w:r>
      <w:r>
        <w:rPr>
          <w:szCs w:val="24"/>
        </w:rPr>
        <w:t>100.0%</w:t>
      </w:r>
      <w:r>
        <w:rPr>
          <w:rFonts w:hint="eastAsia"/>
          <w:szCs w:val="24"/>
        </w:rPr>
        <w:t>（</w:t>
      </w:r>
      <w:r>
        <w:rPr>
          <w:szCs w:val="24"/>
        </w:rPr>
        <w:t>39.76%, 100.0%</w:t>
      </w:r>
      <w:r>
        <w:rPr>
          <w:rFonts w:hint="eastAsia"/>
          <w:szCs w:val="24"/>
        </w:rPr>
        <w:t>），特异度为</w:t>
      </w:r>
      <w:r>
        <w:rPr>
          <w:szCs w:val="24"/>
        </w:rPr>
        <w:t>85.71%</w:t>
      </w:r>
      <w:r>
        <w:rPr>
          <w:rFonts w:hint="eastAsia"/>
          <w:szCs w:val="24"/>
        </w:rPr>
        <w:t>（</w:t>
      </w:r>
      <w:r>
        <w:rPr>
          <w:szCs w:val="24"/>
        </w:rPr>
        <w:t>42.13%, 99.64%</w:t>
      </w:r>
      <w:r>
        <w:rPr>
          <w:rFonts w:hint="eastAsia"/>
          <w:szCs w:val="24"/>
        </w:rPr>
        <w:t>），准确度为</w:t>
      </w:r>
      <w:r>
        <w:rPr>
          <w:szCs w:val="24"/>
        </w:rPr>
        <w:t>90.91%</w:t>
      </w:r>
      <w:r>
        <w:rPr>
          <w:rFonts w:hint="eastAsia"/>
          <w:szCs w:val="24"/>
        </w:rPr>
        <w:t>（</w:t>
      </w:r>
      <w:r>
        <w:rPr>
          <w:szCs w:val="24"/>
        </w:rPr>
        <w:t>58.72%, 99.77%</w:t>
      </w:r>
      <w:r>
        <w:rPr>
          <w:rFonts w:hint="eastAsia"/>
          <w:szCs w:val="24"/>
        </w:rPr>
        <w:t>），阳性预测值为</w:t>
      </w:r>
      <w:r>
        <w:rPr>
          <w:szCs w:val="24"/>
        </w:rPr>
        <w:t>80.00%</w:t>
      </w:r>
      <w:r>
        <w:rPr>
          <w:rFonts w:hint="eastAsia"/>
          <w:szCs w:val="24"/>
        </w:rPr>
        <w:t>（</w:t>
      </w:r>
      <w:r>
        <w:rPr>
          <w:szCs w:val="24"/>
        </w:rPr>
        <w:t>28.36%, 99.49%</w:t>
      </w:r>
      <w:r>
        <w:rPr>
          <w:rFonts w:hint="eastAsia"/>
          <w:szCs w:val="24"/>
        </w:rPr>
        <w:t>），阴性预测值</w:t>
      </w:r>
      <w:r>
        <w:rPr>
          <w:szCs w:val="24"/>
        </w:rPr>
        <w:t>100.00%</w:t>
      </w:r>
      <w:r>
        <w:rPr>
          <w:rFonts w:hint="eastAsia"/>
          <w:szCs w:val="24"/>
        </w:rPr>
        <w:t>（</w:t>
      </w:r>
      <w:r>
        <w:rPr>
          <w:szCs w:val="24"/>
        </w:rPr>
        <w:t>54.07%, 100.00%</w:t>
      </w:r>
      <w:r>
        <w:rPr>
          <w:rFonts w:hint="eastAsia"/>
          <w:szCs w:val="24"/>
        </w:rPr>
        <w:t>）；约登指数为</w:t>
      </w:r>
      <w:r>
        <w:rPr>
          <w:szCs w:val="24"/>
        </w:rPr>
        <w:t>0.86</w:t>
      </w:r>
      <w:r>
        <w:rPr>
          <w:rFonts w:hint="eastAsia"/>
          <w:szCs w:val="24"/>
        </w:rPr>
        <w:t>，提示筛查试验真实性较高；</w:t>
      </w:r>
      <w:r>
        <w:rPr>
          <w:szCs w:val="24"/>
        </w:rPr>
        <w:t>kappa</w:t>
      </w:r>
      <w:r>
        <w:rPr>
          <w:rFonts w:hint="eastAsia"/>
          <w:szCs w:val="24"/>
        </w:rPr>
        <w:t>值为</w:t>
      </w:r>
      <w:r>
        <w:rPr>
          <w:szCs w:val="24"/>
        </w:rPr>
        <w:t>0.81</w:t>
      </w:r>
      <w:r>
        <w:rPr>
          <w:rFonts w:hint="eastAsia"/>
          <w:szCs w:val="24"/>
        </w:rPr>
        <w:t>（</w:t>
      </w:r>
      <w:r>
        <w:rPr>
          <w:szCs w:val="24"/>
        </w:rPr>
        <w:t>0.47, 1.00</w:t>
      </w:r>
      <w:r>
        <w:rPr>
          <w:rFonts w:hint="eastAsia"/>
          <w:szCs w:val="24"/>
        </w:rPr>
        <w:t>），</w:t>
      </w:r>
      <w:r>
        <w:rPr>
          <w:szCs w:val="24"/>
        </w:rPr>
        <w:t>p</w:t>
      </w:r>
      <w:r>
        <w:rPr>
          <w:rFonts w:hint="eastAsia"/>
          <w:szCs w:val="24"/>
        </w:rPr>
        <w:t>值为</w:t>
      </w:r>
      <w:r>
        <w:rPr>
          <w:szCs w:val="24"/>
        </w:rPr>
        <w:t>0.0060&lt;0.05</w:t>
      </w:r>
      <w:r>
        <w:rPr>
          <w:rFonts w:hint="eastAsia"/>
          <w:szCs w:val="24"/>
        </w:rPr>
        <w:t>，提示</w:t>
      </w:r>
      <w:r>
        <w:rPr>
          <w:szCs w:val="24"/>
        </w:rPr>
        <w:t>PET/CT</w:t>
      </w:r>
      <w:r>
        <w:rPr>
          <w:rFonts w:hint="eastAsia"/>
          <w:szCs w:val="24"/>
        </w:rPr>
        <w:t>成像与组织病理学诊断之间存在较高的一致性。</w:t>
      </w:r>
    </w:p>
    <w:p w14:paraId="14C92470">
      <w:pPr>
        <w:widowControl w:val="0"/>
        <w:spacing w:line="360" w:lineRule="auto"/>
        <w:ind w:firstLine="480" w:firstLineChars="200"/>
        <w:jc w:val="both"/>
        <w:rPr>
          <w:szCs w:val="24"/>
        </w:rPr>
      </w:pPr>
      <w:r>
        <w:rPr>
          <w:rFonts w:hint="eastAsia"/>
          <w:szCs w:val="24"/>
        </w:rPr>
        <w:t>高剂量组在给药后</w:t>
      </w:r>
      <w:r>
        <w:rPr>
          <w:szCs w:val="24"/>
        </w:rPr>
        <w:t>80</w:t>
      </w:r>
      <w:r>
        <w:rPr>
          <w:rFonts w:hint="eastAsia"/>
          <w:szCs w:val="24"/>
        </w:rPr>
        <w:t xml:space="preserve"> </w:t>
      </w:r>
      <w:r>
        <w:rPr>
          <w:szCs w:val="24"/>
        </w:rPr>
        <w:t>min</w:t>
      </w:r>
      <w:r>
        <w:rPr>
          <w:rFonts w:hint="eastAsia"/>
          <w:szCs w:val="24"/>
        </w:rPr>
        <w:t>时，</w:t>
      </w:r>
      <w:r>
        <w:rPr>
          <w:szCs w:val="24"/>
        </w:rPr>
        <w:t>PET/CT</w:t>
      </w:r>
      <w:r>
        <w:rPr>
          <w:rFonts w:hint="eastAsia"/>
          <w:szCs w:val="24"/>
        </w:rPr>
        <w:t>的灵敏度为</w:t>
      </w:r>
      <w:r>
        <w:rPr>
          <w:szCs w:val="24"/>
        </w:rPr>
        <w:t>87.50%</w:t>
      </w:r>
      <w:r>
        <w:rPr>
          <w:rFonts w:hint="eastAsia"/>
          <w:szCs w:val="24"/>
        </w:rPr>
        <w:t>（</w:t>
      </w:r>
      <w:r>
        <w:rPr>
          <w:szCs w:val="24"/>
        </w:rPr>
        <w:t>47.35%, 99.68%</w:t>
      </w:r>
      <w:r>
        <w:rPr>
          <w:rFonts w:hint="eastAsia"/>
          <w:szCs w:val="24"/>
        </w:rPr>
        <w:t>），特异度为</w:t>
      </w:r>
      <w:r>
        <w:rPr>
          <w:szCs w:val="24"/>
        </w:rPr>
        <w:t>75.00%</w:t>
      </w:r>
      <w:r>
        <w:rPr>
          <w:rFonts w:hint="eastAsia"/>
          <w:szCs w:val="24"/>
        </w:rPr>
        <w:t>（</w:t>
      </w:r>
      <w:r>
        <w:rPr>
          <w:szCs w:val="24"/>
        </w:rPr>
        <w:t>19.41%, 99.37%</w:t>
      </w:r>
      <w:r>
        <w:rPr>
          <w:rFonts w:hint="eastAsia"/>
          <w:szCs w:val="24"/>
        </w:rPr>
        <w:t>），准确度为</w:t>
      </w:r>
      <w:r>
        <w:rPr>
          <w:szCs w:val="24"/>
        </w:rPr>
        <w:t>83.33%</w:t>
      </w:r>
      <w:r>
        <w:rPr>
          <w:rFonts w:hint="eastAsia"/>
          <w:szCs w:val="24"/>
        </w:rPr>
        <w:t>（</w:t>
      </w:r>
      <w:r>
        <w:rPr>
          <w:szCs w:val="24"/>
        </w:rPr>
        <w:t>51.59%, 97.91%</w:t>
      </w:r>
      <w:r>
        <w:rPr>
          <w:rFonts w:hint="eastAsia"/>
          <w:szCs w:val="24"/>
        </w:rPr>
        <w:t>），阳性预测值为</w:t>
      </w:r>
      <w:r>
        <w:rPr>
          <w:szCs w:val="24"/>
        </w:rPr>
        <w:t>87.50%</w:t>
      </w:r>
      <w:r>
        <w:rPr>
          <w:rFonts w:hint="eastAsia"/>
          <w:szCs w:val="24"/>
        </w:rPr>
        <w:t>（</w:t>
      </w:r>
      <w:r>
        <w:rPr>
          <w:szCs w:val="24"/>
        </w:rPr>
        <w:t>47.35%, 99.68%</w:t>
      </w:r>
      <w:r>
        <w:rPr>
          <w:rFonts w:hint="eastAsia"/>
          <w:szCs w:val="24"/>
        </w:rPr>
        <w:t>），阴性预测值</w:t>
      </w:r>
      <w:r>
        <w:rPr>
          <w:szCs w:val="24"/>
        </w:rPr>
        <w:t>75.00%</w:t>
      </w:r>
      <w:r>
        <w:rPr>
          <w:rFonts w:hint="eastAsia"/>
          <w:szCs w:val="24"/>
        </w:rPr>
        <w:t>（</w:t>
      </w:r>
      <w:r>
        <w:rPr>
          <w:szCs w:val="24"/>
        </w:rPr>
        <w:t>19.41%, 99.37%</w:t>
      </w:r>
      <w:r>
        <w:rPr>
          <w:rFonts w:hint="eastAsia"/>
          <w:szCs w:val="24"/>
        </w:rPr>
        <w:t>）；约登指数为</w:t>
      </w:r>
      <w:r>
        <w:rPr>
          <w:szCs w:val="24"/>
        </w:rPr>
        <w:t>0.63</w:t>
      </w:r>
      <w:r>
        <w:rPr>
          <w:rFonts w:hint="eastAsia"/>
          <w:szCs w:val="24"/>
        </w:rPr>
        <w:t>；</w:t>
      </w:r>
      <w:r>
        <w:rPr>
          <w:szCs w:val="24"/>
        </w:rPr>
        <w:t xml:space="preserve"> kappa</w:t>
      </w:r>
      <w:r>
        <w:rPr>
          <w:rFonts w:hint="eastAsia"/>
          <w:szCs w:val="24"/>
        </w:rPr>
        <w:t>值为</w:t>
      </w:r>
      <w:r>
        <w:rPr>
          <w:szCs w:val="24"/>
        </w:rPr>
        <w:t>0.63</w:t>
      </w:r>
      <w:r>
        <w:rPr>
          <w:rFonts w:hint="eastAsia"/>
          <w:szCs w:val="24"/>
        </w:rPr>
        <w:t>（</w:t>
      </w:r>
      <w:r>
        <w:rPr>
          <w:szCs w:val="24"/>
        </w:rPr>
        <w:t>0.16, 1.00</w:t>
      </w:r>
      <w:r>
        <w:rPr>
          <w:rFonts w:hint="eastAsia"/>
          <w:szCs w:val="24"/>
        </w:rPr>
        <w:t>），</w:t>
      </w:r>
      <w:r>
        <w:rPr>
          <w:szCs w:val="24"/>
        </w:rPr>
        <w:t>p</w:t>
      </w:r>
      <w:r>
        <w:rPr>
          <w:rFonts w:hint="eastAsia"/>
          <w:szCs w:val="24"/>
        </w:rPr>
        <w:t>值为</w:t>
      </w:r>
      <w:r>
        <w:rPr>
          <w:szCs w:val="24"/>
        </w:rPr>
        <w:t>0.0304&lt;0.05</w:t>
      </w:r>
      <w:r>
        <w:rPr>
          <w:rFonts w:hint="eastAsia"/>
          <w:szCs w:val="24"/>
        </w:rPr>
        <w:t>，提示</w:t>
      </w:r>
      <w:r>
        <w:rPr>
          <w:szCs w:val="24"/>
        </w:rPr>
        <w:t>PET/CT</w:t>
      </w:r>
      <w:r>
        <w:rPr>
          <w:rFonts w:hint="eastAsia"/>
          <w:szCs w:val="24"/>
        </w:rPr>
        <w:t>成像与组织病理学诊断之间存在一致性。</w:t>
      </w:r>
    </w:p>
    <w:p w14:paraId="0387A7EB">
      <w:pPr>
        <w:pStyle w:val="17"/>
        <w:spacing w:line="360" w:lineRule="auto"/>
        <w:ind w:firstLine="480" w:firstLineChars="200"/>
        <w:rPr>
          <w:szCs w:val="24"/>
        </w:rPr>
      </w:pPr>
      <w:r>
        <w:rPr>
          <w:rFonts w:hint="eastAsia"/>
          <w:szCs w:val="24"/>
        </w:rPr>
        <w:t>给药后</w:t>
      </w:r>
      <w:r>
        <w:rPr>
          <w:szCs w:val="24"/>
        </w:rPr>
        <w:t>120 min</w:t>
      </w:r>
      <w:r>
        <w:rPr>
          <w:rFonts w:hint="eastAsia"/>
          <w:szCs w:val="24"/>
        </w:rPr>
        <w:t>时，诊断效能指标、约登指数、</w:t>
      </w:r>
      <w:r>
        <w:rPr>
          <w:szCs w:val="24"/>
        </w:rPr>
        <w:t>kappa</w:t>
      </w:r>
      <w:r>
        <w:rPr>
          <w:rFonts w:hint="eastAsia"/>
          <w:szCs w:val="24"/>
        </w:rPr>
        <w:t>值的结果与给药后</w:t>
      </w:r>
      <w:r>
        <w:rPr>
          <w:szCs w:val="24"/>
        </w:rPr>
        <w:t>80 min</w:t>
      </w:r>
      <w:r>
        <w:rPr>
          <w:rFonts w:hint="eastAsia"/>
          <w:szCs w:val="24"/>
        </w:rPr>
        <w:t>相同。</w:t>
      </w:r>
    </w:p>
    <w:p w14:paraId="0641A3F0">
      <w:pPr>
        <w:pStyle w:val="17"/>
        <w:spacing w:line="360" w:lineRule="auto"/>
        <w:ind w:firstLine="480" w:firstLineChars="200"/>
        <w:rPr>
          <w:b/>
          <w:bCs/>
          <w:szCs w:val="24"/>
        </w:rPr>
      </w:pPr>
      <w:r>
        <w:rPr>
          <w:b/>
          <w:bCs/>
          <w:szCs w:val="24"/>
        </w:rPr>
        <w:t>INR101 PET/CT</w:t>
      </w:r>
      <w:r>
        <w:rPr>
          <w:rFonts w:hint="eastAsia"/>
          <w:b/>
          <w:bCs/>
          <w:szCs w:val="24"/>
        </w:rPr>
        <w:t>成像</w:t>
      </w:r>
      <w:r>
        <w:rPr>
          <w:b/>
          <w:bCs/>
          <w:szCs w:val="24"/>
        </w:rPr>
        <w:t>vs. mpMRI</w:t>
      </w:r>
      <w:r>
        <w:rPr>
          <w:rFonts w:hint="eastAsia"/>
          <w:b/>
          <w:bCs/>
          <w:szCs w:val="24"/>
        </w:rPr>
        <w:t>成像：</w:t>
      </w:r>
    </w:p>
    <w:p w14:paraId="1F3ADF31">
      <w:pPr>
        <w:pStyle w:val="17"/>
        <w:spacing w:line="360" w:lineRule="auto"/>
        <w:ind w:firstLine="480" w:firstLineChars="200"/>
        <w:rPr>
          <w:szCs w:val="24"/>
        </w:rPr>
      </w:pPr>
      <w:r>
        <w:rPr>
          <w:rFonts w:hint="eastAsia"/>
          <w:szCs w:val="24"/>
        </w:rPr>
        <w:t>低剂量组成像时间为</w:t>
      </w:r>
      <w:r>
        <w:rPr>
          <w:szCs w:val="24"/>
        </w:rPr>
        <w:t>80 min</w:t>
      </w:r>
      <w:r>
        <w:rPr>
          <w:rFonts w:hint="eastAsia"/>
          <w:szCs w:val="24"/>
        </w:rPr>
        <w:t>及</w:t>
      </w:r>
      <w:r>
        <w:rPr>
          <w:szCs w:val="24"/>
        </w:rPr>
        <w:t>120 min</w:t>
      </w:r>
      <w:r>
        <w:rPr>
          <w:rFonts w:hint="eastAsia"/>
          <w:szCs w:val="24"/>
        </w:rPr>
        <w:t>时，</w:t>
      </w:r>
      <w:r>
        <w:rPr>
          <w:szCs w:val="24"/>
        </w:rPr>
        <w:t>PET/CT</w:t>
      </w:r>
      <w:r>
        <w:rPr>
          <w:rFonts w:hint="eastAsia"/>
          <w:szCs w:val="24"/>
        </w:rPr>
        <w:t>与</w:t>
      </w:r>
      <w:r>
        <w:rPr>
          <w:szCs w:val="24"/>
        </w:rPr>
        <w:t>mpMRI</w:t>
      </w:r>
      <w:r>
        <w:rPr>
          <w:rFonts w:hint="eastAsia"/>
          <w:szCs w:val="24"/>
        </w:rPr>
        <w:t>灵敏度相同，</w:t>
      </w:r>
      <w:r>
        <w:rPr>
          <w:szCs w:val="24"/>
        </w:rPr>
        <w:t>PET/CT</w:t>
      </w:r>
      <w:r>
        <w:rPr>
          <w:rFonts w:hint="eastAsia"/>
          <w:szCs w:val="24"/>
        </w:rPr>
        <w:t>特异度和准确度略高于</w:t>
      </w:r>
      <w:r>
        <w:rPr>
          <w:szCs w:val="24"/>
        </w:rPr>
        <w:t>mpMRI</w:t>
      </w:r>
      <w:r>
        <w:rPr>
          <w:rFonts w:hint="eastAsia"/>
          <w:szCs w:val="24"/>
        </w:rPr>
        <w:t>，差值估计分别为</w:t>
      </w:r>
      <w:r>
        <w:rPr>
          <w:szCs w:val="24"/>
        </w:rPr>
        <w:t>28.57%</w:t>
      </w:r>
      <w:r>
        <w:rPr>
          <w:rFonts w:hint="eastAsia"/>
          <w:szCs w:val="24"/>
        </w:rPr>
        <w:t>（</w:t>
      </w:r>
      <w:r>
        <w:rPr>
          <w:szCs w:val="24"/>
        </w:rPr>
        <w:t>-71.99%, 24.03%</w:t>
      </w:r>
      <w:r>
        <w:rPr>
          <w:rFonts w:hint="eastAsia"/>
          <w:szCs w:val="24"/>
        </w:rPr>
        <w:t>）和</w:t>
      </w:r>
      <w:r>
        <w:rPr>
          <w:szCs w:val="24"/>
        </w:rPr>
        <w:t>18.18%</w:t>
      </w:r>
      <w:r>
        <w:rPr>
          <w:rFonts w:hint="eastAsia"/>
          <w:szCs w:val="24"/>
        </w:rPr>
        <w:t>（</w:t>
      </w:r>
      <w:r>
        <w:rPr>
          <w:szCs w:val="24"/>
        </w:rPr>
        <w:t>-15.83%, 54.91%</w:t>
      </w:r>
      <w:r>
        <w:rPr>
          <w:rFonts w:hint="eastAsia"/>
          <w:szCs w:val="24"/>
        </w:rPr>
        <w:t>）。</w:t>
      </w:r>
    </w:p>
    <w:p w14:paraId="30912CB3">
      <w:pPr>
        <w:spacing w:line="360" w:lineRule="auto"/>
        <w:ind w:firstLine="480" w:firstLineChars="200"/>
      </w:pPr>
      <w:r>
        <w:rPr>
          <w:rFonts w:hint="eastAsia"/>
          <w:szCs w:val="24"/>
        </w:rPr>
        <w:t>高剂量组成像时间为</w:t>
      </w:r>
      <w:r>
        <w:rPr>
          <w:szCs w:val="24"/>
        </w:rPr>
        <w:t>80 min</w:t>
      </w:r>
      <w:r>
        <w:rPr>
          <w:rFonts w:hint="eastAsia"/>
          <w:szCs w:val="24"/>
        </w:rPr>
        <w:t>及</w:t>
      </w:r>
      <w:r>
        <w:rPr>
          <w:szCs w:val="24"/>
        </w:rPr>
        <w:t>120 min</w:t>
      </w:r>
      <w:r>
        <w:rPr>
          <w:rFonts w:hint="eastAsia"/>
          <w:szCs w:val="24"/>
        </w:rPr>
        <w:t>时，</w:t>
      </w:r>
      <w:r>
        <w:rPr>
          <w:szCs w:val="24"/>
        </w:rPr>
        <w:t>PET/CT</w:t>
      </w:r>
      <w:r>
        <w:rPr>
          <w:rFonts w:hint="eastAsia"/>
          <w:szCs w:val="24"/>
        </w:rPr>
        <w:t>与</w:t>
      </w:r>
      <w:r>
        <w:rPr>
          <w:szCs w:val="24"/>
        </w:rPr>
        <w:t>mpMRI</w:t>
      </w:r>
      <w:r>
        <w:rPr>
          <w:rFonts w:hint="eastAsia"/>
          <w:szCs w:val="24"/>
        </w:rPr>
        <w:t>准确度相同，</w:t>
      </w:r>
      <w:r>
        <w:rPr>
          <w:szCs w:val="24"/>
        </w:rPr>
        <w:t>PET/CT</w:t>
      </w:r>
      <w:r>
        <w:rPr>
          <w:rFonts w:hint="eastAsia"/>
          <w:szCs w:val="24"/>
        </w:rPr>
        <w:t>特异度略高于</w:t>
      </w:r>
      <w:r>
        <w:rPr>
          <w:szCs w:val="24"/>
        </w:rPr>
        <w:t>mpMRI</w:t>
      </w:r>
      <w:r>
        <w:rPr>
          <w:rFonts w:hint="eastAsia"/>
          <w:szCs w:val="24"/>
        </w:rPr>
        <w:t>，灵敏度略低于</w:t>
      </w:r>
      <w:r>
        <w:rPr>
          <w:szCs w:val="24"/>
        </w:rPr>
        <w:t>mpMRI</w:t>
      </w:r>
      <w:r>
        <w:rPr>
          <w:rFonts w:hint="eastAsia"/>
          <w:szCs w:val="24"/>
        </w:rPr>
        <w:t>。差值估计分别为</w:t>
      </w:r>
      <w:r>
        <w:rPr>
          <w:szCs w:val="24"/>
        </w:rPr>
        <w:t>25.00%</w:t>
      </w:r>
      <w:r>
        <w:rPr>
          <w:rFonts w:hint="eastAsia"/>
          <w:szCs w:val="24"/>
        </w:rPr>
        <w:t>（</w:t>
      </w:r>
      <w:r>
        <w:rPr>
          <w:szCs w:val="24"/>
        </w:rPr>
        <w:t>-74.42%, 12.17%</w:t>
      </w:r>
      <w:r>
        <w:rPr>
          <w:rFonts w:hint="eastAsia"/>
          <w:szCs w:val="24"/>
        </w:rPr>
        <w:t>）和</w:t>
      </w:r>
      <w:r>
        <w:rPr>
          <w:szCs w:val="24"/>
        </w:rPr>
        <w:t>-12.50%</w:t>
      </w:r>
      <w:r>
        <w:rPr>
          <w:rFonts w:hint="eastAsia"/>
          <w:szCs w:val="24"/>
        </w:rPr>
        <w:t>（</w:t>
      </w:r>
      <w:r>
        <w:rPr>
          <w:szCs w:val="24"/>
        </w:rPr>
        <w:t>-51.14%, 5.86%</w:t>
      </w:r>
      <w:r>
        <w:rPr>
          <w:rFonts w:hint="eastAsia"/>
          <w:szCs w:val="24"/>
        </w:rPr>
        <w:t>）。</w:t>
      </w:r>
    </w:p>
    <w:p w14:paraId="4C6C96F5">
      <w:pPr>
        <w:pStyle w:val="15"/>
        <w:numPr>
          <w:ilvl w:val="255"/>
          <w:numId w:val="0"/>
        </w:numPr>
        <w:spacing w:line="360" w:lineRule="auto"/>
        <w:rPr>
          <w:b/>
          <w:bCs/>
        </w:rPr>
      </w:pPr>
      <w:r>
        <w:rPr>
          <w:rFonts w:hint="eastAsia"/>
          <w:b/>
          <w:bCs/>
        </w:rPr>
        <w:t>结论：</w:t>
      </w:r>
    </w:p>
    <w:p w14:paraId="7CE81D3A">
      <w:pPr>
        <w:pStyle w:val="15"/>
        <w:numPr>
          <w:ilvl w:val="255"/>
          <w:numId w:val="0"/>
        </w:numPr>
        <w:spacing w:line="360" w:lineRule="auto"/>
        <w:ind w:firstLine="480" w:firstLineChars="200"/>
      </w:pPr>
      <w:r>
        <w:rPr>
          <w:szCs w:val="24"/>
        </w:rPr>
        <w:t>INR101</w:t>
      </w:r>
      <w:r>
        <w:rPr>
          <w:rFonts w:hint="eastAsia"/>
          <w:szCs w:val="24"/>
        </w:rPr>
        <w:t>注射液</w:t>
      </w:r>
      <w:r>
        <w:rPr>
          <w:rFonts w:hint="eastAsia"/>
        </w:rPr>
        <w:t>在健康受试者中的药物分布、代谢、排泄特征清晰，</w:t>
      </w:r>
      <w:r>
        <w:rPr>
          <w:rFonts w:hint="eastAsia"/>
          <w:szCs w:val="24"/>
        </w:rPr>
        <w:t>给药后在唾液腺、心内容物、泪腺、肝脏、肾脏、胆囊内容物、脾等正常器官</w:t>
      </w:r>
      <w:r>
        <w:rPr>
          <w:szCs w:val="24"/>
        </w:rPr>
        <w:t>/</w:t>
      </w:r>
      <w:r>
        <w:rPr>
          <w:rFonts w:hint="eastAsia"/>
          <w:szCs w:val="24"/>
        </w:rPr>
        <w:t>组织中有不同程度生理性摄取，在体内主要的清除途径是肾脏</w:t>
      </w:r>
      <w:r>
        <w:rPr>
          <w:szCs w:val="24"/>
        </w:rPr>
        <w:t>-</w:t>
      </w:r>
      <w:r>
        <w:rPr>
          <w:rFonts w:hint="eastAsia"/>
          <w:szCs w:val="24"/>
        </w:rPr>
        <w:t>泌尿系统和肝胆</w:t>
      </w:r>
      <w:r>
        <w:rPr>
          <w:szCs w:val="24"/>
        </w:rPr>
        <w:t>-</w:t>
      </w:r>
      <w:r>
        <w:rPr>
          <w:rFonts w:hint="eastAsia"/>
          <w:szCs w:val="24"/>
        </w:rPr>
        <w:t>肠道路径。</w:t>
      </w:r>
      <w:r>
        <w:rPr>
          <w:rFonts w:hint="eastAsia"/>
        </w:rPr>
        <w:t>全身有效剂量与海外已上市同类产品相似。本试验未发生严重不良事件，也未发生导致退出的不良事件。</w:t>
      </w:r>
    </w:p>
    <w:p w14:paraId="6FB62D4F">
      <w:pPr>
        <w:pStyle w:val="15"/>
        <w:numPr>
          <w:ilvl w:val="255"/>
          <w:numId w:val="0"/>
        </w:numPr>
        <w:spacing w:line="360" w:lineRule="auto"/>
        <w:ind w:firstLine="480" w:firstLineChars="200"/>
      </w:pPr>
      <w:r>
        <w:rPr>
          <w:rFonts w:hint="eastAsia"/>
        </w:rPr>
        <w:t>在前列腺癌患者中初步分析</w:t>
      </w:r>
      <w:r>
        <w:t>INR101 PET/CT</w:t>
      </w:r>
      <w:r>
        <w:rPr>
          <w:rFonts w:hint="eastAsia"/>
        </w:rPr>
        <w:t>的成像特征和诊断效能，与临床常用的</w:t>
      </w:r>
      <w:r>
        <w:t>mpMRI</w:t>
      </w:r>
      <w:r>
        <w:rPr>
          <w:rFonts w:hint="eastAsia"/>
        </w:rPr>
        <w:t>相比，低剂量组</w:t>
      </w:r>
      <w:r>
        <w:t>INR101 PET/CT</w:t>
      </w:r>
      <w:r>
        <w:rPr>
          <w:rFonts w:hint="eastAsia"/>
        </w:rPr>
        <w:t>的特异度和准确度略高于</w:t>
      </w:r>
      <w:r>
        <w:t>mpMRI</w:t>
      </w:r>
      <w:r>
        <w:rPr>
          <w:rFonts w:hint="eastAsia"/>
        </w:rPr>
        <w:t>，高剂量组特异度略高于</w:t>
      </w:r>
      <w:r>
        <w:t>mpMRI</w:t>
      </w:r>
      <w:r>
        <w:rPr>
          <w:rFonts w:hint="eastAsia"/>
        </w:rPr>
        <w:t>，初步表现出具有一定临床优势的诊断效能。</w:t>
      </w:r>
    </w:p>
    <w:p w14:paraId="3AF517A0">
      <w:pPr>
        <w:pStyle w:val="15"/>
        <w:numPr>
          <w:ilvl w:val="255"/>
          <w:numId w:val="0"/>
        </w:numPr>
        <w:spacing w:line="360" w:lineRule="auto"/>
        <w:ind w:firstLine="480" w:firstLineChars="200"/>
        <w:rPr>
          <w:highlight w:val="yellow"/>
        </w:rPr>
      </w:pPr>
      <w:r>
        <w:rPr>
          <w:rFonts w:hint="eastAsia"/>
        </w:rPr>
        <w:t>本研究结果表明</w:t>
      </w:r>
      <w:r>
        <w:t>INR101</w:t>
      </w:r>
      <w:r>
        <w:rPr>
          <w:rFonts w:hint="eastAsia"/>
        </w:rPr>
        <w:t>注射液具有较好的安全性和较高的临床应用价值。</w:t>
      </w:r>
    </w:p>
    <w:p w14:paraId="67982C90">
      <w:pPr>
        <w:pStyle w:val="122"/>
        <w:numPr>
          <w:ilvl w:val="0"/>
          <w:numId w:val="13"/>
        </w:numPr>
        <w:autoSpaceDE w:val="0"/>
        <w:autoSpaceDN w:val="0"/>
        <w:spacing w:line="360" w:lineRule="auto"/>
        <w:ind w:firstLineChars="0"/>
        <w:jc w:val="both"/>
        <w:rPr>
          <w:b/>
          <w:bCs/>
        </w:rPr>
      </w:pPr>
      <w:r>
        <w:rPr>
          <w:b/>
          <w:bCs/>
        </w:rPr>
        <w:t>INR101</w:t>
      </w:r>
      <w:r>
        <w:rPr>
          <w:rFonts w:hint="eastAsia"/>
          <w:b/>
          <w:bCs/>
        </w:rPr>
        <w:t>注射液同类药物的临床试验结果：</w:t>
      </w:r>
    </w:p>
    <w:p w14:paraId="53F28F8A">
      <w:pPr>
        <w:spacing w:line="360" w:lineRule="auto"/>
        <w:ind w:firstLine="480" w:firstLineChars="200"/>
        <w:contextualSpacing/>
        <w:jc w:val="both"/>
        <w:rPr>
          <w:b/>
          <w:bCs/>
        </w:rPr>
      </w:pPr>
      <w:bookmarkStart w:id="99" w:name="_Hlk152691931"/>
      <w:r>
        <w:rPr>
          <w:b/>
          <w:bCs/>
        </w:rPr>
        <w:t>可疑前列腺癌人群的影像学检查：</w:t>
      </w:r>
    </w:p>
    <w:p w14:paraId="1B798B4F">
      <w:pPr>
        <w:spacing w:line="360" w:lineRule="auto"/>
        <w:ind w:firstLine="480" w:firstLineChars="200"/>
        <w:contextualSpacing/>
        <w:jc w:val="both"/>
      </w:pPr>
      <w:r>
        <w:t>目前对PSMA示踪剂的研究结果表明，</w:t>
      </w:r>
      <w:r>
        <w:rPr>
          <w:vertAlign w:val="superscript"/>
        </w:rPr>
        <w:t>18</w:t>
      </w:r>
      <w:r>
        <w:t>F-PSMA-1007 PET/CT在诊断PCa原发灶的灵敏度、准确度、阴性预测值方面均稍高于mpMRI，分别为78.1%、73.2%、69.6%和76.7%、72.9%、63.2%。在区域淋巴结及骨转移的检出率方面，</w:t>
      </w:r>
      <w:r>
        <w:rPr>
          <w:vertAlign w:val="superscript"/>
        </w:rPr>
        <w:t>18</w:t>
      </w:r>
      <w:r>
        <w:t>F-PSMA-1007均高于mpMRI。有研究结果显示，比较20例者PCa根治术前</w:t>
      </w:r>
      <w:r>
        <w:rPr>
          <w:vertAlign w:val="superscript"/>
        </w:rPr>
        <w:t>68</w:t>
      </w:r>
      <w:r>
        <w:t>Ga-PSMA-11和mpMRI结果发现，</w:t>
      </w:r>
      <w:r>
        <w:rPr>
          <w:vertAlign w:val="superscript"/>
        </w:rPr>
        <w:t>68</w:t>
      </w:r>
      <w:r>
        <w:t>Ga-PSMA-11诊断PCa的灵敏度和阴性预测值均高于mpMRI，分别为49.0%、88.0%和44.0%、76.0%。在近期的一项meta分析中，</w:t>
      </w:r>
      <w:r>
        <w:rPr>
          <w:vertAlign w:val="superscript"/>
        </w:rPr>
        <w:t>18</w:t>
      </w:r>
      <w:r>
        <w:t>F-PSMA-1007的灵敏度（46%~71%）低于</w:t>
      </w:r>
      <w:r>
        <w:rPr>
          <w:vertAlign w:val="superscript"/>
        </w:rPr>
        <w:t>68</w:t>
      </w:r>
      <w:r>
        <w:t>Ga-PSMA-11的灵敏度（24%~96%），但两者灵敏度范围较广，</w:t>
      </w:r>
      <w:r>
        <w:rPr>
          <w:vertAlign w:val="superscript"/>
        </w:rPr>
        <w:t>18</w:t>
      </w:r>
      <w:r>
        <w:t>F-PSMA-1007诊断原发性PCa的平均阳性预测值为84%，与</w:t>
      </w:r>
      <w:r>
        <w:rPr>
          <w:vertAlign w:val="superscript"/>
        </w:rPr>
        <w:t>68</w:t>
      </w:r>
      <w:r>
        <w:t>Ga-PSMA-11（87%~89%）和</w:t>
      </w:r>
      <w:r>
        <w:rPr>
          <w:vertAlign w:val="superscript"/>
        </w:rPr>
        <w:t>18</w:t>
      </w:r>
      <w:r>
        <w:t>F-DCFPyL（80%）结果相似</w:t>
      </w:r>
      <w:r>
        <w:rPr>
          <w:color w:val="0000FF"/>
          <w:vertAlign w:val="superscript"/>
          <w:lang w:eastAsia="zh-TW"/>
        </w:rPr>
        <w:fldChar w:fldCharType="begin"/>
      </w:r>
      <w:r>
        <w:rPr>
          <w:color w:val="0000FF"/>
          <w:vertAlign w:val="superscript"/>
        </w:rPr>
        <w:instrText xml:space="preserve"> REF _Ref156981580 \r \h  \* MERGEFORMAT </w:instrText>
      </w:r>
      <w:r>
        <w:rPr>
          <w:color w:val="0000FF"/>
          <w:vertAlign w:val="superscript"/>
          <w:lang w:eastAsia="zh-TW"/>
        </w:rPr>
        <w:fldChar w:fldCharType="separate"/>
      </w:r>
      <w:r>
        <w:rPr>
          <w:color w:val="0000FF"/>
          <w:vertAlign w:val="superscript"/>
        </w:rPr>
        <w:t>[23]</w:t>
      </w:r>
      <w:r>
        <w:rPr>
          <w:color w:val="0000FF"/>
          <w:vertAlign w:val="superscript"/>
          <w:lang w:eastAsia="zh-TW"/>
        </w:rPr>
        <w:fldChar w:fldCharType="end"/>
      </w:r>
      <w:r>
        <w:t>。</w:t>
      </w:r>
    </w:p>
    <w:p w14:paraId="20E217F0">
      <w:pPr>
        <w:spacing w:line="360" w:lineRule="auto"/>
        <w:ind w:firstLine="480" w:firstLineChars="200"/>
        <w:contextualSpacing/>
        <w:jc w:val="both"/>
        <w:rPr>
          <w:b/>
          <w:bCs/>
        </w:rPr>
      </w:pPr>
      <w:r>
        <w:rPr>
          <w:b/>
          <w:bCs/>
        </w:rPr>
        <w:t>计划接受前列腺癌根治术和盆腔淋巴结清扫术的疑似转移的初诊前列腺癌人群（pre-RP）的影像学检查：</w:t>
      </w:r>
    </w:p>
    <w:p w14:paraId="1CBD1B8B">
      <w:pPr>
        <w:spacing w:line="360" w:lineRule="auto"/>
        <w:ind w:firstLine="480" w:firstLineChars="200"/>
        <w:contextualSpacing/>
        <w:jc w:val="both"/>
      </w:pPr>
      <w:r>
        <w:t>已上市PSMA-PET</w:t>
      </w:r>
      <w:r>
        <w:rPr>
          <w:rFonts w:hint="eastAsia"/>
        </w:rPr>
        <w:t>成像</w:t>
      </w:r>
      <w:r>
        <w:t>剂POSLUMA</w:t>
      </w:r>
      <w:bookmarkStart w:id="100" w:name="OLE_LINK11"/>
      <w:r>
        <w:t>（flotufolastat F 18）</w:t>
      </w:r>
      <w:bookmarkEnd w:id="100"/>
      <w:r>
        <w:rPr>
          <w:color w:val="0000FF"/>
          <w:vertAlign w:val="superscript"/>
        </w:rPr>
        <w:fldChar w:fldCharType="begin"/>
      </w:r>
      <w:r>
        <w:rPr>
          <w:color w:val="0000FF"/>
          <w:vertAlign w:val="superscript"/>
        </w:rPr>
        <w:instrText xml:space="preserve"> REF _Ref151737363 \r \h  \* MERGEFORMAT </w:instrText>
      </w:r>
      <w:r>
        <w:rPr>
          <w:color w:val="0000FF"/>
          <w:vertAlign w:val="superscript"/>
        </w:rPr>
        <w:fldChar w:fldCharType="separate"/>
      </w:r>
      <w:r>
        <w:rPr>
          <w:color w:val="0000FF"/>
          <w:vertAlign w:val="superscript"/>
        </w:rPr>
        <w:t>[24]</w:t>
      </w:r>
      <w:r>
        <w:rPr>
          <w:color w:val="0000FF"/>
          <w:vertAlign w:val="superscript"/>
        </w:rPr>
        <w:fldChar w:fldCharType="end"/>
      </w:r>
      <w:r>
        <w:t>、</w:t>
      </w:r>
      <w:r>
        <w:rPr>
          <w:lang w:eastAsia="zh-TW"/>
        </w:rPr>
        <w:t>PYLARIFY（piflufolastat F 18）</w:t>
      </w:r>
      <w:r>
        <w:rPr>
          <w:color w:val="0000FF"/>
          <w:vertAlign w:val="superscript"/>
          <w:lang w:eastAsia="zh-TW"/>
        </w:rPr>
        <w:fldChar w:fldCharType="begin"/>
      </w:r>
      <w:r>
        <w:rPr>
          <w:color w:val="0000FF"/>
          <w:vertAlign w:val="superscript"/>
          <w:lang w:eastAsia="zh-TW"/>
        </w:rPr>
        <w:instrText xml:space="preserve"> REF _Ref152434469 \r \h  \* MERGEFORMAT </w:instrText>
      </w:r>
      <w:r>
        <w:rPr>
          <w:color w:val="0000FF"/>
          <w:vertAlign w:val="superscript"/>
          <w:lang w:eastAsia="zh-TW"/>
        </w:rPr>
        <w:fldChar w:fldCharType="separate"/>
      </w:r>
      <w:r>
        <w:rPr>
          <w:color w:val="0000FF"/>
          <w:vertAlign w:val="superscript"/>
          <w:lang w:eastAsia="zh-TW"/>
        </w:rPr>
        <w:t>[25]</w:t>
      </w:r>
      <w:r>
        <w:rPr>
          <w:color w:val="0000FF"/>
          <w:vertAlign w:val="superscript"/>
          <w:lang w:eastAsia="zh-TW"/>
        </w:rPr>
        <w:fldChar w:fldCharType="end"/>
      </w:r>
      <w:r>
        <w:rPr>
          <w:lang w:eastAsia="zh-TW"/>
        </w:rPr>
        <w:t>、</w:t>
      </w:r>
      <w:r>
        <w:rPr>
          <w:vertAlign w:val="superscript"/>
        </w:rPr>
        <w:t>68</w:t>
      </w:r>
      <w:r>
        <w:t>Ga-PSMA-11</w:t>
      </w:r>
      <w:r>
        <w:rPr>
          <w:color w:val="0000FF"/>
          <w:vertAlign w:val="superscript"/>
        </w:rPr>
        <w:fldChar w:fldCharType="begin"/>
      </w:r>
      <w:r>
        <w:rPr>
          <w:color w:val="0000FF"/>
          <w:vertAlign w:val="superscript"/>
        </w:rPr>
        <w:instrText xml:space="preserve"> REF _Ref151737374 \r \h  \* MERGEFORMAT </w:instrText>
      </w:r>
      <w:r>
        <w:rPr>
          <w:color w:val="0000FF"/>
          <w:vertAlign w:val="superscript"/>
        </w:rPr>
        <w:fldChar w:fldCharType="separate"/>
      </w:r>
      <w:r>
        <w:rPr>
          <w:color w:val="0000FF"/>
          <w:vertAlign w:val="superscript"/>
        </w:rPr>
        <w:t>[26]</w:t>
      </w:r>
      <w:r>
        <w:rPr>
          <w:color w:val="0000FF"/>
          <w:vertAlign w:val="superscript"/>
        </w:rPr>
        <w:fldChar w:fldCharType="end"/>
      </w:r>
      <w:r>
        <w:rPr>
          <w:lang w:eastAsia="zh-TW"/>
        </w:rPr>
        <w:t>在pre-RP患者中的Ⅲ期临床研究，均采用灵敏度和特异度作为主要终点指标，</w:t>
      </w:r>
      <w:r>
        <w:t>灵敏度结果分别为23%~30%、</w:t>
      </w:r>
      <w:r>
        <w:rPr>
          <w:lang w:eastAsia="zh-TW"/>
        </w:rPr>
        <w:t>31</w:t>
      </w:r>
      <w:r>
        <w:t>%</w:t>
      </w:r>
      <w:r>
        <w:rPr>
          <w:lang w:eastAsia="zh-TW"/>
        </w:rPr>
        <w:t>~42</w:t>
      </w:r>
      <w:r>
        <w:t>%、47%，特异度结果分别为93%~97%、</w:t>
      </w:r>
      <w:r>
        <w:rPr>
          <w:lang w:eastAsia="zh-TW"/>
        </w:rPr>
        <w:t>96</w:t>
      </w:r>
      <w:r>
        <w:t>%</w:t>
      </w:r>
      <w:r>
        <w:rPr>
          <w:lang w:eastAsia="zh-TW"/>
        </w:rPr>
        <w:t>~99</w:t>
      </w:r>
      <w:r>
        <w:t>%、90%。综合结果分析，PET检测盆腔淋巴结转移的灵敏度低，均未达到目标值，预计许多盆腔淋巴结转移患者无法被检测到，但特异度高，鉴于现有成像技术的类似局限性，预计假阴性结果不会影响此类患者的最终治疗计划。</w:t>
      </w:r>
    </w:p>
    <w:p w14:paraId="1DD676AB">
      <w:pPr>
        <w:spacing w:line="360" w:lineRule="auto"/>
        <w:ind w:firstLine="480" w:firstLineChars="200"/>
        <w:contextualSpacing/>
        <w:jc w:val="both"/>
      </w:pPr>
      <w:r>
        <w:t>而在另一项前列腺癌分期的研究中，对组织病理学、mpMRI和PET/CT的检测结果进行了对比，结果显示，组织病理学证实的31个前列腺癌病灶中，PSMA PET/CT检出29个（检出率94%），mpMRI检出16个（检查率52%）</w:t>
      </w:r>
      <w:r>
        <w:rPr>
          <w:color w:val="0000FF"/>
          <w:vertAlign w:val="superscript"/>
        </w:rPr>
        <w:fldChar w:fldCharType="begin"/>
      </w:r>
      <w:r>
        <w:rPr>
          <w:color w:val="0000FF"/>
          <w:vertAlign w:val="superscript"/>
        </w:rPr>
        <w:instrText xml:space="preserve"> REF _Ref152254149 \r \h  \* MERGEFORMAT </w:instrText>
      </w:r>
      <w:r>
        <w:rPr>
          <w:color w:val="0000FF"/>
          <w:vertAlign w:val="superscript"/>
        </w:rPr>
        <w:fldChar w:fldCharType="separate"/>
      </w:r>
      <w:r>
        <w:rPr>
          <w:color w:val="0000FF"/>
          <w:vertAlign w:val="superscript"/>
        </w:rPr>
        <w:t>[27]</w:t>
      </w:r>
      <w:r>
        <w:rPr>
          <w:color w:val="0000FF"/>
          <w:vertAlign w:val="superscript"/>
        </w:rPr>
        <w:fldChar w:fldCharType="end"/>
      </w:r>
      <w:r>
        <w:t>，其中2个为</w:t>
      </w:r>
      <w:bookmarkStart w:id="101" w:name="OLE_LINK10"/>
      <w:r>
        <w:t>mpMRI检出</w:t>
      </w:r>
      <w:bookmarkEnd w:id="101"/>
      <w:r>
        <w:t>，但PSMA PET/CT未检出，15个为PSMA PET/CT检出，而mpMRI未检出，由此可见，PET/CT和MR</w:t>
      </w:r>
      <w:bookmarkStart w:id="102" w:name="OLE_LINK12"/>
      <w:r>
        <w:t>I</w:t>
      </w:r>
      <w:bookmarkEnd w:id="102"/>
      <w:r>
        <w:t>检测结果可互补，部分MRI阴性或可疑的患者可通过PET/CT补充判断。</w:t>
      </w:r>
    </w:p>
    <w:p w14:paraId="4793496D">
      <w:pPr>
        <w:spacing w:line="360" w:lineRule="auto"/>
        <w:ind w:firstLine="480" w:firstLineChars="200"/>
        <w:contextualSpacing/>
        <w:jc w:val="both"/>
        <w:rPr>
          <w:b/>
          <w:bCs/>
        </w:rPr>
      </w:pPr>
      <w:r>
        <w:rPr>
          <w:b/>
          <w:bCs/>
        </w:rPr>
        <w:t>PSA升高疑似复发的前列腺癌人群（BCR）的影像学检查：</w:t>
      </w:r>
    </w:p>
    <w:p w14:paraId="7874A320">
      <w:pPr>
        <w:spacing w:line="360" w:lineRule="auto"/>
        <w:ind w:firstLine="480" w:firstLineChars="200"/>
        <w:contextualSpacing/>
        <w:jc w:val="both"/>
      </w:pPr>
      <w:bookmarkStart w:id="103" w:name="OLE_LINK13"/>
      <w:r>
        <w:t>已上市PSMA-PET</w:t>
      </w:r>
      <w:r>
        <w:rPr>
          <w:rFonts w:hint="eastAsia"/>
        </w:rPr>
        <w:t>成像</w:t>
      </w:r>
      <w:r>
        <w:t>剂</w:t>
      </w:r>
      <w:bookmarkEnd w:id="103"/>
      <w:r>
        <w:t>的BCR人群Ⅲ期研究，主要终点均为PPV或其相关指标，如CDR（正确检出率）、CLR（正确定位率），以复合真实性标准作为真实标准。</w:t>
      </w:r>
    </w:p>
    <w:p w14:paraId="2DA2FC3C">
      <w:pPr>
        <w:spacing w:line="360" w:lineRule="auto"/>
        <w:ind w:firstLine="480" w:firstLineChars="200"/>
        <w:contextualSpacing/>
        <w:jc w:val="both"/>
      </w:pPr>
      <w:r>
        <w:t>POSLUMA（flotufolastat F 18）</w:t>
      </w:r>
      <w:r>
        <w:rPr>
          <w:color w:val="0000FF"/>
          <w:vertAlign w:val="superscript"/>
        </w:rPr>
        <w:fldChar w:fldCharType="begin"/>
      </w:r>
      <w:r>
        <w:rPr>
          <w:color w:val="0000FF"/>
          <w:vertAlign w:val="superscript"/>
        </w:rPr>
        <w:instrText xml:space="preserve"> REF _Ref151737363 \r \h  \* MERGEFORMAT </w:instrText>
      </w:r>
      <w:r>
        <w:rPr>
          <w:color w:val="0000FF"/>
          <w:vertAlign w:val="superscript"/>
        </w:rPr>
        <w:fldChar w:fldCharType="separate"/>
      </w:r>
      <w:r>
        <w:rPr>
          <w:color w:val="0000FF"/>
          <w:vertAlign w:val="superscript"/>
        </w:rPr>
        <w:t>[24]</w:t>
      </w:r>
      <w:r>
        <w:rPr>
          <w:color w:val="0000FF"/>
          <w:vertAlign w:val="superscript"/>
        </w:rPr>
        <w:fldChar w:fldCharType="end"/>
      </w:r>
      <w:r>
        <w:t>的患者水平CDR为57%，95%CI下限达到目标值36.5%；区域水平PPV为60%，95%CI下限未达到目标值62.5%。</w:t>
      </w:r>
    </w:p>
    <w:p w14:paraId="60B35C24">
      <w:pPr>
        <w:spacing w:line="360" w:lineRule="auto"/>
        <w:ind w:firstLine="480" w:firstLineChars="200"/>
        <w:contextualSpacing/>
        <w:jc w:val="both"/>
      </w:pPr>
      <w:r>
        <w:t>PYLARIFY（piflufolastat F 18）</w:t>
      </w:r>
      <w:r>
        <w:rPr>
          <w:color w:val="0000FF"/>
          <w:vertAlign w:val="superscript"/>
        </w:rPr>
        <w:fldChar w:fldCharType="begin"/>
      </w:r>
      <w:r>
        <w:rPr>
          <w:color w:val="0000FF"/>
          <w:vertAlign w:val="superscript"/>
        </w:rPr>
        <w:instrText xml:space="preserve"> REF _Ref152434469 \r \h  \* MERGEFORMAT </w:instrText>
      </w:r>
      <w:r>
        <w:rPr>
          <w:color w:val="0000FF"/>
          <w:vertAlign w:val="superscript"/>
        </w:rPr>
        <w:fldChar w:fldCharType="separate"/>
      </w:r>
      <w:r>
        <w:rPr>
          <w:color w:val="0000FF"/>
          <w:vertAlign w:val="superscript"/>
        </w:rPr>
        <w:t>[25]</w:t>
      </w:r>
      <w:r>
        <w:rPr>
          <w:color w:val="0000FF"/>
          <w:vertAlign w:val="superscript"/>
        </w:rPr>
        <w:fldChar w:fldCharType="end"/>
      </w:r>
      <w:r>
        <w:t>的患者水平CLR为85~87%，95%CI下限远高于其目标值20%。</w:t>
      </w:r>
    </w:p>
    <w:p w14:paraId="5BE2C2D1">
      <w:pPr>
        <w:spacing w:line="360" w:lineRule="auto"/>
        <w:ind w:firstLine="480" w:firstLineChars="200"/>
        <w:contextualSpacing/>
        <w:jc w:val="both"/>
      </w:pPr>
      <w:r>
        <w:rPr>
          <w:vertAlign w:val="superscript"/>
        </w:rPr>
        <w:t>68</w:t>
      </w:r>
      <w:r>
        <w:t>Ga-PSMA-11</w:t>
      </w:r>
      <w:r>
        <w:rPr>
          <w:color w:val="0000FF"/>
          <w:vertAlign w:val="superscript"/>
        </w:rPr>
        <w:fldChar w:fldCharType="begin"/>
      </w:r>
      <w:r>
        <w:rPr>
          <w:color w:val="0000FF"/>
          <w:vertAlign w:val="superscript"/>
        </w:rPr>
        <w:instrText xml:space="preserve"> REF _Ref151737374 \r \h  \* MERGEFORMAT </w:instrText>
      </w:r>
      <w:r>
        <w:rPr>
          <w:color w:val="0000FF"/>
          <w:vertAlign w:val="superscript"/>
        </w:rPr>
        <w:fldChar w:fldCharType="separate"/>
      </w:r>
      <w:r>
        <w:rPr>
          <w:color w:val="0000FF"/>
          <w:vertAlign w:val="superscript"/>
        </w:rPr>
        <w:t>[26]</w:t>
      </w:r>
      <w:r>
        <w:rPr>
          <w:color w:val="0000FF"/>
          <w:vertAlign w:val="superscript"/>
        </w:rPr>
        <w:fldChar w:fldCharType="end"/>
      </w:r>
      <w:r>
        <w:t>的患者水平PPV为91%，95%CI下限达到目标值50%。</w:t>
      </w:r>
    </w:p>
    <w:p w14:paraId="2558C1CA">
      <w:pPr>
        <w:spacing w:line="360" w:lineRule="auto"/>
        <w:ind w:firstLine="480" w:firstLineChars="200"/>
        <w:contextualSpacing/>
        <w:jc w:val="both"/>
      </w:pPr>
      <w:r>
        <w:t>PPV及相关指标结果稳健，真阳性率高，PET/CT影像上发现的病变很可能代表真正的前列腺癌复发。复发性前列腺癌的检测和定位可以使疑似人群尽早进行针对性挽救性治疗，改善患者预后。</w:t>
      </w:r>
    </w:p>
    <w:p w14:paraId="590F3182">
      <w:pPr>
        <w:ind w:firstLine="420" w:firstLineChars="200"/>
        <w:contextualSpacing/>
        <w:jc w:val="both"/>
        <w:rPr>
          <w:sz w:val="21"/>
          <w:szCs w:val="21"/>
        </w:rPr>
      </w:pPr>
      <w:r>
        <w:rPr>
          <w:sz w:val="21"/>
          <w:szCs w:val="21"/>
        </w:rPr>
        <w:t>注：1）CLR：正确定位率。受试者水平PPV且满足至少一个PSMA-PET阳性病灶的定位与复合真实性标准（SOT）相匹配。CLR=TP/（TP+FP）。</w:t>
      </w:r>
    </w:p>
    <w:p w14:paraId="36EB1AE0">
      <w:pPr>
        <w:ind w:firstLine="420" w:firstLineChars="200"/>
        <w:contextualSpacing/>
        <w:jc w:val="both"/>
        <w:rPr>
          <w:sz w:val="21"/>
          <w:szCs w:val="21"/>
        </w:rPr>
      </w:pPr>
      <w:r>
        <w:rPr>
          <w:sz w:val="21"/>
          <w:szCs w:val="21"/>
        </w:rPr>
        <w:t>2）CDR：正确检出率。所有接受PSMA-PET检测（有阳性有阴性）的患者中，至少有一个PSMA阳性病灶的定位与复合SOT之间具有一对一对应关系的受试者的百分比。CDR=CLR*DR=TP/（TP+FP+TN+FN）。</w:t>
      </w:r>
    </w:p>
    <w:p w14:paraId="7472C443">
      <w:pPr>
        <w:ind w:firstLine="420" w:firstLineChars="200"/>
        <w:contextualSpacing/>
        <w:jc w:val="both"/>
        <w:rPr>
          <w:sz w:val="21"/>
          <w:szCs w:val="21"/>
        </w:rPr>
      </w:pPr>
      <w:r>
        <w:rPr>
          <w:sz w:val="21"/>
          <w:szCs w:val="21"/>
        </w:rPr>
        <w:t>3）DR：阳性检出率。DR=（TP+FP）/（TP+FP+TN+FN）。</w:t>
      </w:r>
    </w:p>
    <w:bookmarkEnd w:id="99"/>
    <w:p w14:paraId="71E023B7">
      <w:pPr>
        <w:pStyle w:val="122"/>
        <w:numPr>
          <w:ilvl w:val="0"/>
          <w:numId w:val="13"/>
        </w:numPr>
        <w:autoSpaceDE w:val="0"/>
        <w:autoSpaceDN w:val="0"/>
        <w:spacing w:line="360" w:lineRule="auto"/>
        <w:ind w:firstLineChars="0"/>
        <w:jc w:val="both"/>
        <w:rPr>
          <w:b/>
          <w:bCs/>
        </w:rPr>
      </w:pPr>
      <w:bookmarkStart w:id="104" w:name="_Hlk152495646"/>
      <w:r>
        <w:rPr>
          <w:b/>
          <w:bCs/>
        </w:rPr>
        <w:t>INR101</w:t>
      </w:r>
      <w:r>
        <w:rPr>
          <w:rFonts w:hint="eastAsia"/>
          <w:b/>
          <w:bCs/>
        </w:rPr>
        <w:t>注射液潜在优势：</w:t>
      </w:r>
    </w:p>
    <w:p w14:paraId="3EC71A8B">
      <w:pPr>
        <w:spacing w:line="360" w:lineRule="auto"/>
        <w:ind w:firstLine="480" w:firstLineChars="200"/>
        <w:contextualSpacing/>
        <w:jc w:val="both"/>
      </w:pPr>
      <w:r>
        <w:t>不同PSMA放射性配体的性质略有不同，其中，PSMA的抑制剂主要分为3大类：磷基、硫醇基和脲基。其中应用最多的PSMA的PET</w:t>
      </w:r>
      <w:r>
        <w:rPr>
          <w:rFonts w:hint="eastAsia"/>
        </w:rPr>
        <w:t>成像</w:t>
      </w:r>
      <w:r>
        <w:t>药物是基于脲基的小分子，其与PSMA的酶部分具有高亲和力，如</w:t>
      </w:r>
      <w:r>
        <w:rPr>
          <w:vertAlign w:val="superscript"/>
        </w:rPr>
        <w:t>68</w:t>
      </w:r>
      <w:r>
        <w:t>Ga标记的PSMA配体：</w:t>
      </w:r>
      <w:r>
        <w:rPr>
          <w:vertAlign w:val="superscript"/>
        </w:rPr>
        <w:t>68</w:t>
      </w:r>
      <w:r>
        <w:t>Ga-PSMA-11、</w:t>
      </w:r>
      <w:r>
        <w:rPr>
          <w:vertAlign w:val="superscript"/>
        </w:rPr>
        <w:t>68</w:t>
      </w:r>
      <w:r>
        <w:t>Ga-PSMA-617和</w:t>
      </w:r>
      <w:r>
        <w:rPr>
          <w:vertAlign w:val="superscript"/>
        </w:rPr>
        <w:t>68</w:t>
      </w:r>
      <w:r>
        <w:t>Ga-PSMA-I&amp;T等。</w:t>
      </w:r>
      <w:r>
        <w:rPr>
          <w:vertAlign w:val="superscript"/>
        </w:rPr>
        <w:t>18</w:t>
      </w:r>
      <w:r>
        <w:t>F标记的PSMA配体：</w:t>
      </w:r>
      <w:r>
        <w:rPr>
          <w:vertAlign w:val="superscript"/>
        </w:rPr>
        <w:t>18</w:t>
      </w:r>
      <w:r>
        <w:t>F-DCFBC、</w:t>
      </w:r>
      <w:r>
        <w:rPr>
          <w:vertAlign w:val="superscript"/>
        </w:rPr>
        <w:t>18</w:t>
      </w:r>
      <w:r>
        <w:t>F-DCFPyL、</w:t>
      </w:r>
      <w:r>
        <w:rPr>
          <w:vertAlign w:val="superscript"/>
        </w:rPr>
        <w:t>18</w:t>
      </w:r>
      <w:r>
        <w:t>F-PSMA-1007和</w:t>
      </w:r>
      <w:r>
        <w:rPr>
          <w:vertAlign w:val="superscript"/>
        </w:rPr>
        <w:t>18</w:t>
      </w:r>
      <w:r>
        <w:t>F-CTT1057等</w:t>
      </w:r>
      <w:r>
        <w:rPr>
          <w:color w:val="0000FF"/>
          <w:vertAlign w:val="superscript"/>
        </w:rPr>
        <w:fldChar w:fldCharType="begin"/>
      </w:r>
      <w:r>
        <w:rPr>
          <w:color w:val="0000FF"/>
          <w:vertAlign w:val="superscript"/>
        </w:rPr>
        <w:instrText xml:space="preserve"> REF _Ref152762013 \r \h  \* MERGEFORMAT </w:instrText>
      </w:r>
      <w:r>
        <w:rPr>
          <w:color w:val="0000FF"/>
          <w:vertAlign w:val="superscript"/>
        </w:rPr>
        <w:fldChar w:fldCharType="separate"/>
      </w:r>
      <w:r>
        <w:rPr>
          <w:color w:val="0000FF"/>
          <w:vertAlign w:val="superscript"/>
        </w:rPr>
        <w:t>[18]</w:t>
      </w:r>
      <w:r>
        <w:rPr>
          <w:color w:val="0000FF"/>
          <w:vertAlign w:val="superscript"/>
        </w:rPr>
        <w:fldChar w:fldCharType="end"/>
      </w:r>
      <w:r>
        <w:t>。</w:t>
      </w:r>
    </w:p>
    <w:p w14:paraId="77521218">
      <w:pPr>
        <w:spacing w:line="360" w:lineRule="auto"/>
        <w:ind w:firstLine="480" w:firstLineChars="200"/>
        <w:contextualSpacing/>
        <w:jc w:val="both"/>
      </w:pPr>
      <w:r>
        <w:t>目前多数PSMA靶向药物在肾脏和膀胱的摄取较高，其中膀胱摄取高可能会影响其对附近脏器、尤其是盆腔淋巴结检测的准确性，因此需要进一步改善药代动力学。P137是在ODAP-尿素配体中，将一个羧酸盐转换为更亲水的草酸盐，增强了水溶性，从而更快地从非靶器官中消除。为了与国外已上市同类产品比较，我们首先在PSMA-137上耦联了镓[</w:t>
      </w:r>
      <w:r>
        <w:rPr>
          <w:vertAlign w:val="superscript"/>
        </w:rPr>
        <w:t>68</w:t>
      </w:r>
      <w:r>
        <w:t>Ga]，形成镓[</w:t>
      </w:r>
      <w:r>
        <w:rPr>
          <w:vertAlign w:val="superscript"/>
        </w:rPr>
        <w:t>68</w:t>
      </w:r>
      <w:r>
        <w:t>Ga]-P137。在效价和药代动力学方面镓[</w:t>
      </w:r>
      <w:r>
        <w:rPr>
          <w:vertAlign w:val="superscript"/>
        </w:rPr>
        <w:t>68</w:t>
      </w:r>
      <w:r>
        <w:t>Ga]-P137与镓[</w:t>
      </w:r>
      <w:r>
        <w:rPr>
          <w:vertAlign w:val="superscript"/>
        </w:rPr>
        <w:t>68</w:t>
      </w:r>
      <w:r>
        <w:t>Ga]-PSMA-617相似，但肿瘤绝对摄取增加，相同条件下镓[</w:t>
      </w:r>
      <w:r>
        <w:rPr>
          <w:vertAlign w:val="superscript"/>
        </w:rPr>
        <w:t>68</w:t>
      </w:r>
      <w:r>
        <w:t>Ga]-P137的细胞摄取比镓[</w:t>
      </w:r>
      <w:r>
        <w:rPr>
          <w:vertAlign w:val="superscript"/>
        </w:rPr>
        <w:t>68</w:t>
      </w:r>
      <w:r>
        <w:t>Ga]-PSMA-617高1.3倍，在PET成像的临床试验中，</w:t>
      </w:r>
      <w:bookmarkStart w:id="105" w:name="OLE_LINK20"/>
      <w:r>
        <w:t>镓[</w:t>
      </w:r>
      <w:r>
        <w:rPr>
          <w:vertAlign w:val="superscript"/>
        </w:rPr>
        <w:t>68</w:t>
      </w:r>
      <w:r>
        <w:t>Ga]-P137</w:t>
      </w:r>
      <w:bookmarkEnd w:id="105"/>
      <w:r>
        <w:t>的正常器官生物分布与镓[</w:t>
      </w:r>
      <w:r>
        <w:rPr>
          <w:vertAlign w:val="superscript"/>
        </w:rPr>
        <w:t>68</w:t>
      </w:r>
      <w:r>
        <w:t>Ga]-PSMA-617相似，但由于镓[</w:t>
      </w:r>
      <w:r>
        <w:rPr>
          <w:vertAlign w:val="superscript"/>
        </w:rPr>
        <w:t>68</w:t>
      </w:r>
      <w:r>
        <w:t>Ga]-P137的亲水性更高，因此在膀胱中的消除速度更快，在泌尿系统中的摄取更低，可能有助于更好的描述前列腺内的病变情况</w:t>
      </w:r>
      <w:r>
        <w:rPr>
          <w:color w:val="0000FF"/>
          <w:vertAlign w:val="superscript"/>
        </w:rPr>
        <w:fldChar w:fldCharType="begin"/>
      </w:r>
      <w:r>
        <w:rPr>
          <w:color w:val="0000FF"/>
          <w:vertAlign w:val="superscript"/>
        </w:rPr>
        <w:instrText xml:space="preserve"> REF _Ref152319102 \r \h  \* MERGEFORMAT </w:instrText>
      </w:r>
      <w:r>
        <w:rPr>
          <w:color w:val="0000FF"/>
          <w:vertAlign w:val="superscript"/>
        </w:rPr>
        <w:fldChar w:fldCharType="separate"/>
      </w:r>
      <w:r>
        <w:rPr>
          <w:color w:val="0000FF"/>
          <w:vertAlign w:val="superscript"/>
        </w:rPr>
        <w:t>[28]</w:t>
      </w:r>
      <w:r>
        <w:rPr>
          <w:color w:val="0000FF"/>
          <w:vertAlign w:val="superscript"/>
        </w:rPr>
        <w:fldChar w:fldCharType="end"/>
      </w:r>
      <w:r>
        <w:t>。因此预期本品在膀胱中同样为低摄取。为了能让PSMA分子更适合国内情况，我们又用氟[</w:t>
      </w:r>
      <w:r>
        <w:rPr>
          <w:vertAlign w:val="superscript"/>
        </w:rPr>
        <w:t>18</w:t>
      </w:r>
      <w:r>
        <w:t>F]替换了镓[</w:t>
      </w:r>
      <w:r>
        <w:rPr>
          <w:vertAlign w:val="superscript"/>
        </w:rPr>
        <w:t>68</w:t>
      </w:r>
      <w:r>
        <w:t>Ga]，形成氟[</w:t>
      </w:r>
      <w:r>
        <w:rPr>
          <w:vertAlign w:val="superscript"/>
        </w:rPr>
        <w:t>18</w:t>
      </w:r>
      <w:r>
        <w:t>F]-P137（即INR101）。与镓[</w:t>
      </w:r>
      <w:r>
        <w:rPr>
          <w:vertAlign w:val="superscript"/>
        </w:rPr>
        <w:t>68</w:t>
      </w:r>
      <w:r>
        <w:t>Ga]相比，氟[</w:t>
      </w:r>
      <w:r>
        <w:rPr>
          <w:vertAlign w:val="superscript"/>
        </w:rPr>
        <w:t>18</w:t>
      </w:r>
      <w:r>
        <w:t>F]更适合成像。</w:t>
      </w:r>
      <w:r>
        <w:rPr>
          <w:vertAlign w:val="superscript"/>
        </w:rPr>
        <w:t>18</w:t>
      </w:r>
      <w:r>
        <w:t>F标记较</w:t>
      </w:r>
      <w:r>
        <w:rPr>
          <w:vertAlign w:val="superscript"/>
        </w:rPr>
        <w:t>68</w:t>
      </w:r>
      <w:r>
        <w:t>Ga标记的PSMA</w:t>
      </w:r>
      <w:r>
        <w:rPr>
          <w:rFonts w:hint="eastAsia"/>
        </w:rPr>
        <w:t>成像</w:t>
      </w:r>
      <w:r>
        <w:t>剂而言，</w:t>
      </w:r>
      <w:r>
        <w:rPr>
          <w:vertAlign w:val="superscript"/>
        </w:rPr>
        <w:t>18</w:t>
      </w:r>
      <w:r>
        <w:t>F更易获得、具有更长的半衰期，更有利于药物的储存、运输，且具有延迟</w:t>
      </w:r>
      <w:r>
        <w:rPr>
          <w:rFonts w:hint="eastAsia"/>
        </w:rPr>
        <w:t>成像</w:t>
      </w:r>
      <w:r>
        <w:t>、空间分辨率高等优点。</w:t>
      </w:r>
    </w:p>
    <w:bookmarkEnd w:id="104"/>
    <w:p w14:paraId="228D2D7D">
      <w:pPr>
        <w:pStyle w:val="5"/>
        <w:numPr>
          <w:ilvl w:val="2"/>
          <w:numId w:val="6"/>
        </w:numPr>
        <w:spacing w:before="0" w:after="0" w:line="360" w:lineRule="auto"/>
        <w:ind w:left="0" w:firstLine="0"/>
        <w:jc w:val="both"/>
        <w:rPr>
          <w:sz w:val="24"/>
          <w:szCs w:val="24"/>
          <w:lang w:val="zh-TW" w:eastAsia="zh-TW"/>
        </w:rPr>
      </w:pPr>
      <w:bookmarkStart w:id="106" w:name="_Toc20597"/>
      <w:bookmarkStart w:id="107" w:name="_Toc183522967"/>
      <w:bookmarkStart w:id="108" w:name="_Toc21448"/>
      <w:bookmarkStart w:id="109" w:name="_Toc23865"/>
      <w:r>
        <w:rPr>
          <w:sz w:val="24"/>
          <w:szCs w:val="24"/>
          <w:lang w:val="zh-TW" w:eastAsia="zh-TW"/>
        </w:rPr>
        <w:t>风险总结</w:t>
      </w:r>
      <w:bookmarkEnd w:id="106"/>
      <w:bookmarkEnd w:id="107"/>
      <w:bookmarkEnd w:id="108"/>
      <w:bookmarkEnd w:id="109"/>
    </w:p>
    <w:p w14:paraId="1D16D72C">
      <w:pPr>
        <w:pStyle w:val="3"/>
        <w:spacing w:line="360" w:lineRule="auto"/>
        <w:rPr>
          <w:rFonts w:ascii="Times New Roman" w:hAnsi="Times New Roman" w:cs="Times New Roman"/>
          <w:b/>
          <w:bCs/>
          <w:color w:val="auto"/>
          <w:sz w:val="24"/>
          <w:szCs w:val="24"/>
          <w:lang w:val="zh-TW"/>
        </w:rPr>
      </w:pPr>
      <w:bookmarkStart w:id="110" w:name="_Hlk117258004"/>
      <w:r>
        <w:rPr>
          <w:rFonts w:ascii="Times New Roman" w:hAnsi="Times New Roman" w:cs="Times New Roman"/>
          <w:b/>
          <w:bCs/>
          <w:color w:val="auto"/>
          <w:sz w:val="24"/>
          <w:szCs w:val="24"/>
          <w:lang w:val="zh-TW"/>
        </w:rPr>
        <w:t>（1）非临床安全性研究</w:t>
      </w:r>
    </w:p>
    <w:bookmarkEnd w:id="110"/>
    <w:p w14:paraId="104986C2">
      <w:pPr>
        <w:spacing w:line="360" w:lineRule="auto"/>
        <w:ind w:firstLine="504" w:firstLineChars="200"/>
        <w:jc w:val="both"/>
        <w:rPr>
          <w:spacing w:val="6"/>
        </w:rPr>
      </w:pPr>
      <w:bookmarkStart w:id="111" w:name="_Hlk117323748"/>
      <w:r>
        <w:rPr>
          <w:spacing w:val="6"/>
        </w:rPr>
        <w:t>安全性评价研究方面，开展两种动物种属（SD大鼠和小型猪）扩展的单次给药毒性和制剂安全性（</w:t>
      </w:r>
      <w:r>
        <w:rPr>
          <w:color w:val="000000" w:themeColor="text1"/>
          <w14:textFill>
            <w14:solidFill>
              <w14:schemeClr w14:val="tx1"/>
            </w14:solidFill>
          </w14:textFill>
        </w:rPr>
        <w:t>体外溶血、血管&amp;肌肉刺激、主动过敏</w:t>
      </w:r>
      <w:r>
        <w:rPr>
          <w:spacing w:val="6"/>
        </w:rPr>
        <w:t>）研究评估拟临床使用的放射性制剂（</w:t>
      </w:r>
      <w:r>
        <w:rPr>
          <w:color w:val="000000" w:themeColor="text1"/>
          <w14:textFill>
            <w14:solidFill>
              <w14:schemeClr w14:val="tx1"/>
            </w14:solidFill>
          </w14:textFill>
        </w:rPr>
        <w:t>INR101注射液</w:t>
      </w:r>
      <w:r>
        <w:rPr>
          <w:spacing w:val="6"/>
        </w:rPr>
        <w:t>）的安全性。以临床给药活度剂量计算，SD大鼠和小型猪均未见与受试物相关的毒性反应，</w:t>
      </w:r>
      <w:r>
        <w:rPr>
          <w:bCs/>
          <w:color w:val="000000" w:themeColor="text1"/>
          <w14:textFill>
            <w14:solidFill>
              <w14:schemeClr w14:val="tx1"/>
            </w14:solidFill>
          </w14:textFill>
        </w:rPr>
        <w:t>无明显毒性反应剂量（NOAEL）分别大于17.0</w:t>
      </w:r>
      <w:r>
        <w:rPr>
          <w:rFonts w:hint="eastAsia"/>
          <w:bCs/>
          <w:color w:val="000000" w:themeColor="text1"/>
          <w14:textFill>
            <w14:solidFill>
              <w14:schemeClr w14:val="tx1"/>
            </w14:solidFill>
          </w14:textFill>
        </w:rPr>
        <w:t xml:space="preserve"> </w:t>
      </w:r>
      <w:r>
        <w:rPr>
          <w:bCs/>
          <w:color w:val="000000" w:themeColor="text1"/>
          <w14:textFill>
            <w14:solidFill>
              <w14:schemeClr w14:val="tx1"/>
            </w14:solidFill>
          </w14:textFill>
        </w:rPr>
        <w:t>mCi·kg</w:t>
      </w:r>
      <w:r>
        <w:rPr>
          <w:bCs/>
          <w:color w:val="000000" w:themeColor="text1"/>
          <w:vertAlign w:val="superscript"/>
          <w14:textFill>
            <w14:solidFill>
              <w14:schemeClr w14:val="tx1"/>
            </w14:solidFill>
          </w14:textFill>
        </w:rPr>
        <w:t>-1</w:t>
      </w:r>
      <w:r>
        <w:rPr>
          <w:bCs/>
          <w:color w:val="000000" w:themeColor="text1"/>
          <w14:textFill>
            <w14:solidFill>
              <w14:schemeClr w14:val="tx1"/>
            </w14:solidFill>
          </w14:textFill>
        </w:rPr>
        <w:t>和2.5</w:t>
      </w:r>
      <w:r>
        <w:rPr>
          <w:rFonts w:hint="eastAsia"/>
          <w:bCs/>
          <w:color w:val="000000" w:themeColor="text1"/>
          <w14:textFill>
            <w14:solidFill>
              <w14:schemeClr w14:val="tx1"/>
            </w14:solidFill>
          </w14:textFill>
        </w:rPr>
        <w:t xml:space="preserve"> </w:t>
      </w:r>
      <w:r>
        <w:rPr>
          <w:bCs/>
          <w:color w:val="000000" w:themeColor="text1"/>
          <w14:textFill>
            <w14:solidFill>
              <w14:schemeClr w14:val="tx1"/>
            </w14:solidFill>
          </w14:textFill>
        </w:rPr>
        <w:t>mCi·kg</w:t>
      </w:r>
      <w:r>
        <w:rPr>
          <w:bCs/>
          <w:color w:val="000000" w:themeColor="text1"/>
          <w:vertAlign w:val="superscript"/>
          <w14:textFill>
            <w14:solidFill>
              <w14:schemeClr w14:val="tx1"/>
            </w14:solidFill>
          </w14:textFill>
        </w:rPr>
        <w:t>-1</w:t>
      </w:r>
      <w:r>
        <w:rPr>
          <w:bCs/>
          <w:color w:val="000000" w:themeColor="text1"/>
          <w14:textFill>
            <w14:solidFill>
              <w14:schemeClr w14:val="tx1"/>
            </w14:solidFill>
          </w14:textFill>
        </w:rPr>
        <w:t>（分别相当于人体等效剂量的16.13和2.14倍）；同时，拟临床使用的放射性制剂未见引起溶血性、刺激性和主动全身过敏性。</w:t>
      </w:r>
    </w:p>
    <w:p w14:paraId="6FC376CC">
      <w:pPr>
        <w:adjustRightInd w:val="0"/>
        <w:spacing w:line="360" w:lineRule="auto"/>
        <w:ind w:firstLine="480" w:firstLineChars="200"/>
        <w:jc w:val="both"/>
      </w:pPr>
      <w:r>
        <w:t>受限于拟临床使用的放射性制剂非密封操作的客观限制性因素，例如乙级非密封放射性操作场所、人员辐射防护等因素，考虑扩展的单次给药毒性研究中受试物化学剂量暴露倍数较低，采用稳定同位素</w:t>
      </w:r>
      <w:r>
        <w:rPr>
          <w:vertAlign w:val="superscript"/>
        </w:rPr>
        <w:t>19</w:t>
      </w:r>
      <w:r>
        <w:t>F标记冷药（[</w:t>
      </w:r>
      <w:r>
        <w:rPr>
          <w:vertAlign w:val="superscript"/>
        </w:rPr>
        <w:t>19</w:t>
      </w:r>
      <w:r>
        <w:t>F]AlF-NOTA-P137）开展</w:t>
      </w:r>
      <w:r>
        <w:rPr>
          <w:spacing w:val="6"/>
        </w:rPr>
        <w:t>SD大鼠和小型猪的4周重复给药毒性研究，SD大鼠和小型猪均未见与受试物相关的毒性反应，按化学质量剂量计算，</w:t>
      </w:r>
      <w:r>
        <w:rPr>
          <w:bCs/>
          <w:color w:val="000000" w:themeColor="text1"/>
          <w14:textFill>
            <w14:solidFill>
              <w14:schemeClr w14:val="tx1"/>
            </w14:solidFill>
          </w14:textFill>
        </w:rPr>
        <w:t>无明显毒性反应剂量（NOAEL）分别为830.00 μg/kg和415.00 μg/kg（分别相当于人体等效剂量的190.3和306.3倍）。同时，考虑</w:t>
      </w:r>
      <w:r>
        <w:rPr>
          <w:color w:val="000000" w:themeColor="text1"/>
          <w14:textFill>
            <w14:solidFill>
              <w14:schemeClr w14:val="tx1"/>
            </w14:solidFill>
          </w14:textFill>
        </w:rPr>
        <w:t>INR101注射液</w:t>
      </w:r>
      <w:r>
        <w:t>临床用于单次诊断给药或低频率/长间隔周期的疾病监测给药，认为受试物具有足够的安全窗口。</w:t>
      </w:r>
    </w:p>
    <w:p w14:paraId="38B16466">
      <w:pPr>
        <w:adjustRightInd w:val="0"/>
        <w:spacing w:line="360" w:lineRule="auto"/>
        <w:ind w:firstLine="480" w:firstLineChars="200"/>
        <w:jc w:val="both"/>
      </w:pPr>
      <w:r>
        <w:t>体外hERG通道电流抑制、大鼠FOB和小型猪心血管、呼吸系统毒性研究，均未见受试物相关毒性反应。</w:t>
      </w:r>
    </w:p>
    <w:p w14:paraId="0865734D">
      <w:pPr>
        <w:pStyle w:val="3"/>
        <w:spacing w:line="360" w:lineRule="auto"/>
        <w:rPr>
          <w:rFonts w:ascii="Times New Roman" w:hAnsi="Times New Roman" w:cs="Times New Roman"/>
          <w:b/>
          <w:bCs/>
          <w:color w:val="auto"/>
          <w:sz w:val="24"/>
          <w:szCs w:val="24"/>
          <w:lang w:val="zh-TW"/>
        </w:rPr>
      </w:pPr>
      <w:r>
        <w:rPr>
          <w:rFonts w:ascii="Times New Roman" w:hAnsi="Times New Roman" w:cs="Times New Roman"/>
          <w:b/>
          <w:bCs/>
          <w:color w:val="auto"/>
          <w:sz w:val="24"/>
          <w:szCs w:val="24"/>
          <w:lang w:val="zh-TW"/>
        </w:rPr>
        <w:t>（2）</w:t>
      </w:r>
      <w:bookmarkEnd w:id="111"/>
      <w:r>
        <w:rPr>
          <w:rFonts w:ascii="Times New Roman" w:hAnsi="Times New Roman" w:cs="Times New Roman"/>
          <w:b/>
          <w:bCs/>
          <w:color w:val="auto"/>
          <w:sz w:val="24"/>
          <w:szCs w:val="24"/>
          <w:lang w:val="zh-TW"/>
        </w:rPr>
        <w:t>临床研究不良反应</w:t>
      </w:r>
    </w:p>
    <w:p w14:paraId="37050712">
      <w:pPr>
        <w:spacing w:line="360" w:lineRule="auto"/>
        <w:ind w:firstLine="480" w:firstLineChars="200"/>
        <w:jc w:val="both"/>
      </w:pPr>
      <w:bookmarkStart w:id="112" w:name="_Toc130540081"/>
      <w:bookmarkStart w:id="113" w:name="_Hlk117256443"/>
      <w:r>
        <w:t>INR101注射液Ⅰ/Ⅱa期临床试验</w:t>
      </w:r>
      <w:r>
        <w:rPr>
          <w:rFonts w:hint="eastAsia"/>
        </w:rPr>
        <w:t>共</w:t>
      </w:r>
      <w:r>
        <w:t>纳入32例受试者，共3例受试者发生3例次不良事件，均经研究者判定为与试验用药可能无关或肯定无关，严重程度均为1级或2级，未发生严重不良事件，也未发生导致退出的不良事件，安全性较好。</w:t>
      </w:r>
    </w:p>
    <w:p w14:paraId="56ED1CEC">
      <w:pPr>
        <w:spacing w:line="360" w:lineRule="auto"/>
        <w:ind w:firstLine="480" w:firstLineChars="200"/>
        <w:jc w:val="both"/>
        <w:rPr>
          <w:lang w:eastAsia="zh-TW"/>
        </w:rPr>
      </w:pPr>
      <w:r>
        <w:rPr>
          <w:lang w:eastAsia="zh-TW"/>
        </w:rPr>
        <w:t>INR101注射液同类药物</w:t>
      </w:r>
      <w:r>
        <w:rPr>
          <w:rFonts w:hint="eastAsia" w:ascii="宋体" w:hAnsi="宋体" w:cs="宋体"/>
          <w:lang w:eastAsia="zh-TW"/>
        </w:rPr>
        <w:t>[</w:t>
      </w:r>
      <w:r>
        <w:rPr>
          <w:lang w:eastAsia="zh-TW"/>
        </w:rPr>
        <w:t>POSLUMA（flotufolastat F 18）、PYLARIFY（piflufolastat F 18）、</w:t>
      </w:r>
      <w:r>
        <w:rPr>
          <w:vertAlign w:val="superscript"/>
          <w:lang w:eastAsia="zh-TW"/>
        </w:rPr>
        <w:t>68</w:t>
      </w:r>
      <w:r>
        <w:rPr>
          <w:lang w:eastAsia="zh-TW"/>
        </w:rPr>
        <w:t xml:space="preserve">Ga-PSMA-11 </w:t>
      </w:r>
      <w:r>
        <w:rPr>
          <w:rFonts w:hint="eastAsia" w:ascii="宋体" w:hAnsi="宋体" w:cs="宋体"/>
          <w:lang w:eastAsia="zh-TW"/>
        </w:rPr>
        <w:t>]</w:t>
      </w:r>
      <w:r>
        <w:rPr>
          <w:lang w:eastAsia="zh-TW"/>
        </w:rPr>
        <w:t>公布的安全性数据</w:t>
      </w:r>
      <w:r>
        <w:rPr>
          <w:color w:val="0000FF"/>
          <w:vertAlign w:val="superscript"/>
          <w:lang w:eastAsia="zh-TW"/>
        </w:rPr>
        <w:fldChar w:fldCharType="begin"/>
      </w:r>
      <w:r>
        <w:rPr>
          <w:color w:val="0000FF"/>
          <w:vertAlign w:val="superscript"/>
          <w:lang w:eastAsia="zh-TW"/>
        </w:rPr>
        <w:instrText xml:space="preserve"> REF _Ref152504051 \r \h  \* MERGEFORMAT </w:instrText>
      </w:r>
      <w:r>
        <w:rPr>
          <w:color w:val="0000FF"/>
          <w:vertAlign w:val="superscript"/>
          <w:lang w:eastAsia="zh-TW"/>
        </w:rPr>
        <w:fldChar w:fldCharType="separate"/>
      </w:r>
      <w:r>
        <w:rPr>
          <w:color w:val="0000FF"/>
          <w:vertAlign w:val="superscript"/>
          <w:lang w:eastAsia="zh-TW"/>
        </w:rPr>
        <w:t>[29]</w:t>
      </w:r>
      <w:r>
        <w:rPr>
          <w:color w:val="0000FF"/>
          <w:vertAlign w:val="superscript"/>
          <w:lang w:eastAsia="zh-TW"/>
        </w:rPr>
        <w:fldChar w:fldCharType="end"/>
      </w:r>
      <w:r>
        <w:rPr>
          <w:color w:val="0000FF"/>
          <w:vertAlign w:val="superscript"/>
          <w:lang w:eastAsia="zh-TW"/>
        </w:rPr>
        <w:fldChar w:fldCharType="begin"/>
      </w:r>
      <w:r>
        <w:rPr>
          <w:color w:val="0000FF"/>
          <w:vertAlign w:val="superscript"/>
          <w:lang w:eastAsia="zh-TW"/>
        </w:rPr>
        <w:instrText xml:space="preserve"> REF _Ref152504055 \r \h  \* MERGEFORMAT </w:instrText>
      </w:r>
      <w:r>
        <w:rPr>
          <w:color w:val="0000FF"/>
          <w:vertAlign w:val="superscript"/>
          <w:lang w:eastAsia="zh-TW"/>
        </w:rPr>
        <w:fldChar w:fldCharType="separate"/>
      </w:r>
      <w:r>
        <w:rPr>
          <w:color w:val="0000FF"/>
          <w:vertAlign w:val="superscript"/>
          <w:lang w:eastAsia="zh-TW"/>
        </w:rPr>
        <w:t>[30]</w:t>
      </w:r>
      <w:r>
        <w:rPr>
          <w:color w:val="0000FF"/>
          <w:vertAlign w:val="superscript"/>
          <w:lang w:eastAsia="zh-TW"/>
        </w:rPr>
        <w:fldChar w:fldCharType="end"/>
      </w:r>
      <w:r>
        <w:rPr>
          <w:color w:val="0000FF"/>
          <w:vertAlign w:val="superscript"/>
          <w:lang w:eastAsia="zh-TW"/>
        </w:rPr>
        <w:fldChar w:fldCharType="begin"/>
      </w:r>
      <w:r>
        <w:rPr>
          <w:color w:val="0000FF"/>
          <w:vertAlign w:val="superscript"/>
          <w:lang w:eastAsia="zh-TW"/>
        </w:rPr>
        <w:instrText xml:space="preserve"> REF _Ref152504045 \r \h  \* MERGEFORMAT </w:instrText>
      </w:r>
      <w:r>
        <w:rPr>
          <w:color w:val="0000FF"/>
          <w:vertAlign w:val="superscript"/>
          <w:lang w:eastAsia="zh-TW"/>
        </w:rPr>
        <w:fldChar w:fldCharType="separate"/>
      </w:r>
      <w:r>
        <w:rPr>
          <w:color w:val="0000FF"/>
          <w:vertAlign w:val="superscript"/>
          <w:lang w:eastAsia="zh-TW"/>
        </w:rPr>
        <w:t>[31]</w:t>
      </w:r>
      <w:r>
        <w:rPr>
          <w:color w:val="0000FF"/>
          <w:vertAlign w:val="superscript"/>
          <w:lang w:eastAsia="zh-TW"/>
        </w:rPr>
        <w:fldChar w:fldCharType="end"/>
      </w:r>
      <w:r>
        <w:rPr>
          <w:lang w:eastAsia="zh-TW"/>
        </w:rPr>
        <w:t>，不良反应如下：</w:t>
      </w:r>
    </w:p>
    <w:p w14:paraId="617B6C57">
      <w:pPr>
        <w:spacing w:line="360" w:lineRule="auto"/>
        <w:ind w:firstLine="480" w:firstLineChars="200"/>
        <w:jc w:val="both"/>
      </w:pPr>
      <w:r>
        <w:t>POSLUMA（flotufolastat F 18）发生率≥ 0.4%的不良反应为腹泻、血压升高、注射部位疼痛。</w:t>
      </w:r>
    </w:p>
    <w:p w14:paraId="56F820F1">
      <w:pPr>
        <w:spacing w:line="360" w:lineRule="auto"/>
        <w:ind w:firstLine="480" w:firstLineChars="200"/>
        <w:jc w:val="both"/>
      </w:pPr>
      <w:r>
        <w:t>PYLARIFY（piflufolastat F 18）的发生率</w:t>
      </w:r>
      <w:r>
        <w:rPr>
          <w:rFonts w:hint="eastAsia"/>
        </w:rPr>
        <w:t>&gt;</w:t>
      </w:r>
      <w:r>
        <w:t xml:space="preserve"> 0.5%的不良反应包括：头痛、味觉障碍、乏力，1例有过敏反应史的患者（0.2%）出现过敏反应。</w:t>
      </w:r>
    </w:p>
    <w:p w14:paraId="0814A781">
      <w:pPr>
        <w:spacing w:line="360" w:lineRule="auto"/>
        <w:ind w:firstLine="480" w:firstLineChars="200"/>
        <w:jc w:val="both"/>
      </w:pPr>
      <w:r>
        <w:rPr>
          <w:vertAlign w:val="superscript"/>
        </w:rPr>
        <w:t>68</w:t>
      </w:r>
      <w:r>
        <w:t>Ga-PSMA-11未见严重不良反应，最常报道的不良反应为恶心、腹泻和头晕，发生率&lt; 1%。</w:t>
      </w:r>
    </w:p>
    <w:bookmarkEnd w:id="112"/>
    <w:p w14:paraId="1B6AAD33">
      <w:pPr>
        <w:pStyle w:val="5"/>
        <w:numPr>
          <w:ilvl w:val="2"/>
          <w:numId w:val="6"/>
        </w:numPr>
        <w:spacing w:before="0" w:after="0" w:line="360" w:lineRule="auto"/>
        <w:ind w:left="0" w:firstLine="0"/>
        <w:jc w:val="both"/>
        <w:rPr>
          <w:sz w:val="24"/>
          <w:szCs w:val="24"/>
          <w:lang w:val="zh-TW" w:eastAsia="zh-TW"/>
        </w:rPr>
      </w:pPr>
      <w:bookmarkStart w:id="114" w:name="_Toc23826"/>
      <w:bookmarkStart w:id="115" w:name="_Toc25705"/>
      <w:bookmarkStart w:id="116" w:name="_Toc17551"/>
      <w:bookmarkStart w:id="117" w:name="_Toc183522968"/>
      <w:r>
        <w:rPr>
          <w:sz w:val="24"/>
          <w:szCs w:val="24"/>
          <w:lang w:val="zh-TW" w:eastAsia="zh-TW"/>
        </w:rPr>
        <w:t>总体获益</w:t>
      </w:r>
      <w:bookmarkEnd w:id="114"/>
      <w:bookmarkEnd w:id="115"/>
      <w:bookmarkEnd w:id="116"/>
      <w:bookmarkEnd w:id="117"/>
    </w:p>
    <w:p w14:paraId="66832CE1">
      <w:pPr>
        <w:adjustRightInd w:val="0"/>
        <w:spacing w:line="360" w:lineRule="auto"/>
        <w:ind w:firstLine="480" w:firstLineChars="200"/>
        <w:jc w:val="both"/>
        <w:rPr>
          <w:color w:val="000000" w:themeColor="text1"/>
          <w14:textFill>
            <w14:solidFill>
              <w14:schemeClr w14:val="tx1"/>
            </w14:solidFill>
          </w14:textFill>
        </w:rPr>
      </w:pPr>
      <w:r>
        <w:t>综合来看，INR101注射液是一款具有良好诊断效能及安全性的药物，有望为前列腺癌患者疾病诊断带来更多的可能性。</w:t>
      </w:r>
    </w:p>
    <w:bookmarkEnd w:id="113"/>
    <w:p w14:paraId="515DAC26">
      <w:pPr>
        <w:pStyle w:val="2"/>
        <w:numPr>
          <w:ilvl w:val="0"/>
          <w:numId w:val="5"/>
        </w:numPr>
        <w:ind w:left="0" w:firstLine="0"/>
        <w:rPr>
          <w:rFonts w:ascii="Times New Roman" w:hAnsi="Times New Roman"/>
          <w:color w:val="auto"/>
          <w:szCs w:val="24"/>
        </w:rPr>
      </w:pPr>
      <w:bookmarkStart w:id="118" w:name="_Toc15608"/>
      <w:bookmarkStart w:id="119" w:name="_Toc9703"/>
      <w:bookmarkStart w:id="120" w:name="_Toc1907"/>
      <w:bookmarkStart w:id="121" w:name="_Toc183522969"/>
      <w:r>
        <w:rPr>
          <w:rFonts w:ascii="Times New Roman" w:hAnsi="Times New Roman"/>
          <w:color w:val="auto"/>
          <w:szCs w:val="24"/>
        </w:rPr>
        <w:t>试验目的、终点</w:t>
      </w:r>
      <w:bookmarkEnd w:id="118"/>
      <w:bookmarkEnd w:id="119"/>
      <w:bookmarkEnd w:id="120"/>
      <w:bookmarkEnd w:id="121"/>
    </w:p>
    <w:p w14:paraId="11A203AD">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122" w:name="_Toc183522970"/>
      <w:bookmarkStart w:id="123" w:name="_Toc9215"/>
      <w:bookmarkStart w:id="124" w:name="_Toc4933"/>
      <w:bookmarkStart w:id="125" w:name="_Toc29762"/>
      <w:r>
        <w:rPr>
          <w:rFonts w:ascii="Times New Roman" w:hAnsi="Times New Roman" w:eastAsia="宋体"/>
          <w:sz w:val="24"/>
          <w:szCs w:val="24"/>
          <w:lang w:val="zh-TW" w:eastAsia="zh-TW"/>
        </w:rPr>
        <w:t>研究目的</w:t>
      </w:r>
      <w:bookmarkEnd w:id="122"/>
      <w:bookmarkEnd w:id="123"/>
      <w:bookmarkEnd w:id="124"/>
      <w:bookmarkEnd w:id="125"/>
    </w:p>
    <w:p w14:paraId="0F73BD79">
      <w:pPr>
        <w:pStyle w:val="165"/>
        <w:ind w:firstLine="0" w:firstLineChars="0"/>
        <w:rPr>
          <w:rFonts w:cs="Times New Roman"/>
          <w:b/>
          <w:bCs/>
          <w:szCs w:val="24"/>
        </w:rPr>
      </w:pPr>
      <w:r>
        <w:rPr>
          <w:rFonts w:cs="Times New Roman"/>
          <w:b/>
          <w:bCs/>
          <w:szCs w:val="24"/>
        </w:rPr>
        <w:t>主要目的：</w:t>
      </w:r>
    </w:p>
    <w:p w14:paraId="66387238">
      <w:pPr>
        <w:numPr>
          <w:ilvl w:val="0"/>
          <w:numId w:val="14"/>
        </w:numPr>
        <w:spacing w:line="360" w:lineRule="auto"/>
        <w:jc w:val="both"/>
      </w:pPr>
      <w:r>
        <w:t>以复合诊断标准为真实性标准，评价</w:t>
      </w:r>
      <w:r>
        <w:rPr>
          <w:szCs w:val="22"/>
        </w:rPr>
        <w:t>INR101注射液PET/CT在前列腺癌根治治疗后疑似复发受试者中的</w:t>
      </w:r>
      <w:r>
        <w:t>诊断有效性。</w:t>
      </w:r>
    </w:p>
    <w:p w14:paraId="1E82AF14">
      <w:pPr>
        <w:pStyle w:val="165"/>
        <w:ind w:firstLine="0" w:firstLineChars="0"/>
        <w:rPr>
          <w:rFonts w:cs="Times New Roman"/>
          <w:b/>
          <w:bCs/>
          <w:szCs w:val="24"/>
        </w:rPr>
      </w:pPr>
      <w:r>
        <w:rPr>
          <w:rFonts w:cs="Times New Roman"/>
          <w:b/>
          <w:bCs/>
          <w:szCs w:val="24"/>
        </w:rPr>
        <w:t>次要目的：</w:t>
      </w:r>
    </w:p>
    <w:p w14:paraId="168358DA">
      <w:pPr>
        <w:numPr>
          <w:ilvl w:val="0"/>
          <w:numId w:val="14"/>
        </w:numPr>
        <w:spacing w:line="360" w:lineRule="auto"/>
        <w:jc w:val="both"/>
      </w:pPr>
      <w:r>
        <w:t>评价</w:t>
      </w:r>
      <w:r>
        <w:rPr>
          <w:szCs w:val="22"/>
        </w:rPr>
        <w:t>INR101注射液PET/CT</w:t>
      </w:r>
      <w:r>
        <w:t>在前列腺癌根治治疗后疑似复发受试者中的</w:t>
      </w:r>
      <w:r>
        <w:rPr>
          <w:rFonts w:hint="eastAsia"/>
        </w:rPr>
        <w:t>其他诊断效能</w:t>
      </w:r>
      <w:r>
        <w:t>；</w:t>
      </w:r>
    </w:p>
    <w:p w14:paraId="47F45AB8">
      <w:pPr>
        <w:numPr>
          <w:ilvl w:val="0"/>
          <w:numId w:val="14"/>
        </w:numPr>
        <w:spacing w:line="360" w:lineRule="auto"/>
        <w:jc w:val="both"/>
      </w:pPr>
      <w:r>
        <w:t>评价独立阅片人对PET图像盲态阅片结果的稳定性；</w:t>
      </w:r>
    </w:p>
    <w:p w14:paraId="04490F2D">
      <w:pPr>
        <w:pStyle w:val="165"/>
        <w:numPr>
          <w:ilvl w:val="0"/>
          <w:numId w:val="14"/>
        </w:numPr>
        <w:ind w:firstLineChars="0"/>
        <w:rPr>
          <w:rFonts w:cs="Times New Roman"/>
          <w:szCs w:val="24"/>
          <w:lang w:val="zh-TW"/>
        </w:rPr>
      </w:pPr>
      <w:r>
        <w:rPr>
          <w:rFonts w:cs="Times New Roman"/>
        </w:rPr>
        <w:t>评价INR101注射液用于PET/CT成像在前列腺癌根治治疗后疑似复发受试者中的安全性和耐受性。</w:t>
      </w:r>
    </w:p>
    <w:p w14:paraId="01D7EC05">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126" w:name="_Toc20708"/>
      <w:bookmarkStart w:id="127" w:name="_Toc29893"/>
      <w:bookmarkStart w:id="128" w:name="_Toc183522971"/>
      <w:bookmarkStart w:id="129" w:name="_Toc19440"/>
      <w:r>
        <w:rPr>
          <w:rFonts w:ascii="Times New Roman" w:hAnsi="Times New Roman" w:eastAsia="宋体"/>
          <w:sz w:val="24"/>
          <w:szCs w:val="24"/>
          <w:lang w:val="zh-TW" w:eastAsia="zh-TW"/>
        </w:rPr>
        <w:t>研究终点</w:t>
      </w:r>
      <w:bookmarkEnd w:id="126"/>
      <w:bookmarkEnd w:id="127"/>
      <w:bookmarkEnd w:id="128"/>
      <w:bookmarkEnd w:id="129"/>
    </w:p>
    <w:p w14:paraId="538637E8">
      <w:pPr>
        <w:pStyle w:val="165"/>
        <w:ind w:firstLine="0" w:firstLineChars="0"/>
        <w:rPr>
          <w:rFonts w:cs="Times New Roman"/>
          <w:b/>
          <w:bCs/>
          <w:szCs w:val="24"/>
        </w:rPr>
      </w:pPr>
      <w:r>
        <w:rPr>
          <w:rFonts w:cs="Times New Roman"/>
          <w:b/>
          <w:bCs/>
          <w:szCs w:val="24"/>
        </w:rPr>
        <w:t>主要研究终点：</w:t>
      </w:r>
    </w:p>
    <w:p w14:paraId="5F1BB30C">
      <w:pPr>
        <w:pStyle w:val="165"/>
        <w:numPr>
          <w:ilvl w:val="0"/>
          <w:numId w:val="7"/>
        </w:numPr>
        <w:ind w:left="0" w:firstLine="480"/>
        <w:rPr>
          <w:rFonts w:cs="Times New Roman"/>
          <w:szCs w:val="24"/>
        </w:rPr>
      </w:pPr>
      <w:r>
        <w:rPr>
          <w:rFonts w:cs="Times New Roman"/>
          <w:color w:val="000000"/>
          <w:lang w:bidi="ar"/>
        </w:rPr>
        <w:t>以复合诊断标准为真实性标准，INR101</w:t>
      </w:r>
      <w:r>
        <w:rPr>
          <w:rFonts w:cs="Times New Roman"/>
        </w:rPr>
        <w:t>注射液</w:t>
      </w:r>
      <w:r>
        <w:rPr>
          <w:rFonts w:cs="Times New Roman"/>
          <w:color w:val="000000"/>
          <w:lang w:bidi="ar"/>
        </w:rPr>
        <w:t>PET/CT成像在受试者水平病灶检出的阳性预测值（PPV）</w:t>
      </w:r>
      <w:r>
        <w:rPr>
          <w:rFonts w:hint="eastAsia" w:cs="Times New Roman"/>
          <w:color w:val="000000"/>
          <w:lang w:bidi="ar"/>
        </w:rPr>
        <w:t>。</w:t>
      </w:r>
    </w:p>
    <w:p w14:paraId="44B0B631">
      <w:pPr>
        <w:pStyle w:val="165"/>
        <w:ind w:firstLine="0" w:firstLineChars="0"/>
        <w:rPr>
          <w:rFonts w:cs="Times New Roman"/>
          <w:b/>
          <w:bCs/>
          <w:szCs w:val="24"/>
        </w:rPr>
      </w:pPr>
      <w:r>
        <w:rPr>
          <w:rFonts w:cs="Times New Roman"/>
          <w:b/>
          <w:bCs/>
          <w:szCs w:val="24"/>
        </w:rPr>
        <w:t>次要研究终点：</w:t>
      </w:r>
    </w:p>
    <w:p w14:paraId="718DA3C8">
      <w:pPr>
        <w:numPr>
          <w:ilvl w:val="0"/>
          <w:numId w:val="7"/>
        </w:numPr>
        <w:spacing w:line="360" w:lineRule="auto"/>
        <w:jc w:val="both"/>
        <w:rPr>
          <w:color w:val="000000"/>
        </w:rPr>
      </w:pPr>
      <w:r>
        <w:rPr>
          <w:rFonts w:hint="eastAsia"/>
          <w:color w:val="000000"/>
        </w:rPr>
        <w:t>其他诊断效能包括：</w:t>
      </w:r>
    </w:p>
    <w:p w14:paraId="4A4A3FAE">
      <w:pPr>
        <w:numPr>
          <w:ilvl w:val="0"/>
          <w:numId w:val="15"/>
        </w:numPr>
        <w:spacing w:line="360" w:lineRule="auto"/>
        <w:jc w:val="both"/>
        <w:rPr>
          <w:color w:val="000000"/>
        </w:rPr>
      </w:pPr>
      <w:r>
        <w:rPr>
          <w:color w:val="000000"/>
          <w:lang w:bidi="ar"/>
        </w:rPr>
        <w:t>以复合诊断标准为真实性标准，INR101</w:t>
      </w:r>
      <w:r>
        <w:rPr>
          <w:szCs w:val="22"/>
        </w:rPr>
        <w:t>注射液</w:t>
      </w:r>
      <w:r>
        <w:rPr>
          <w:color w:val="000000"/>
          <w:lang w:bidi="ar"/>
        </w:rPr>
        <w:t>PET/CT成像在受试者水平的正确检出率（CDR）、正确定位率（CLR）；</w:t>
      </w:r>
    </w:p>
    <w:p w14:paraId="1D79D3CC">
      <w:pPr>
        <w:numPr>
          <w:ilvl w:val="0"/>
          <w:numId w:val="15"/>
        </w:numPr>
        <w:spacing w:line="360" w:lineRule="auto"/>
        <w:jc w:val="both"/>
        <w:rPr>
          <w:color w:val="000000"/>
        </w:rPr>
      </w:pPr>
      <w:r>
        <w:rPr>
          <w:color w:val="000000"/>
          <w:lang w:bidi="ar"/>
        </w:rPr>
        <w:t>以复合诊断标准为真实性标准，INR101</w:t>
      </w:r>
      <w:r>
        <w:rPr>
          <w:szCs w:val="22"/>
        </w:rPr>
        <w:t>注射液</w:t>
      </w:r>
      <w:r>
        <w:rPr>
          <w:color w:val="000000"/>
          <w:lang w:bidi="ar"/>
        </w:rPr>
        <w:t>PET/CT成像在区域水平（前列腺、</w:t>
      </w:r>
      <w:r>
        <w:rPr>
          <w:rFonts w:hint="eastAsia"/>
          <w:color w:val="000000"/>
          <w:lang w:bidi="ar"/>
        </w:rPr>
        <w:t>盆腔</w:t>
      </w:r>
      <w:r>
        <w:rPr>
          <w:color w:val="000000"/>
          <w:lang w:bidi="ar"/>
        </w:rPr>
        <w:t>淋巴结、</w:t>
      </w:r>
      <w:r>
        <w:rPr>
          <w:rFonts w:hint="eastAsia"/>
          <w:color w:val="000000"/>
          <w:lang w:bidi="ar"/>
        </w:rPr>
        <w:t>盆腔外淋巴结、</w:t>
      </w:r>
      <w:r>
        <w:rPr>
          <w:color w:val="000000"/>
          <w:lang w:bidi="ar"/>
        </w:rPr>
        <w:t>内脏/软组织、骨）的阳性预测值（PPV）；</w:t>
      </w:r>
    </w:p>
    <w:p w14:paraId="65BF0DED">
      <w:pPr>
        <w:numPr>
          <w:ilvl w:val="0"/>
          <w:numId w:val="15"/>
        </w:numPr>
        <w:spacing w:line="360" w:lineRule="auto"/>
        <w:jc w:val="both"/>
        <w:rPr>
          <w:color w:val="000000"/>
        </w:rPr>
      </w:pPr>
      <w:r>
        <w:rPr>
          <w:color w:val="000000"/>
          <w:lang w:bidi="ar"/>
        </w:rPr>
        <w:t>在基线常规影像阴性组，INR101</w:t>
      </w:r>
      <w:r>
        <w:rPr>
          <w:szCs w:val="22"/>
        </w:rPr>
        <w:t>注射液</w:t>
      </w:r>
      <w:r>
        <w:rPr>
          <w:color w:val="000000"/>
          <w:lang w:bidi="ar"/>
        </w:rPr>
        <w:t>PET/CT成像在受试者水平的病灶检出率（DR）、正确检出率（CDR）及阳性预测值（PPV）；</w:t>
      </w:r>
    </w:p>
    <w:p w14:paraId="6D862E9D">
      <w:pPr>
        <w:numPr>
          <w:ilvl w:val="0"/>
          <w:numId w:val="15"/>
        </w:numPr>
        <w:spacing w:line="360" w:lineRule="auto"/>
        <w:jc w:val="both"/>
        <w:rPr>
          <w:color w:val="000000"/>
        </w:rPr>
      </w:pPr>
      <w:r>
        <w:rPr>
          <w:color w:val="000000"/>
          <w:lang w:bidi="ar"/>
        </w:rPr>
        <w:t>在不同基线 PSA 水平受试者中，INR101</w:t>
      </w:r>
      <w:r>
        <w:rPr>
          <w:szCs w:val="22"/>
        </w:rPr>
        <w:t>注射液</w:t>
      </w:r>
      <w:r>
        <w:rPr>
          <w:color w:val="000000"/>
          <w:lang w:bidi="ar"/>
        </w:rPr>
        <w:t>PET/CT成像在受试者水平的阳性预测值（PPV）；</w:t>
      </w:r>
    </w:p>
    <w:p w14:paraId="4FB71DFE">
      <w:pPr>
        <w:numPr>
          <w:ilvl w:val="0"/>
          <w:numId w:val="7"/>
        </w:numPr>
        <w:spacing w:line="360" w:lineRule="auto"/>
        <w:jc w:val="both"/>
        <w:rPr>
          <w:szCs w:val="24"/>
        </w:rPr>
      </w:pPr>
      <w:r>
        <w:rPr>
          <w:color w:val="000000"/>
          <w:lang w:bidi="ar"/>
        </w:rPr>
        <w:t>评估阅片人内和阅片人间对PET/CT图像阅片结果的一致性。</w:t>
      </w:r>
    </w:p>
    <w:p w14:paraId="3F0674E9">
      <w:pPr>
        <w:pStyle w:val="165"/>
        <w:ind w:firstLine="0" w:firstLineChars="0"/>
        <w:rPr>
          <w:rFonts w:cs="Times New Roman"/>
          <w:b/>
          <w:bCs/>
          <w:kern w:val="0"/>
          <w:szCs w:val="24"/>
        </w:rPr>
      </w:pPr>
      <w:r>
        <w:rPr>
          <w:rFonts w:cs="Times New Roman"/>
          <w:b/>
          <w:bCs/>
          <w:kern w:val="0"/>
          <w:szCs w:val="24"/>
        </w:rPr>
        <w:t>安全性终点：</w:t>
      </w:r>
    </w:p>
    <w:p w14:paraId="75BFEE1A">
      <w:pPr>
        <w:pStyle w:val="165"/>
        <w:numPr>
          <w:ilvl w:val="0"/>
          <w:numId w:val="7"/>
        </w:numPr>
        <w:ind w:left="0" w:firstLine="480"/>
        <w:rPr>
          <w:rFonts w:cs="Times New Roman"/>
          <w:szCs w:val="24"/>
        </w:rPr>
      </w:pPr>
      <w:r>
        <w:rPr>
          <w:rFonts w:cs="Times New Roman"/>
        </w:rPr>
        <w:t>安全性和耐受性，包括不良事件（AE）/严重不良事件（SAE）、生命体征、体格检查、实验室检查、12导联心电图。</w:t>
      </w:r>
    </w:p>
    <w:bookmarkEnd w:id="40"/>
    <w:bookmarkEnd w:id="41"/>
    <w:bookmarkEnd w:id="42"/>
    <w:bookmarkEnd w:id="43"/>
    <w:bookmarkEnd w:id="44"/>
    <w:bookmarkEnd w:id="45"/>
    <w:p w14:paraId="5F1E4505">
      <w:pPr>
        <w:pStyle w:val="2"/>
        <w:numPr>
          <w:ilvl w:val="0"/>
          <w:numId w:val="5"/>
        </w:numPr>
        <w:ind w:left="0" w:firstLine="0"/>
        <w:rPr>
          <w:rFonts w:ascii="Times New Roman" w:hAnsi="Times New Roman"/>
          <w:color w:val="auto"/>
          <w:szCs w:val="24"/>
        </w:rPr>
      </w:pPr>
      <w:bookmarkStart w:id="130" w:name="_Toc28574"/>
      <w:bookmarkStart w:id="131" w:name="_Toc23856"/>
      <w:bookmarkStart w:id="132" w:name="_Toc183522972"/>
      <w:bookmarkStart w:id="133" w:name="_Toc31249"/>
      <w:r>
        <w:rPr>
          <w:rFonts w:ascii="Times New Roman" w:hAnsi="Times New Roman"/>
          <w:color w:val="auto"/>
          <w:szCs w:val="24"/>
        </w:rPr>
        <w:t>试验设计</w:t>
      </w:r>
      <w:bookmarkEnd w:id="130"/>
      <w:bookmarkEnd w:id="131"/>
      <w:bookmarkEnd w:id="132"/>
      <w:bookmarkEnd w:id="133"/>
    </w:p>
    <w:p w14:paraId="274AA81C">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134" w:name="_Toc694"/>
      <w:bookmarkStart w:id="135" w:name="_Toc27523"/>
      <w:bookmarkStart w:id="136" w:name="_Toc5280"/>
      <w:bookmarkStart w:id="137" w:name="_Toc183522973"/>
      <w:r>
        <w:rPr>
          <w:rFonts w:ascii="Times New Roman" w:hAnsi="Times New Roman" w:eastAsia="宋体"/>
          <w:sz w:val="24"/>
          <w:szCs w:val="24"/>
          <w:lang w:val="zh-TW" w:eastAsia="zh-TW"/>
        </w:rPr>
        <w:t>试验设计描述</w:t>
      </w:r>
      <w:bookmarkEnd w:id="134"/>
      <w:bookmarkEnd w:id="135"/>
      <w:bookmarkEnd w:id="136"/>
      <w:bookmarkEnd w:id="137"/>
    </w:p>
    <w:p w14:paraId="76200519">
      <w:pPr>
        <w:spacing w:line="360" w:lineRule="auto"/>
        <w:ind w:firstLine="480" w:firstLineChars="200"/>
        <w:jc w:val="both"/>
      </w:pPr>
      <w:r>
        <w:t>本研究为前瞻性、多中心、开放性、单臂、非随机的Ⅲ期临床试验，旨在评价INR101</w:t>
      </w:r>
      <w:r>
        <w:rPr>
          <w:szCs w:val="24"/>
        </w:rPr>
        <w:t>注射液</w:t>
      </w:r>
      <w:r>
        <w:t>PET/CT成像在既往接受过前列腺癌根治性治疗后PS</w:t>
      </w:r>
      <w:r>
        <w:rPr>
          <w:rFonts w:hint="eastAsia"/>
        </w:rPr>
        <w:t>A</w:t>
      </w:r>
      <w:r>
        <w:t>升高疑似复发的受试者中的诊断有效性及安全性。</w:t>
      </w:r>
    </w:p>
    <w:p w14:paraId="4570827F">
      <w:pPr>
        <w:spacing w:line="360" w:lineRule="auto"/>
        <w:ind w:firstLine="480" w:firstLineChars="200"/>
        <w:jc w:val="both"/>
        <w:rPr>
          <w:b/>
          <w:bCs/>
        </w:rPr>
      </w:pPr>
      <w:r>
        <w:rPr>
          <w:b/>
          <w:bCs/>
        </w:rPr>
        <w:t>临床研究概述如下：</w:t>
      </w:r>
    </w:p>
    <w:p w14:paraId="084B2A11">
      <w:pPr>
        <w:pStyle w:val="165"/>
        <w:ind w:firstLine="480"/>
        <w:rPr>
          <w:rFonts w:cs="Times New Roman"/>
          <w:szCs w:val="24"/>
        </w:rPr>
      </w:pPr>
      <w:r>
        <w:rPr>
          <w:rFonts w:cs="Times New Roman"/>
        </w:rPr>
        <w:t>本研究计划在根治性前列腺切除术和/或根治性放射治疗后PSA升高怀疑复发的受试者中进行。所有符合入组条件的受试者均接受INR101注射液单次给药，给药剂量</w:t>
      </w:r>
      <w:r>
        <w:rPr>
          <w:rFonts w:hint="eastAsia" w:cs="Times New Roman"/>
          <w:szCs w:val="24"/>
        </w:rPr>
        <w:t>7mCi±15%</w:t>
      </w:r>
      <w:r>
        <w:rPr>
          <w:rFonts w:cs="Times New Roman"/>
        </w:rPr>
        <w:t>，成像时间为80~120</w:t>
      </w:r>
      <w:r>
        <w:rPr>
          <w:rFonts w:hint="eastAsia" w:cs="Times New Roman"/>
        </w:rPr>
        <w:t xml:space="preserve"> </w:t>
      </w:r>
      <w:r>
        <w:rPr>
          <w:rFonts w:cs="Times New Roman"/>
        </w:rPr>
        <w:t>min，</w:t>
      </w:r>
      <w:r>
        <w:rPr>
          <w:rFonts w:hint="eastAsia" w:cs="Times New Roman"/>
        </w:rPr>
        <w:t>成像</w:t>
      </w:r>
      <w:r>
        <w:rPr>
          <w:rFonts w:cs="Times New Roman"/>
        </w:rPr>
        <w:t>范围从大腿中部到头顶。</w:t>
      </w:r>
      <w:r>
        <w:rPr>
          <w:rFonts w:cs="Times New Roman"/>
          <w:szCs w:val="24"/>
        </w:rPr>
        <w:t>给药前</w:t>
      </w:r>
      <w:r>
        <w:rPr>
          <w:rFonts w:hint="eastAsia" w:cs="Times New Roman"/>
          <w:szCs w:val="24"/>
        </w:rPr>
        <w:t>1h内</w:t>
      </w:r>
      <w:r>
        <w:rPr>
          <w:rFonts w:cs="Times New Roman"/>
          <w:szCs w:val="24"/>
        </w:rPr>
        <w:t>进行生命体征检查。PET/CT</w:t>
      </w:r>
      <w:r>
        <w:rPr>
          <w:rFonts w:hint="eastAsia" w:cs="Times New Roman"/>
          <w:szCs w:val="24"/>
        </w:rPr>
        <w:t>成像</w:t>
      </w:r>
      <w:r>
        <w:rPr>
          <w:rFonts w:cs="Times New Roman"/>
          <w:szCs w:val="24"/>
        </w:rPr>
        <w:t>完成后</w:t>
      </w:r>
      <w:r>
        <w:rPr>
          <w:rFonts w:hint="eastAsia" w:cs="Times New Roman"/>
          <w:szCs w:val="24"/>
        </w:rPr>
        <w:t>1h内</w:t>
      </w:r>
      <w:r>
        <w:rPr>
          <w:rFonts w:cs="Times New Roman"/>
          <w:szCs w:val="24"/>
        </w:rPr>
        <w:t>进行生命体征检查。</w:t>
      </w:r>
    </w:p>
    <w:p w14:paraId="46997F2E">
      <w:pPr>
        <w:pStyle w:val="165"/>
        <w:ind w:firstLine="480"/>
        <w:rPr>
          <w:rFonts w:cs="Times New Roman"/>
        </w:rPr>
      </w:pPr>
      <w:r>
        <w:rPr>
          <w:rFonts w:cs="Times New Roman"/>
          <w:szCs w:val="24"/>
        </w:rPr>
        <w:t>安全性访视期</w:t>
      </w:r>
      <w:r>
        <w:rPr>
          <w:rFonts w:hint="eastAsia" w:cs="Times New Roman"/>
          <w:szCs w:val="24"/>
        </w:rPr>
        <w:t>（</w:t>
      </w:r>
      <w:r>
        <w:rPr>
          <w:rFonts w:cs="Times New Roman"/>
          <w:szCs w:val="24"/>
        </w:rPr>
        <w:t>D</w:t>
      </w:r>
      <w:r>
        <w:rPr>
          <w:rFonts w:hint="eastAsia" w:cs="Times New Roman"/>
          <w:szCs w:val="24"/>
        </w:rPr>
        <w:t>2</w:t>
      </w:r>
      <w:r>
        <w:rPr>
          <w:rFonts w:cs="Times New Roman"/>
          <w:szCs w:val="24"/>
        </w:rPr>
        <w:t>~7天</w:t>
      </w:r>
      <w:r>
        <w:rPr>
          <w:rFonts w:hint="eastAsia" w:cs="Times New Roman"/>
          <w:szCs w:val="24"/>
        </w:rPr>
        <w:t>）</w:t>
      </w:r>
      <w:r>
        <w:rPr>
          <w:rFonts w:cs="Times New Roman"/>
          <w:szCs w:val="24"/>
        </w:rPr>
        <w:t>所有受试者进行一次安全性访视，评估生命体征、体格检查、实验室检查和12导联心电图。</w:t>
      </w:r>
      <w:r>
        <w:rPr>
          <w:szCs w:val="24"/>
        </w:rPr>
        <w:t>收集不良事件并进行必要的复查，同时记录合并用药。</w:t>
      </w:r>
    </w:p>
    <w:p w14:paraId="09B0D99C">
      <w:pPr>
        <w:spacing w:line="360" w:lineRule="auto"/>
        <w:ind w:firstLine="480" w:firstLineChars="200"/>
        <w:jc w:val="both"/>
      </w:pPr>
      <w:r>
        <w:t>每位受试者的INR101</w:t>
      </w:r>
      <w:r>
        <w:rPr>
          <w:szCs w:val="24"/>
        </w:rPr>
        <w:t>注射液</w:t>
      </w:r>
      <w:r>
        <w:t>PET/CT</w:t>
      </w:r>
      <w:r>
        <w:rPr>
          <w:rFonts w:hint="eastAsia"/>
        </w:rPr>
        <w:t>成像</w:t>
      </w:r>
      <w:r>
        <w:t>图像将由2名阅片人分别对影像进行盲态独立阅片，当2名阅片人结论不一致时，增加第3名阅片人进行仲裁阅片（阅片过程中也处于盲态，并不得知晓前2名阅片人的结论）。</w:t>
      </w:r>
    </w:p>
    <w:p w14:paraId="6098FD9A">
      <w:pPr>
        <w:spacing w:line="360" w:lineRule="auto"/>
        <w:ind w:firstLine="480" w:firstLineChars="200"/>
        <w:jc w:val="both"/>
      </w:pPr>
      <w:r>
        <w:t>本研究采用复合诊断标准作为真实性标准，复合诊断标准的判读：如果能够取得</w:t>
      </w:r>
      <w:r>
        <w:rPr>
          <w:rFonts w:hint="eastAsia"/>
        </w:rPr>
        <w:t>病理诊断</w:t>
      </w:r>
      <w:r>
        <w:t>，以</w:t>
      </w:r>
      <w:r>
        <w:rPr>
          <w:rFonts w:hint="eastAsia"/>
        </w:rPr>
        <w:t>病理诊断</w:t>
      </w:r>
      <w:r>
        <w:t>为真实标准；如果无法获取</w:t>
      </w:r>
      <w:r>
        <w:rPr>
          <w:rFonts w:hint="eastAsia"/>
        </w:rPr>
        <w:t>病理诊断</w:t>
      </w:r>
      <w:r>
        <w:t>，依据受试者的病史、PSA水平变化及常规影像学检查结果进行综合判读。每位受试者的复合诊断标准的判读由</w:t>
      </w:r>
      <w:r>
        <w:rPr>
          <w:rFonts w:hint="eastAsia"/>
        </w:rPr>
        <w:t>2</w:t>
      </w:r>
      <w:r>
        <w:t>名阅片人进行盲态独立阅片</w:t>
      </w:r>
      <w:r>
        <w:rPr>
          <w:rFonts w:hint="eastAsia"/>
        </w:rPr>
        <w:t>，当2名阅片人结论不一致时，增加第3名阅片人进行仲裁阅片</w:t>
      </w:r>
      <w:r>
        <w:t>。</w:t>
      </w:r>
    </w:p>
    <w:p w14:paraId="6845E52B">
      <w:pPr>
        <w:pStyle w:val="4"/>
        <w:numPr>
          <w:ilvl w:val="1"/>
          <w:numId w:val="5"/>
        </w:numPr>
        <w:spacing w:before="0" w:after="0" w:line="360" w:lineRule="auto"/>
        <w:ind w:left="0" w:firstLine="0"/>
        <w:rPr>
          <w:rFonts w:ascii="Times New Roman" w:hAnsi="Times New Roman" w:eastAsia="宋体"/>
          <w:sz w:val="24"/>
          <w:szCs w:val="24"/>
          <w:lang w:val="zh-TW"/>
        </w:rPr>
      </w:pPr>
      <w:bookmarkStart w:id="138" w:name="_Toc136866760"/>
      <w:bookmarkEnd w:id="138"/>
      <w:bookmarkStart w:id="139" w:name="_Toc22194"/>
      <w:bookmarkStart w:id="140" w:name="_Toc7513"/>
      <w:bookmarkStart w:id="141" w:name="_Toc20612"/>
      <w:bookmarkStart w:id="142" w:name="_Toc183522974"/>
      <w:r>
        <w:rPr>
          <w:rFonts w:ascii="Times New Roman" w:hAnsi="Times New Roman" w:eastAsia="宋体"/>
          <w:sz w:val="24"/>
          <w:szCs w:val="24"/>
          <w:lang w:val="zh-TW"/>
        </w:rPr>
        <w:t>基于研究设计的主要估计目标框架</w:t>
      </w:r>
      <w:bookmarkEnd w:id="139"/>
      <w:bookmarkEnd w:id="140"/>
      <w:bookmarkEnd w:id="141"/>
      <w:bookmarkEnd w:id="142"/>
    </w:p>
    <w:p w14:paraId="5C7595DC">
      <w:pPr>
        <w:spacing w:line="360" w:lineRule="auto"/>
        <w:ind w:firstLine="480" w:firstLineChars="200"/>
        <w:jc w:val="both"/>
      </w:pPr>
      <w:r>
        <w:rPr>
          <w:b/>
          <w:bCs/>
        </w:rPr>
        <w:t>人群：</w:t>
      </w:r>
      <w:r>
        <w:t>既往接受过前列腺癌根治性治疗后PSA升高疑似复发的</w:t>
      </w:r>
      <w:r>
        <w:rPr>
          <w:rFonts w:hint="eastAsia"/>
        </w:rPr>
        <w:t>受试者</w:t>
      </w:r>
      <w:r>
        <w:t>；</w:t>
      </w:r>
    </w:p>
    <w:p w14:paraId="260300B3">
      <w:pPr>
        <w:spacing w:line="360" w:lineRule="auto"/>
        <w:ind w:firstLine="480" w:firstLineChars="200"/>
        <w:jc w:val="both"/>
      </w:pPr>
      <w:r>
        <w:rPr>
          <w:b/>
          <w:bCs/>
        </w:rPr>
        <w:t>干预</w:t>
      </w:r>
      <w:r>
        <w:t>：INR101注射液单次给药，剂量为</w:t>
      </w:r>
      <w:r>
        <w:rPr>
          <w:rFonts w:hint="eastAsia"/>
          <w:szCs w:val="24"/>
        </w:rPr>
        <w:t>7mCi±15%</w:t>
      </w:r>
      <w:r>
        <w:t>；</w:t>
      </w:r>
    </w:p>
    <w:p w14:paraId="5C3E9C75">
      <w:pPr>
        <w:spacing w:line="360" w:lineRule="auto"/>
        <w:ind w:firstLine="480" w:firstLineChars="200"/>
        <w:jc w:val="both"/>
      </w:pPr>
      <w:r>
        <w:rPr>
          <w:b/>
          <w:bCs/>
        </w:rPr>
        <w:t>终点</w:t>
      </w:r>
      <w:r>
        <w:t>：INR101注射液PET/CT成像对根治性治疗后疑似复发前列腺癌患者诊断的阳性预测值；</w:t>
      </w:r>
    </w:p>
    <w:p w14:paraId="69050EA4">
      <w:pPr>
        <w:spacing w:line="360" w:lineRule="auto"/>
        <w:ind w:firstLine="480" w:firstLineChars="200"/>
        <w:jc w:val="both"/>
      </w:pPr>
      <w:r>
        <w:rPr>
          <w:b/>
          <w:bCs/>
        </w:rPr>
        <w:t>伴发事件及处理策略</w:t>
      </w:r>
      <w:r>
        <w:t>：</w:t>
      </w:r>
    </w:p>
    <w:p w14:paraId="020F9721">
      <w:pPr>
        <w:spacing w:line="360" w:lineRule="auto"/>
        <w:ind w:firstLine="480" w:firstLineChars="200"/>
        <w:jc w:val="both"/>
      </w:pPr>
      <w:r>
        <w:t>（1）伴发事件1为因任何原因导致未获得INR101注射液PET/CT影像结果或INR101注射液PET/CT在根治性治疗后前列腺癌患者中未发现可疑病灶（即INR101注射液PET/CT成像为阴性），针对此伴发事件采用主层策略，主要估计目标分析针对INR101注射液PET/CT影像结果为阳性的患者进行；</w:t>
      </w:r>
    </w:p>
    <w:p w14:paraId="2B256F88">
      <w:pPr>
        <w:spacing w:line="360" w:lineRule="auto"/>
        <w:ind w:firstLine="480" w:firstLineChars="200"/>
        <w:jc w:val="both"/>
      </w:pPr>
      <w:r>
        <w:t>（2）伴发事件2为INR101注射液PET/CT影像结果为阳性但因任何原因导致最终未获得真实性标准的诊断结果，针对此伴发事件采用主层策略，主要估计目标分析时针对INR101注射液PET/CT影像结果为阳性且同时获得了真实性标准的患者进行。</w:t>
      </w:r>
    </w:p>
    <w:p w14:paraId="56348422">
      <w:pPr>
        <w:spacing w:line="360" w:lineRule="auto"/>
        <w:ind w:firstLine="480" w:firstLineChars="200"/>
        <w:jc w:val="both"/>
      </w:pPr>
      <w:r>
        <w:rPr>
          <w:b/>
          <w:bCs/>
        </w:rPr>
        <w:t>群体层面汇总</w:t>
      </w:r>
      <w:r>
        <w:t>：</w:t>
      </w:r>
    </w:p>
    <w:p w14:paraId="37BDE105">
      <w:pPr>
        <w:spacing w:line="360" w:lineRule="auto"/>
        <w:ind w:firstLine="480" w:firstLineChars="200"/>
        <w:jc w:val="both"/>
      </w:pPr>
      <w:r>
        <w:t>INR101注射液PET/CT成像对根治性治疗后前列腺癌患者疑似复发的阳性预测准确性。</w:t>
      </w:r>
    </w:p>
    <w:p w14:paraId="0A6E6066">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143" w:name="_Toc183522975"/>
      <w:bookmarkStart w:id="144" w:name="_Toc32129"/>
      <w:bookmarkStart w:id="145" w:name="_Toc20652"/>
      <w:bookmarkStart w:id="146" w:name="_Toc29994"/>
      <w:r>
        <w:rPr>
          <w:rFonts w:ascii="Times New Roman" w:hAnsi="Times New Roman" w:eastAsia="宋体"/>
          <w:sz w:val="24"/>
          <w:szCs w:val="24"/>
          <w:lang w:val="zh-TW" w:eastAsia="zh-TW"/>
        </w:rPr>
        <w:t>试验设计的选择依据</w:t>
      </w:r>
      <w:bookmarkEnd w:id="143"/>
      <w:bookmarkEnd w:id="144"/>
      <w:bookmarkEnd w:id="145"/>
      <w:bookmarkEnd w:id="146"/>
    </w:p>
    <w:p w14:paraId="4774EBE4">
      <w:pPr>
        <w:pStyle w:val="5"/>
        <w:numPr>
          <w:ilvl w:val="2"/>
          <w:numId w:val="16"/>
        </w:numPr>
        <w:spacing w:before="0" w:after="0" w:line="360" w:lineRule="auto"/>
        <w:ind w:left="0" w:firstLine="0"/>
        <w:jc w:val="both"/>
        <w:rPr>
          <w:sz w:val="24"/>
          <w:szCs w:val="24"/>
          <w:lang w:val="zh-TW" w:eastAsia="zh-TW"/>
        </w:rPr>
      </w:pPr>
      <w:bookmarkStart w:id="147" w:name="_Toc26174"/>
      <w:bookmarkStart w:id="148" w:name="_Toc307"/>
      <w:bookmarkStart w:id="149" w:name="_Toc183522976"/>
      <w:bookmarkStart w:id="150" w:name="_Toc25959"/>
      <w:bookmarkStart w:id="151" w:name="_Ref129778947"/>
      <w:r>
        <w:rPr>
          <w:sz w:val="24"/>
          <w:szCs w:val="24"/>
          <w:lang w:val="zh-TW" w:eastAsia="zh-TW"/>
        </w:rPr>
        <w:t>总体考虑</w:t>
      </w:r>
      <w:bookmarkEnd w:id="147"/>
      <w:bookmarkEnd w:id="148"/>
      <w:bookmarkEnd w:id="149"/>
      <w:bookmarkEnd w:id="150"/>
    </w:p>
    <w:p w14:paraId="6B8A6490">
      <w:pPr>
        <w:adjustRightInd w:val="0"/>
        <w:spacing w:line="360" w:lineRule="auto"/>
        <w:ind w:firstLine="480" w:firstLineChars="200"/>
        <w:jc w:val="both"/>
        <w:rPr>
          <w:color w:val="000000"/>
        </w:rPr>
      </w:pPr>
      <w:r>
        <w:rPr>
          <w:color w:val="000000"/>
          <w:kern w:val="0"/>
          <w:szCs w:val="24"/>
          <w:lang w:bidi="ar"/>
        </w:rPr>
        <w:t>INR101注射液Ⅰ/Ⅱa期临床试验如下均已完成。</w:t>
      </w:r>
    </w:p>
    <w:p w14:paraId="3740E73E">
      <w:pPr>
        <w:pStyle w:val="37"/>
        <w:numPr>
          <w:ilvl w:val="0"/>
          <w:numId w:val="17"/>
        </w:numPr>
        <w:adjustRightInd w:val="0"/>
        <w:spacing w:before="0" w:beforeAutospacing="0" w:after="0" w:afterAutospacing="0" w:line="360" w:lineRule="auto"/>
        <w:jc w:val="both"/>
        <w:rPr>
          <w:rFonts w:ascii="Times New Roman" w:hAnsi="Times New Roman"/>
        </w:rPr>
      </w:pPr>
      <w:r>
        <w:rPr>
          <w:rFonts w:ascii="Times New Roman" w:hAnsi="Times New Roman"/>
          <w:kern w:val="0"/>
          <w:sz w:val="24"/>
          <w:szCs w:val="24"/>
          <w:lang w:bidi="ar"/>
        </w:rPr>
        <w:t>Ⅰ期研究，评价INR101注射液在男性健康受试者体内的生物分布、辐射剂量学及药代动力学（PK）特征及安全性</w:t>
      </w:r>
    </w:p>
    <w:p w14:paraId="4FF403F9">
      <w:pPr>
        <w:pStyle w:val="37"/>
        <w:numPr>
          <w:ilvl w:val="0"/>
          <w:numId w:val="17"/>
        </w:numPr>
        <w:adjustRightInd w:val="0"/>
        <w:spacing w:before="0" w:beforeAutospacing="0" w:after="0" w:afterAutospacing="0" w:line="360" w:lineRule="auto"/>
        <w:jc w:val="both"/>
        <w:rPr>
          <w:rFonts w:ascii="Times New Roman" w:hAnsi="Times New Roman"/>
        </w:rPr>
      </w:pPr>
      <w:r>
        <w:rPr>
          <w:rFonts w:ascii="Times New Roman" w:hAnsi="Times New Roman"/>
          <w:kern w:val="0"/>
          <w:sz w:val="24"/>
          <w:szCs w:val="24"/>
          <w:lang w:bidi="ar"/>
        </w:rPr>
        <w:t>Ⅱa期研究，评价INR101注射液在不同剂量和成像时间对可疑前列腺癌的诊断效能、确定最佳成像条件和评价安全性</w:t>
      </w:r>
    </w:p>
    <w:p w14:paraId="5F49481D">
      <w:pPr>
        <w:adjustRightInd w:val="0"/>
        <w:spacing w:line="360" w:lineRule="auto"/>
        <w:ind w:left="200" w:firstLine="220"/>
        <w:jc w:val="both"/>
        <w:rPr>
          <w:color w:val="000000" w:themeColor="text1"/>
          <w:highlight w:val="yellow"/>
          <w14:textFill>
            <w14:solidFill>
              <w14:schemeClr w14:val="tx1"/>
            </w14:solidFill>
          </w14:textFill>
        </w:rPr>
      </w:pPr>
      <w:r>
        <w:rPr>
          <w:color w:val="000000"/>
          <w:kern w:val="0"/>
          <w:szCs w:val="24"/>
          <w:lang w:bidi="ar"/>
        </w:rPr>
        <w:t>参考CDE发布的《放射性体内诊断药物临床评价技术指导原则（2020年10月）》，后文简称《放诊药物指导原则》。本Ⅲ期研究，</w:t>
      </w:r>
      <w:r>
        <w:t>旨在评价INR101 PET/CT成像在既往接受过前列腺癌根治性治疗后PAS升高疑似复发的受试者中的诊断有效性及安全性。</w:t>
      </w:r>
    </w:p>
    <w:p w14:paraId="19606684">
      <w:pPr>
        <w:pStyle w:val="5"/>
        <w:numPr>
          <w:ilvl w:val="2"/>
          <w:numId w:val="16"/>
        </w:numPr>
        <w:spacing w:before="0" w:after="0" w:line="360" w:lineRule="auto"/>
        <w:ind w:left="0" w:firstLine="0"/>
        <w:jc w:val="both"/>
        <w:rPr>
          <w:sz w:val="24"/>
          <w:szCs w:val="24"/>
          <w:lang w:val="zh-TW" w:eastAsia="zh-TW"/>
        </w:rPr>
      </w:pPr>
      <w:bookmarkStart w:id="152" w:name="_Toc183522977"/>
      <w:bookmarkStart w:id="153" w:name="_Toc5517"/>
      <w:bookmarkStart w:id="154" w:name="_Toc6747"/>
      <w:bookmarkStart w:id="155" w:name="_Toc14892"/>
      <w:r>
        <w:rPr>
          <w:sz w:val="24"/>
          <w:szCs w:val="24"/>
          <w:lang w:val="zh-TW" w:eastAsia="zh-TW"/>
        </w:rPr>
        <w:t>试验周期</w:t>
      </w:r>
      <w:bookmarkEnd w:id="152"/>
      <w:bookmarkEnd w:id="153"/>
      <w:bookmarkEnd w:id="154"/>
      <w:bookmarkEnd w:id="155"/>
    </w:p>
    <w:p w14:paraId="22499199">
      <w:pPr>
        <w:spacing w:line="360" w:lineRule="auto"/>
        <w:ind w:firstLine="480" w:firstLineChars="200"/>
        <w:jc w:val="both"/>
        <w:rPr>
          <w:lang w:val="zh-TW"/>
        </w:rPr>
      </w:pPr>
      <w:r>
        <w:rPr>
          <w:color w:val="000000"/>
          <w:kern w:val="0"/>
          <w:szCs w:val="24"/>
          <w:lang w:bidi="ar"/>
        </w:rPr>
        <w:t>《放诊药物指导原则》中提示：</w:t>
      </w:r>
    </w:p>
    <w:p w14:paraId="7B636488">
      <w:pPr>
        <w:pStyle w:val="37"/>
        <w:numPr>
          <w:ilvl w:val="0"/>
          <w:numId w:val="18"/>
        </w:numPr>
        <w:spacing w:before="0" w:beforeAutospacing="0" w:after="0" w:afterAutospacing="0" w:line="360" w:lineRule="auto"/>
        <w:jc w:val="both"/>
        <w:rPr>
          <w:rFonts w:ascii="Times New Roman" w:hAnsi="Times New Roman"/>
        </w:rPr>
      </w:pPr>
      <w:r>
        <w:rPr>
          <w:rFonts w:ascii="Times New Roman" w:hAnsi="Times New Roman"/>
          <w:kern w:val="0"/>
          <w:sz w:val="24"/>
          <w:szCs w:val="24"/>
          <w:lang w:bidi="ar"/>
        </w:rPr>
        <w:t>I期研究的目的是获取候选药物单次、剂量递增给药的药代动力学数据，并进行人体安全性的初步评估。I期研究选择男性健康受试者单次给药，此阶段临床试验已完成。</w:t>
      </w:r>
    </w:p>
    <w:p w14:paraId="2F14C053">
      <w:pPr>
        <w:pStyle w:val="37"/>
        <w:numPr>
          <w:ilvl w:val="0"/>
          <w:numId w:val="18"/>
        </w:numPr>
        <w:spacing w:line="360" w:lineRule="auto"/>
        <w:jc w:val="both"/>
        <w:rPr>
          <w:rFonts w:ascii="Times New Roman" w:hAnsi="Times New Roman"/>
          <w:lang w:val="zh-TW"/>
        </w:rPr>
      </w:pPr>
      <w:r>
        <w:rPr>
          <w:rFonts w:ascii="Times New Roman" w:hAnsi="Times New Roman"/>
          <w:kern w:val="0"/>
          <w:sz w:val="24"/>
          <w:szCs w:val="24"/>
          <w:lang w:bidi="ar"/>
        </w:rPr>
        <w:t>Ⅱ期临床试验是为建立和优化拟开发的放诊药物的技术方案并作出初步评价、进一步累积药代动力学、药效学和安全性数据。Ⅱa期研究是以可疑前列腺癌患者为受试者的诊断性临床试验，试验用药品为单次给药，此阶段临床试验已完成。</w:t>
      </w:r>
    </w:p>
    <w:p w14:paraId="4A230100">
      <w:pPr>
        <w:pStyle w:val="37"/>
        <w:numPr>
          <w:ilvl w:val="0"/>
          <w:numId w:val="18"/>
        </w:numPr>
        <w:spacing w:line="360" w:lineRule="auto"/>
        <w:jc w:val="both"/>
        <w:rPr>
          <w:rFonts w:ascii="Times New Roman" w:hAnsi="Times New Roman"/>
          <w:sz w:val="24"/>
          <w:szCs w:val="24"/>
          <w:lang w:val="zh-TW"/>
        </w:rPr>
      </w:pPr>
      <w:r>
        <w:rPr>
          <w:rFonts w:ascii="Times New Roman" w:hAnsi="Times New Roman"/>
          <w:kern w:val="0"/>
          <w:sz w:val="24"/>
          <w:szCs w:val="24"/>
          <w:lang w:bidi="ar"/>
        </w:rPr>
        <w:t>Ⅲ期临床试验目的是确证早期研究中所建立的放诊药物成像方法和影像评估标准用于支持目标人群诊断的效能和安全性。本研究Ⅲ期是以复合诊断标准为真实性标准，评价INR101</w:t>
      </w:r>
      <w:r>
        <w:rPr>
          <w:rFonts w:ascii="Times New Roman" w:hAnsi="Times New Roman"/>
        </w:rPr>
        <w:t>注射液</w:t>
      </w:r>
      <w:r>
        <w:rPr>
          <w:rFonts w:ascii="Times New Roman" w:hAnsi="Times New Roman"/>
          <w:kern w:val="0"/>
          <w:sz w:val="24"/>
          <w:szCs w:val="24"/>
          <w:lang w:bidi="ar"/>
        </w:rPr>
        <w:t>PET/CT对前列腺癌根治治疗后疑似复发的受试者的诊断有效性，试验用药品为单次给药</w:t>
      </w:r>
      <w:bookmarkStart w:id="156" w:name="_Ref150868903"/>
      <w:r>
        <w:rPr>
          <w:rFonts w:ascii="Times New Roman" w:hAnsi="Times New Roman"/>
          <w:sz w:val="24"/>
          <w:szCs w:val="24"/>
        </w:rPr>
        <w:t>。</w:t>
      </w:r>
    </w:p>
    <w:p w14:paraId="3BEA3677">
      <w:pPr>
        <w:pStyle w:val="5"/>
        <w:numPr>
          <w:ilvl w:val="2"/>
          <w:numId w:val="16"/>
        </w:numPr>
        <w:spacing w:before="0" w:after="0" w:line="360" w:lineRule="auto"/>
        <w:ind w:left="0" w:firstLine="0"/>
        <w:jc w:val="both"/>
        <w:rPr>
          <w:sz w:val="24"/>
          <w:szCs w:val="24"/>
          <w:lang w:val="zh-TW"/>
        </w:rPr>
      </w:pPr>
      <w:bookmarkStart w:id="157" w:name="_Ref180581933"/>
      <w:bookmarkStart w:id="158" w:name="_Toc21799"/>
      <w:bookmarkStart w:id="159" w:name="_Toc32196"/>
      <w:bookmarkStart w:id="160" w:name="_Toc28740"/>
      <w:bookmarkStart w:id="161" w:name="_Ref180581931"/>
      <w:bookmarkStart w:id="162" w:name="_Toc183522978"/>
      <w:r>
        <w:rPr>
          <w:sz w:val="24"/>
          <w:szCs w:val="24"/>
          <w:lang w:val="zh-TW"/>
        </w:rPr>
        <w:t>剂量</w:t>
      </w:r>
      <w:r>
        <w:rPr>
          <w:rFonts w:hint="eastAsia"/>
          <w:sz w:val="24"/>
          <w:szCs w:val="24"/>
        </w:rPr>
        <w:t>及成像时间</w:t>
      </w:r>
      <w:r>
        <w:rPr>
          <w:sz w:val="24"/>
          <w:szCs w:val="24"/>
          <w:lang w:val="zh-TW"/>
        </w:rPr>
        <w:t>的选择依据</w:t>
      </w:r>
      <w:bookmarkEnd w:id="151"/>
      <w:bookmarkEnd w:id="156"/>
      <w:bookmarkEnd w:id="157"/>
      <w:bookmarkEnd w:id="158"/>
      <w:bookmarkEnd w:id="159"/>
      <w:bookmarkEnd w:id="160"/>
      <w:bookmarkEnd w:id="161"/>
      <w:bookmarkEnd w:id="162"/>
    </w:p>
    <w:p w14:paraId="2338486D">
      <w:pPr>
        <w:spacing w:line="360" w:lineRule="auto"/>
        <w:ind w:firstLine="420"/>
        <w:rPr>
          <w:color w:val="000000" w:themeColor="text1"/>
          <w14:textFill>
            <w14:solidFill>
              <w14:schemeClr w14:val="tx1"/>
            </w14:solidFill>
          </w14:textFill>
        </w:rPr>
      </w:pPr>
      <w:r>
        <w:rPr>
          <w:color w:val="000000"/>
          <w:kern w:val="0"/>
          <w:szCs w:val="24"/>
          <w:lang w:bidi="ar"/>
        </w:rPr>
        <w:t>INR101注射液Ⅱa期研究已经完成，其主要目的是根据INR101注射液PET/CT在不同剂量和成像时间的诊断效能，确定最佳成像条件。Ⅱa期研究设置了最高剂量组（9±1 mCi）和低剂量组（7±1 mCi），每个剂量组均在给药后接受2个时间</w:t>
      </w:r>
      <w:r>
        <w:rPr>
          <w:rFonts w:hint="eastAsia"/>
          <w:color w:val="000000"/>
          <w:kern w:val="0"/>
          <w:szCs w:val="24"/>
          <w:lang w:bidi="ar"/>
        </w:rPr>
        <w:t>段</w:t>
      </w:r>
      <w:r>
        <w:rPr>
          <w:color w:val="000000"/>
          <w:kern w:val="0"/>
          <w:szCs w:val="24"/>
          <w:lang w:bidi="ar"/>
        </w:rPr>
        <w:t>（80±10 min，120±10 min）</w:t>
      </w:r>
      <w:r>
        <w:rPr>
          <w:rFonts w:hint="eastAsia"/>
          <w:color w:val="000000"/>
          <w:kern w:val="0"/>
          <w:szCs w:val="24"/>
          <w:lang w:bidi="ar"/>
        </w:rPr>
        <w:t>接受</w:t>
      </w:r>
      <w:r>
        <w:rPr>
          <w:color w:val="000000"/>
          <w:kern w:val="0"/>
          <w:szCs w:val="24"/>
          <w:lang w:bidi="ar"/>
        </w:rPr>
        <w:t>PET/CT成像。</w:t>
      </w:r>
      <w:r>
        <w:rPr>
          <w:color w:val="000000"/>
        </w:rPr>
        <w:t>试验结果显示：INR101</w:t>
      </w:r>
      <w:r>
        <w:rPr>
          <w:rFonts w:hint="eastAsia"/>
          <w:color w:val="000000"/>
        </w:rPr>
        <w:t>注射液</w:t>
      </w:r>
      <w:r>
        <w:rPr>
          <w:rFonts w:hint="eastAsia"/>
          <w:color w:val="000000" w:themeColor="text1"/>
          <w14:textFill>
            <w14:solidFill>
              <w14:schemeClr w14:val="tx1"/>
            </w14:solidFill>
          </w14:textFill>
        </w:rPr>
        <w:t>在肿瘤病灶摄取值、靶本比、诊断效能、全身有效剂量方面，均未见高剂量组显著优于低剂量组，根据《放射性体内诊断药物临床评价技术指导原则》要求“推荐剂量应为满足成像条件所需的最小放射性剂量”，“确定在不显著降低成像性能的情况下可以给予受试者的最低剂量”，本品拟采用低剂量开展后续研究，即</w:t>
      </w:r>
      <w:r>
        <w:rPr>
          <w:color w:val="000000" w:themeColor="text1"/>
          <w14:textFill>
            <w14:solidFill>
              <w14:schemeClr w14:val="tx1"/>
            </w14:solidFill>
          </w14:textFill>
        </w:rPr>
        <w:t>Ⅲ</w:t>
      </w:r>
      <w:r>
        <w:rPr>
          <w:rFonts w:hint="eastAsia"/>
          <w:color w:val="000000" w:themeColor="text1"/>
          <w14:textFill>
            <w14:solidFill>
              <w14:schemeClr w14:val="tx1"/>
            </w14:solidFill>
          </w14:textFill>
        </w:rPr>
        <w:t>期研究推荐剂量为</w:t>
      </w:r>
      <w:r>
        <w:rPr>
          <w:rFonts w:hint="eastAsia"/>
          <w:szCs w:val="24"/>
        </w:rPr>
        <w:t>7mCi±15%（1mCi）</w:t>
      </w:r>
      <w:r>
        <w:rPr>
          <w:rFonts w:hint="eastAsia"/>
          <w:color w:val="000000" w:themeColor="text1"/>
          <w14:textFill>
            <w14:solidFill>
              <w14:schemeClr w14:val="tx1"/>
            </w14:solidFill>
          </w14:textFill>
        </w:rPr>
        <w:t>。在两剂量组中，给药后</w:t>
      </w:r>
      <w:r>
        <w:rPr>
          <w:color w:val="000000" w:themeColor="text1"/>
          <w14:textFill>
            <w14:solidFill>
              <w14:schemeClr w14:val="tx1"/>
            </w14:solidFill>
          </w14:textFill>
        </w:rPr>
        <w:t>80±10 min</w:t>
      </w:r>
      <w:r>
        <w:rPr>
          <w:rFonts w:hint="eastAsia"/>
          <w:color w:val="000000" w:themeColor="text1"/>
          <w14:textFill>
            <w14:solidFill>
              <w14:schemeClr w14:val="tx1"/>
            </w14:solidFill>
          </w14:textFill>
        </w:rPr>
        <w:t>和</w:t>
      </w:r>
      <w:r>
        <w:rPr>
          <w:color w:val="000000" w:themeColor="text1"/>
          <w14:textFill>
            <w14:solidFill>
              <w14:schemeClr w14:val="tx1"/>
            </w14:solidFill>
          </w14:textFill>
        </w:rPr>
        <w:t>120±10 min</w:t>
      </w:r>
      <w:r>
        <w:rPr>
          <w:rFonts w:hint="eastAsia"/>
          <w:color w:val="000000" w:themeColor="text1"/>
          <w14:textFill>
            <w14:solidFill>
              <w14:schemeClr w14:val="tx1"/>
            </w14:solidFill>
          </w14:textFill>
        </w:rPr>
        <w:t>时，诊断效能指标、约登指数、</w:t>
      </w:r>
      <w:r>
        <w:rPr>
          <w:color w:val="000000" w:themeColor="text1"/>
          <w14:textFill>
            <w14:solidFill>
              <w14:schemeClr w14:val="tx1"/>
            </w14:solidFill>
          </w14:textFill>
        </w:rPr>
        <w:t>kappa</w:t>
      </w:r>
      <w:r>
        <w:rPr>
          <w:rFonts w:hint="eastAsia"/>
          <w:color w:val="000000" w:themeColor="text1"/>
          <w14:textFill>
            <w14:solidFill>
              <w14:schemeClr w14:val="tx1"/>
            </w14:solidFill>
          </w14:textFill>
        </w:rPr>
        <w:t>值的结果均相同。</w:t>
      </w:r>
      <w:r>
        <w:rPr>
          <w:rFonts w:hint="eastAsia"/>
        </w:rPr>
        <w:t>虽然注射后</w:t>
      </w:r>
      <w:r>
        <w:t>80 min</w:t>
      </w:r>
      <w:r>
        <w:rPr>
          <w:rFonts w:hint="eastAsia"/>
        </w:rPr>
        <w:t>成像时肿瘤病灶的摄取值、靶本比略低于</w:t>
      </w:r>
      <w:r>
        <w:t>120 min</w:t>
      </w:r>
      <w:r>
        <w:rPr>
          <w:rFonts w:hint="eastAsia"/>
        </w:rPr>
        <w:t>，但不影响诊断效能结果，同步考虑受试者依从性因素，</w:t>
      </w:r>
      <w:r>
        <w:t>Ⅲ</w:t>
      </w:r>
      <w:r>
        <w:rPr>
          <w:rFonts w:hint="eastAsia"/>
        </w:rPr>
        <w:t>期研究推荐成像时间为给药后</w:t>
      </w:r>
      <w:r>
        <w:t>80~120 min</w:t>
      </w:r>
      <w:r>
        <w:rPr>
          <w:rFonts w:hint="eastAsia"/>
        </w:rPr>
        <w:t>。</w:t>
      </w:r>
    </w:p>
    <w:p w14:paraId="413F453B">
      <w:pPr>
        <w:pStyle w:val="5"/>
        <w:numPr>
          <w:ilvl w:val="2"/>
          <w:numId w:val="16"/>
        </w:numPr>
        <w:spacing w:before="0" w:after="0" w:line="360" w:lineRule="auto"/>
        <w:ind w:left="0" w:firstLine="0"/>
        <w:jc w:val="both"/>
        <w:rPr>
          <w:sz w:val="24"/>
          <w:szCs w:val="24"/>
          <w:lang w:val="zh-TW" w:eastAsia="zh-TW"/>
        </w:rPr>
      </w:pPr>
      <w:bookmarkStart w:id="163" w:name="_Toc30561"/>
      <w:bookmarkStart w:id="164" w:name="_Toc183522979"/>
      <w:bookmarkStart w:id="165" w:name="_Toc6091"/>
      <w:bookmarkStart w:id="166" w:name="_Toc15383"/>
      <w:r>
        <w:rPr>
          <w:sz w:val="24"/>
          <w:szCs w:val="24"/>
          <w:lang w:val="zh-TW" w:eastAsia="zh-TW"/>
        </w:rPr>
        <w:t>真实性标准的选择依据</w:t>
      </w:r>
      <w:bookmarkEnd w:id="163"/>
      <w:bookmarkEnd w:id="164"/>
      <w:bookmarkEnd w:id="165"/>
      <w:bookmarkEnd w:id="166"/>
    </w:p>
    <w:p w14:paraId="334FB4C9">
      <w:pPr>
        <w:spacing w:line="360" w:lineRule="auto"/>
        <w:ind w:firstLine="480" w:firstLineChars="200"/>
        <w:jc w:val="both"/>
      </w:pPr>
      <w:r>
        <w:rPr>
          <w:color w:val="000000" w:themeColor="text1"/>
          <w14:textFill>
            <w14:solidFill>
              <w14:schemeClr w14:val="tx1"/>
            </w14:solidFill>
          </w14:textFill>
        </w:rPr>
        <w:t>《放诊药物指导原则》中规定“应尽可能使用真实标准确定试验用药品的有效性和可靠性。在无公认的真实标准或真实标准在研究中不具有实际操作性时，可以考虑采用替代真实标准（例如多项检查的合理组合、临床数据、临床随访）或以临床结局作为终点”。</w:t>
      </w:r>
      <w:r>
        <w:t>本试验的研究人群是既往接受过前列腺癌根治性治疗后PSA升高疑似复发的受试者</w:t>
      </w:r>
      <w:r>
        <w:rPr>
          <w:rFonts w:hint="eastAsia"/>
        </w:rPr>
        <w:t>。</w:t>
      </w:r>
      <w:r>
        <w:t>前列腺癌诊疗指南（CSCO 2023）指南建议：前列腺癌根治术后生化复发，早期行放疗可给予患者治愈机会。对PSA从检测不到的范围开始连续出现两次PSA上升的患者，应尽早提供挽救性放疗（SRT），不以影像学检查发现局部病灶为前提，推迟放疗将损失瘤控。</w:t>
      </w:r>
      <w:r>
        <w:rPr>
          <w:rFonts w:hint="eastAsia"/>
        </w:rPr>
        <w:t>在临床中</w:t>
      </w:r>
      <w:r>
        <w:t>这部分人群通过病理检查确诊复发/转移的可能性很小</w:t>
      </w:r>
      <w:r>
        <w:rPr>
          <w:rFonts w:hint="eastAsia"/>
        </w:rPr>
        <w:t>。</w:t>
      </w:r>
      <w:r>
        <w:t>前列腺特异性抗原（PSA）是前列腺癌诊断，分期以及疗效评价的重要指标。PSA动力学指标是预测前列腺癌疾病进展的有力工具，有助于第一时间为治疗方案调整提供信号，提前指导前列腺癌最佳治疗决策。</w:t>
      </w:r>
      <w:r>
        <w:rPr>
          <w:rFonts w:hint="eastAsia"/>
        </w:rPr>
        <w:t>因此，</w:t>
      </w:r>
      <w:r>
        <w:rPr>
          <w:color w:val="000000" w:themeColor="text1"/>
          <w14:textFill>
            <w14:solidFill>
              <w14:schemeClr w14:val="tx1"/>
            </w14:solidFill>
          </w14:textFill>
        </w:rPr>
        <w:t>本研究Ⅲ期</w:t>
      </w:r>
      <w:r>
        <w:t>依据复合诊断标准作为真实性标准（SoT，Standard of Truth）</w:t>
      </w:r>
      <w:r>
        <w:rPr>
          <w:rFonts w:hint="eastAsia"/>
        </w:rPr>
        <w:t>。</w:t>
      </w:r>
      <w:r>
        <w:t>复合诊断标准的判读：如果能够取得</w:t>
      </w:r>
      <w:r>
        <w:rPr>
          <w:rFonts w:hint="eastAsia"/>
        </w:rPr>
        <w:t>病理诊断</w:t>
      </w:r>
      <w:r>
        <w:t>，以</w:t>
      </w:r>
      <w:r>
        <w:rPr>
          <w:rFonts w:hint="eastAsia"/>
        </w:rPr>
        <w:t>病理诊断</w:t>
      </w:r>
      <w:r>
        <w:t>为真实标准；如果无法获取</w:t>
      </w:r>
      <w:r>
        <w:rPr>
          <w:rFonts w:hint="eastAsia"/>
        </w:rPr>
        <w:t>病理诊断</w:t>
      </w:r>
      <w:r>
        <w:t>，依据受试者的病史、PSA水平变化及常规影像学检查结果进行综合判读</w:t>
      </w:r>
      <w:r>
        <w:rPr>
          <w:color w:val="000000" w:themeColor="text1"/>
          <w14:textFill>
            <w14:solidFill>
              <w14:schemeClr w14:val="tx1"/>
            </w14:solidFill>
          </w14:textFill>
        </w:rPr>
        <w:t>。</w:t>
      </w:r>
    </w:p>
    <w:p w14:paraId="13D76062">
      <w:pPr>
        <w:pStyle w:val="5"/>
        <w:numPr>
          <w:ilvl w:val="2"/>
          <w:numId w:val="16"/>
        </w:numPr>
        <w:spacing w:before="0" w:after="0" w:line="360" w:lineRule="auto"/>
        <w:ind w:left="0" w:firstLine="0"/>
        <w:jc w:val="both"/>
        <w:rPr>
          <w:sz w:val="24"/>
          <w:szCs w:val="24"/>
          <w:lang w:val="zh-TW" w:eastAsia="zh-TW"/>
        </w:rPr>
      </w:pPr>
      <w:bookmarkStart w:id="167" w:name="_Toc529967799"/>
      <w:bookmarkEnd w:id="167"/>
      <w:bookmarkStart w:id="168" w:name="_受试者例数的选择依据"/>
      <w:bookmarkEnd w:id="168"/>
      <w:bookmarkStart w:id="169" w:name="_Toc531356511"/>
      <w:bookmarkEnd w:id="169"/>
      <w:bookmarkStart w:id="170" w:name="_Toc529967805"/>
      <w:bookmarkEnd w:id="170"/>
      <w:bookmarkStart w:id="171" w:name="_Toc531356510"/>
      <w:bookmarkEnd w:id="171"/>
      <w:bookmarkStart w:id="172" w:name="_Toc106375071"/>
      <w:bookmarkStart w:id="173" w:name="_Toc19847"/>
      <w:bookmarkStart w:id="174" w:name="_Ref180582148"/>
      <w:bookmarkStart w:id="175" w:name="_Toc183522980"/>
      <w:bookmarkStart w:id="176" w:name="_Toc11371"/>
      <w:bookmarkStart w:id="177" w:name="_Ref130896546"/>
      <w:bookmarkStart w:id="178" w:name="_Toc19837"/>
      <w:bookmarkStart w:id="179" w:name="_Toc491423787"/>
      <w:r>
        <w:rPr>
          <w:sz w:val="24"/>
          <w:szCs w:val="24"/>
          <w:lang w:val="zh-TW" w:eastAsia="zh-TW"/>
        </w:rPr>
        <w:t>受试者例数</w:t>
      </w:r>
      <w:bookmarkEnd w:id="172"/>
      <w:r>
        <w:rPr>
          <w:sz w:val="24"/>
          <w:szCs w:val="24"/>
          <w:lang w:val="zh-TW" w:eastAsia="zh-TW"/>
        </w:rPr>
        <w:t>的选择依据</w:t>
      </w:r>
      <w:bookmarkEnd w:id="173"/>
      <w:bookmarkEnd w:id="174"/>
      <w:bookmarkEnd w:id="175"/>
      <w:bookmarkEnd w:id="176"/>
      <w:bookmarkEnd w:id="177"/>
      <w:bookmarkEnd w:id="178"/>
    </w:p>
    <w:p w14:paraId="48994F84">
      <w:pPr>
        <w:pStyle w:val="3"/>
        <w:tabs>
          <w:tab w:val="left" w:pos="0"/>
          <w:tab w:val="left" w:pos="909"/>
        </w:tabs>
        <w:spacing w:line="360" w:lineRule="auto"/>
        <w:ind w:firstLine="480" w:firstLineChars="200"/>
        <w:rPr>
          <w:rFonts w:ascii="Times New Roman" w:hAnsi="Times New Roman" w:cs="Times New Roman"/>
          <w:color w:val="000000" w:themeColor="text1"/>
          <w:sz w:val="24"/>
          <w:szCs w:val="20"/>
          <w14:textFill>
            <w14:solidFill>
              <w14:schemeClr w14:val="tx1"/>
            </w14:solidFill>
          </w14:textFill>
        </w:rPr>
      </w:pPr>
      <w:bookmarkStart w:id="180" w:name="_Hlk89700428"/>
      <w:r>
        <w:rPr>
          <w:rFonts w:ascii="Times New Roman" w:hAnsi="Times New Roman" w:cs="Times New Roman"/>
          <w:color w:val="000000" w:themeColor="text1"/>
          <w:sz w:val="24"/>
          <w:szCs w:val="20"/>
          <w14:textFill>
            <w14:solidFill>
              <w14:schemeClr w14:val="tx1"/>
            </w14:solidFill>
          </w14:textFill>
        </w:rPr>
        <w:t>本研究采用单组目标值设计，以INR101注射液PET/CT对根治性治疗后疑似复发前列腺癌患者诊断的阳性预测值为主要评价指标，参考国内外同类产品及综述的汇总情况，设定PPV的目标值为60%，预期INR101注射液PET/CT在前列腺癌患者根治性治疗后复发患者中受试者水平的阳性预测值为77%左右，单侧检验水准α=0.025、把握度（1-β）为80%条件下，计算得到的INR101注射液 PET/CT影像结果为阳性且有复合真实标准评价的受试者例数为60例。考虑总体入组受试者中INR101注射液 PET/CT的阳性检出率约为80%以及约30%的脱落率（或不可评价率），最终需要纳入患者110例可获得有统计学意义的有效目标人群。</w:t>
      </w:r>
    </w:p>
    <w:bookmarkEnd w:id="179"/>
    <w:bookmarkEnd w:id="180"/>
    <w:p w14:paraId="3C8C5278">
      <w:pPr>
        <w:pStyle w:val="5"/>
        <w:numPr>
          <w:ilvl w:val="2"/>
          <w:numId w:val="16"/>
        </w:numPr>
        <w:spacing w:before="0" w:after="0" w:line="360" w:lineRule="auto"/>
        <w:ind w:left="0" w:firstLine="0"/>
        <w:jc w:val="both"/>
        <w:rPr>
          <w:sz w:val="24"/>
          <w:szCs w:val="24"/>
          <w:lang w:val="zh-TW" w:eastAsia="zh-TW"/>
        </w:rPr>
      </w:pPr>
      <w:bookmarkStart w:id="181" w:name="_采血时间点的选择依据及时间窗"/>
      <w:bookmarkEnd w:id="181"/>
      <w:bookmarkStart w:id="182" w:name="_Toc4494"/>
      <w:bookmarkStart w:id="183" w:name="_Toc28539"/>
      <w:bookmarkStart w:id="184" w:name="_Toc183522981"/>
      <w:bookmarkStart w:id="185" w:name="_Toc26871"/>
      <w:r>
        <w:rPr>
          <w:sz w:val="24"/>
          <w:szCs w:val="24"/>
          <w:lang w:val="zh-TW" w:eastAsia="zh-TW"/>
        </w:rPr>
        <w:t>终点指标选择</w:t>
      </w:r>
      <w:bookmarkEnd w:id="182"/>
      <w:bookmarkEnd w:id="183"/>
      <w:bookmarkEnd w:id="184"/>
      <w:bookmarkEnd w:id="185"/>
    </w:p>
    <w:p w14:paraId="6E44A56D">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《放诊药物指导原则》中指出：Ⅲ</w:t>
      </w:r>
      <w:r>
        <w:rPr>
          <w:rFonts w:ascii="Times New Roman" w:hAnsi="Times New Roman" w:cs="Times New Roman"/>
          <w:sz w:val="24"/>
          <w:szCs w:val="24"/>
          <w:lang w:bidi="ar"/>
        </w:rPr>
        <w:t>期临床试验目的是确证早期研究中所建立的放诊药物成像方法和影像评估标准用于支持目标人群诊断的效能和安全性</w:t>
      </w:r>
      <w:r>
        <w:rPr>
          <w:rFonts w:ascii="Times New Roman" w:hAnsi="Times New Roman" w:cs="Times New Roman"/>
          <w:sz w:val="24"/>
          <w:szCs w:val="24"/>
        </w:rPr>
        <w:t xml:space="preserve"> </w:t>
      </w:r>
      <w:r>
        <w:rPr>
          <w:rFonts w:ascii="Times New Roman" w:hAnsi="Times New Roman" w:cs="Times New Roman"/>
          <w:color w:val="auto"/>
          <w:sz w:val="24"/>
          <w:szCs w:val="24"/>
        </w:rPr>
        <w:t>。</w:t>
      </w:r>
    </w:p>
    <w:p w14:paraId="5A8B2CA6">
      <w:pPr>
        <w:pStyle w:val="165"/>
        <w:ind w:firstLine="420" w:firstLineChars="0"/>
        <w:rPr>
          <w:rFonts w:cs="Times New Roman"/>
          <w:szCs w:val="24"/>
        </w:rPr>
      </w:pPr>
      <w:r>
        <w:rPr>
          <w:rFonts w:cs="Times New Roman"/>
          <w:szCs w:val="24"/>
        </w:rPr>
        <w:t>本Ⅲ期研究终点包括以复合诊断标准为真实性标准，INR101注射液PET/CT成像在受试者水平病灶检出的阳性预测值（PPV）和</w:t>
      </w:r>
      <w:r>
        <w:rPr>
          <w:rFonts w:cs="Times New Roman"/>
          <w:color w:val="000000"/>
          <w:szCs w:val="20"/>
          <w:lang w:bidi="ar"/>
        </w:rPr>
        <w:t>正确检出率（CDR）</w:t>
      </w:r>
      <w:r>
        <w:rPr>
          <w:rFonts w:cs="Times New Roman"/>
          <w:color w:val="000000"/>
          <w:lang w:bidi="ar"/>
        </w:rPr>
        <w:t>、正确定位率（CLR）</w:t>
      </w:r>
      <w:r>
        <w:rPr>
          <w:rFonts w:cs="Times New Roman"/>
          <w:color w:val="000000"/>
          <w:szCs w:val="20"/>
          <w:lang w:bidi="ar"/>
        </w:rPr>
        <w:t>；</w:t>
      </w:r>
      <w:r>
        <w:rPr>
          <w:rFonts w:cs="Times New Roman"/>
          <w:color w:val="000000"/>
          <w:lang w:bidi="ar"/>
        </w:rPr>
        <w:t>INR101注射液PET/CT成像</w:t>
      </w:r>
      <w:r>
        <w:rPr>
          <w:rFonts w:cs="Times New Roman"/>
          <w:color w:val="000000"/>
          <w:szCs w:val="20"/>
          <w:lang w:bidi="ar"/>
        </w:rPr>
        <w:t>在区域水平（前列腺、</w:t>
      </w:r>
      <w:r>
        <w:rPr>
          <w:rFonts w:hint="eastAsia" w:cs="Times New Roman"/>
          <w:color w:val="000000"/>
          <w:szCs w:val="20"/>
          <w:lang w:bidi="ar"/>
        </w:rPr>
        <w:t>盆腔</w:t>
      </w:r>
      <w:r>
        <w:rPr>
          <w:rFonts w:cs="Times New Roman"/>
          <w:color w:val="000000"/>
          <w:szCs w:val="20"/>
          <w:lang w:bidi="ar"/>
        </w:rPr>
        <w:t>淋巴结、</w:t>
      </w:r>
      <w:r>
        <w:rPr>
          <w:rFonts w:hint="eastAsia" w:cs="Times New Roman"/>
          <w:color w:val="000000"/>
          <w:szCs w:val="20"/>
          <w:lang w:bidi="ar"/>
        </w:rPr>
        <w:t>盆腔外淋巴结、</w:t>
      </w:r>
      <w:r>
        <w:rPr>
          <w:rFonts w:cs="Times New Roman"/>
          <w:color w:val="000000"/>
          <w:szCs w:val="20"/>
          <w:lang w:bidi="ar"/>
        </w:rPr>
        <w:t>内脏/软组织、骨）的阳性预测值（PPV）；在基线常规影像阴性组，INR101注射液PET/CT在受试者水平的病灶检出率（DR）、正确检出率（CDR）</w:t>
      </w:r>
      <w:r>
        <w:rPr>
          <w:rFonts w:cs="Times New Roman"/>
          <w:color w:val="000000"/>
          <w:lang w:bidi="ar"/>
        </w:rPr>
        <w:t>及阳性预测值（PPV）；在不同基线 PSA 水平受试者中，INR101</w:t>
      </w:r>
      <w:r>
        <w:rPr>
          <w:rFonts w:cs="Times New Roman"/>
        </w:rPr>
        <w:t>注射液</w:t>
      </w:r>
      <w:r>
        <w:rPr>
          <w:rFonts w:cs="Times New Roman"/>
          <w:color w:val="000000"/>
          <w:lang w:bidi="ar"/>
        </w:rPr>
        <w:t>PET/CT成像在受试者水平的阳性预测值（PPV）；</w:t>
      </w:r>
      <w:r>
        <w:rPr>
          <w:rFonts w:cs="Times New Roman"/>
          <w:color w:val="000000"/>
          <w:szCs w:val="20"/>
          <w:lang w:bidi="ar"/>
        </w:rPr>
        <w:t>同时评估阅片人内和阅片人间对PET/CT图像阅片结果的一致性，</w:t>
      </w:r>
      <w:r>
        <w:rPr>
          <w:rFonts w:cs="Times New Roman"/>
          <w:szCs w:val="24"/>
        </w:rPr>
        <w:t>并进一步评估INR101注射液的安全性和耐受性。</w:t>
      </w:r>
    </w:p>
    <w:p w14:paraId="49E4B9FB">
      <w:pPr>
        <w:pStyle w:val="165"/>
        <w:ind w:firstLine="420" w:firstLineChars="0"/>
        <w:rPr>
          <w:rFonts w:cs="Times New Roman"/>
          <w:szCs w:val="24"/>
        </w:rPr>
      </w:pPr>
    </w:p>
    <w:p w14:paraId="283CC56E">
      <w:pPr>
        <w:pStyle w:val="4"/>
        <w:numPr>
          <w:ilvl w:val="1"/>
          <w:numId w:val="5"/>
        </w:numPr>
        <w:spacing w:before="0" w:after="0" w:line="360" w:lineRule="auto"/>
        <w:ind w:left="0" w:firstLine="0"/>
        <w:rPr>
          <w:rFonts w:ascii="Times New Roman" w:hAnsi="Times New Roman" w:eastAsia="宋体"/>
          <w:sz w:val="24"/>
          <w:szCs w:val="24"/>
          <w:lang w:val="zh-TW"/>
        </w:rPr>
      </w:pPr>
      <w:bookmarkStart w:id="186" w:name="_Toc16265"/>
      <w:bookmarkStart w:id="187" w:name="_Toc183522982"/>
      <w:bookmarkStart w:id="188" w:name="_Toc2097"/>
      <w:bookmarkStart w:id="189" w:name="_Toc12268"/>
      <w:r>
        <w:rPr>
          <w:rFonts w:ascii="Times New Roman" w:hAnsi="Times New Roman" w:eastAsia="宋体"/>
          <w:sz w:val="24"/>
          <w:szCs w:val="24"/>
          <w:lang w:val="zh-TW"/>
        </w:rPr>
        <w:t>试验结束后获得试验干预</w:t>
      </w:r>
      <w:bookmarkEnd w:id="186"/>
      <w:bookmarkEnd w:id="187"/>
      <w:bookmarkEnd w:id="188"/>
      <w:bookmarkEnd w:id="189"/>
    </w:p>
    <w:p w14:paraId="3E6EE0BB">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本研究受试者在随访期D2~7</w:t>
      </w:r>
      <w:r>
        <w:rPr>
          <w:rFonts w:hint="eastAsia" w:ascii="Times New Roman" w:hAnsi="Times New Roman" w:cs="Times New Roman"/>
          <w:color w:val="auto"/>
          <w:sz w:val="24"/>
          <w:szCs w:val="24"/>
        </w:rPr>
        <w:t>完成</w:t>
      </w:r>
      <w:r>
        <w:rPr>
          <w:rFonts w:ascii="Times New Roman" w:hAnsi="Times New Roman" w:cs="Times New Roman"/>
          <w:color w:val="auto"/>
          <w:sz w:val="24"/>
          <w:szCs w:val="24"/>
        </w:rPr>
        <w:t>安全性随访。提前退出研究的受试者需尽量完成安全性检查后出组。如果受试者在D2~7天内接受穿刺活检，需在穿刺活检前24小时内完成安全性访视。INR101注射液PET/CT检查结果阳性受试者继续进行有效性随访。</w:t>
      </w:r>
    </w:p>
    <w:p w14:paraId="3EB0429F">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190" w:name="_Toc183522983"/>
      <w:bookmarkStart w:id="191" w:name="_Toc20146"/>
      <w:bookmarkStart w:id="192" w:name="_Toc19135"/>
      <w:bookmarkStart w:id="193" w:name="_Toc13746"/>
      <w:r>
        <w:rPr>
          <w:rFonts w:ascii="Times New Roman" w:hAnsi="Times New Roman" w:eastAsia="宋体"/>
          <w:sz w:val="24"/>
          <w:szCs w:val="24"/>
          <w:lang w:val="zh-TW" w:eastAsia="zh-TW"/>
        </w:rPr>
        <w:t>试验开始和试验结束</w:t>
      </w:r>
      <w:bookmarkEnd w:id="190"/>
      <w:bookmarkEnd w:id="191"/>
      <w:bookmarkEnd w:id="192"/>
      <w:bookmarkEnd w:id="193"/>
    </w:p>
    <w:p w14:paraId="0AF89BB1">
      <w:pPr>
        <w:pStyle w:val="3"/>
        <w:spacing w:line="360" w:lineRule="auto"/>
        <w:ind w:firstLine="480" w:firstLineChars="200"/>
        <w:rPr>
          <w:rFonts w:ascii="Times New Roman" w:hAnsi="Times New Roman" w:cs="Times New Roman"/>
          <w:b/>
          <w:bCs/>
          <w:color w:val="auto"/>
          <w:sz w:val="24"/>
          <w:szCs w:val="24"/>
        </w:rPr>
      </w:pPr>
      <w:r>
        <w:rPr>
          <w:rFonts w:ascii="Times New Roman" w:hAnsi="Times New Roman" w:cs="Times New Roman"/>
          <w:b/>
          <w:bCs/>
          <w:color w:val="auto"/>
          <w:sz w:val="24"/>
          <w:szCs w:val="24"/>
        </w:rPr>
        <w:t>试验开始日期定义：</w:t>
      </w:r>
    </w:p>
    <w:p w14:paraId="7E79852D">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首例受试者签署知情同意书日期即为试验开始日期。</w:t>
      </w:r>
    </w:p>
    <w:p w14:paraId="16F7122D">
      <w:pPr>
        <w:spacing w:line="360" w:lineRule="auto"/>
        <w:ind w:firstLine="480" w:firstLineChars="200"/>
        <w:jc w:val="both"/>
        <w:rPr>
          <w:b/>
          <w:bCs/>
        </w:rPr>
      </w:pPr>
      <w:r>
        <w:rPr>
          <w:b/>
          <w:bCs/>
        </w:rPr>
        <w:t>试验结束日期定义：</w:t>
      </w:r>
    </w:p>
    <w:p w14:paraId="1F810185">
      <w:pPr>
        <w:spacing w:line="360" w:lineRule="auto"/>
        <w:ind w:firstLine="480" w:firstLineChars="200"/>
        <w:jc w:val="both"/>
      </w:pPr>
      <w:r>
        <w:t>末例受试者最后一次随访日期即为试验结束日期。</w:t>
      </w:r>
    </w:p>
    <w:p w14:paraId="3324157F">
      <w:pPr>
        <w:spacing w:line="360" w:lineRule="auto"/>
        <w:ind w:firstLine="480" w:firstLineChars="200"/>
        <w:jc w:val="both"/>
      </w:pPr>
      <w:r>
        <w:t>申办者拥有关闭研究中心或终止试验的决定权，研究者拥有启动研究中心的权利。终止试验的标准参见第</w:t>
      </w:r>
      <w:r>
        <w:rPr>
          <w:color w:val="0000FF"/>
        </w:rPr>
        <w:fldChar w:fldCharType="begin"/>
      </w:r>
      <w:r>
        <w:rPr>
          <w:color w:val="0000FF"/>
        </w:rPr>
        <w:instrText xml:space="preserve"> REF _Ref183519909 \r \h  \* MERGEFORMAT </w:instrText>
      </w:r>
      <w:r>
        <w:rPr>
          <w:color w:val="0000FF"/>
        </w:rPr>
        <w:fldChar w:fldCharType="separate"/>
      </w:r>
      <w:r>
        <w:rPr>
          <w:color w:val="0000FF"/>
        </w:rPr>
        <w:t>7.4</w:t>
      </w:r>
      <w:r>
        <w:rPr>
          <w:color w:val="0000FF"/>
        </w:rPr>
        <w:fldChar w:fldCharType="end"/>
      </w:r>
      <w:r>
        <w:t>节。申办者和研究者在试验终止或暂停后的职责参见第</w:t>
      </w:r>
      <w:r>
        <w:rPr>
          <w:color w:val="0000FF"/>
        </w:rPr>
        <w:fldChar w:fldCharType="begin"/>
      </w:r>
      <w:r>
        <w:rPr>
          <w:color w:val="0000FF"/>
        </w:rPr>
        <w:instrText xml:space="preserve"> REF _Ref130207264 \r \h  \* MERGEFORMAT </w:instrText>
      </w:r>
      <w:r>
        <w:rPr>
          <w:color w:val="0000FF"/>
        </w:rPr>
        <w:fldChar w:fldCharType="separate"/>
      </w:r>
      <w:r>
        <w:rPr>
          <w:color w:val="0000FF"/>
        </w:rPr>
        <w:t>10.5</w:t>
      </w:r>
      <w:r>
        <w:rPr>
          <w:color w:val="0000FF"/>
        </w:rPr>
        <w:fldChar w:fldCharType="end"/>
      </w:r>
      <w:r>
        <w:t>节。</w:t>
      </w:r>
    </w:p>
    <w:p w14:paraId="0A597C3C">
      <w:pPr>
        <w:pStyle w:val="2"/>
        <w:numPr>
          <w:ilvl w:val="0"/>
          <w:numId w:val="5"/>
        </w:numPr>
        <w:ind w:left="0" w:firstLine="0"/>
        <w:rPr>
          <w:rFonts w:ascii="Times New Roman" w:hAnsi="Times New Roman"/>
          <w:color w:val="auto"/>
          <w:szCs w:val="24"/>
        </w:rPr>
      </w:pPr>
      <w:bookmarkStart w:id="194" w:name="_Toc106375064"/>
      <w:bookmarkStart w:id="195" w:name="_Toc6290"/>
      <w:bookmarkStart w:id="196" w:name="_Toc14365"/>
      <w:bookmarkStart w:id="197" w:name="_Toc183522984"/>
      <w:bookmarkStart w:id="198" w:name="_Toc25380"/>
      <w:bookmarkStart w:id="199" w:name="_Hlk117342302"/>
      <w:r>
        <w:rPr>
          <w:rFonts w:ascii="Times New Roman" w:hAnsi="Times New Roman"/>
          <w:color w:val="auto"/>
          <w:szCs w:val="24"/>
        </w:rPr>
        <w:t>试验</w:t>
      </w:r>
      <w:bookmarkEnd w:id="194"/>
      <w:r>
        <w:rPr>
          <w:rFonts w:ascii="Times New Roman" w:hAnsi="Times New Roman"/>
          <w:color w:val="auto"/>
          <w:szCs w:val="24"/>
        </w:rPr>
        <w:t>人群</w:t>
      </w:r>
      <w:bookmarkEnd w:id="195"/>
      <w:bookmarkEnd w:id="196"/>
      <w:bookmarkEnd w:id="197"/>
      <w:bookmarkEnd w:id="198"/>
    </w:p>
    <w:bookmarkEnd w:id="199"/>
    <w:p w14:paraId="25FFCE22">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200" w:name="_Toc18900"/>
      <w:bookmarkStart w:id="201" w:name="_Toc183522985"/>
      <w:bookmarkStart w:id="202" w:name="_Toc11550"/>
      <w:bookmarkStart w:id="203" w:name="_Toc29297"/>
      <w:bookmarkStart w:id="204" w:name="_Toc475469806"/>
      <w:bookmarkStart w:id="205" w:name="_Hlk492906289"/>
      <w:r>
        <w:rPr>
          <w:rFonts w:ascii="Times New Roman" w:hAnsi="Times New Roman" w:eastAsia="宋体"/>
          <w:sz w:val="24"/>
          <w:szCs w:val="24"/>
          <w:lang w:val="zh-TW" w:eastAsia="zh-TW"/>
        </w:rPr>
        <w:t>试验人群的选择</w:t>
      </w:r>
      <w:bookmarkEnd w:id="200"/>
      <w:bookmarkEnd w:id="201"/>
      <w:bookmarkEnd w:id="202"/>
      <w:bookmarkEnd w:id="203"/>
    </w:p>
    <w:p w14:paraId="6193BB00">
      <w:pPr>
        <w:spacing w:line="360" w:lineRule="auto"/>
        <w:ind w:firstLine="480" w:firstLineChars="200"/>
        <w:rPr>
          <w:lang w:val="zh-TW"/>
        </w:rPr>
      </w:pPr>
      <w:r>
        <w:t>既往接受过前列腺癌根治性治疗后PSA升高疑似复发的受试者</w:t>
      </w:r>
      <w:r>
        <w:rPr>
          <w:lang w:val="zh-TW"/>
        </w:rPr>
        <w:t>。</w:t>
      </w:r>
    </w:p>
    <w:p w14:paraId="7B79E83B">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206" w:name="_Toc20149"/>
      <w:bookmarkStart w:id="207" w:name="_Toc16848"/>
      <w:bookmarkStart w:id="208" w:name="_Toc6277"/>
      <w:bookmarkStart w:id="209" w:name="_Toc183522986"/>
      <w:r>
        <w:rPr>
          <w:rFonts w:ascii="Times New Roman" w:hAnsi="Times New Roman" w:eastAsia="宋体"/>
          <w:sz w:val="24"/>
          <w:szCs w:val="24"/>
          <w:lang w:val="zh-TW" w:eastAsia="zh-TW"/>
        </w:rPr>
        <w:t>试验人群的选择依据</w:t>
      </w:r>
      <w:bookmarkEnd w:id="206"/>
      <w:bookmarkEnd w:id="207"/>
      <w:bookmarkEnd w:id="208"/>
      <w:bookmarkEnd w:id="209"/>
    </w:p>
    <w:p w14:paraId="0ECF1B98">
      <w:pPr>
        <w:spacing w:line="360" w:lineRule="auto"/>
        <w:ind w:firstLine="480" w:firstLineChars="200"/>
        <w:jc w:val="both"/>
      </w:pPr>
      <w:r>
        <w:rPr>
          <w:lang w:val="zh-TW"/>
        </w:rPr>
        <w:t>《放诊药物指导原则》要求，</w:t>
      </w:r>
      <w:r>
        <w:rPr>
          <w:szCs w:val="24"/>
          <w:lang w:bidi="ar"/>
        </w:rPr>
        <w:t>Ⅲ</w:t>
      </w:r>
      <w:r>
        <w:t>期临床试验的受试者应代表预期的用药人群。</w:t>
      </w:r>
      <w:r>
        <w:rPr>
          <w:lang w:val="zh-TW"/>
        </w:rPr>
        <w:t>本品为PSMA靶点的PET</w:t>
      </w:r>
      <w:r>
        <w:rPr>
          <w:rFonts w:hint="eastAsia"/>
          <w:lang w:val="zh-TW"/>
        </w:rPr>
        <w:t>成像</w:t>
      </w:r>
      <w:r>
        <w:rPr>
          <w:lang w:val="zh-TW"/>
        </w:rPr>
        <w:t>剂，目标适应症为前列腺癌，目标</w:t>
      </w:r>
      <w:r>
        <w:rPr>
          <w:rFonts w:hint="eastAsia"/>
          <w:lang w:val="zh-TW"/>
        </w:rPr>
        <w:t>成像</w:t>
      </w:r>
      <w:r>
        <w:rPr>
          <w:lang w:val="zh-TW"/>
        </w:rPr>
        <w:t>部位为前列腺癌原发灶和/或转移灶（包括淋巴结、内脏/软组织和骨），故Ⅲ期受试人群</w:t>
      </w:r>
      <w:r>
        <w:t>选择</w:t>
      </w:r>
      <w:r>
        <w:rPr>
          <w:lang w:val="zh-TW"/>
        </w:rPr>
        <w:t>既往接受过前列腺癌根治性治疗后PSA升高疑似复发的受试者</w:t>
      </w:r>
      <w:r>
        <w:t>，评价</w:t>
      </w:r>
      <w:r>
        <w:rPr>
          <w:szCs w:val="22"/>
        </w:rPr>
        <w:t>INR101注射液PET/CT</w:t>
      </w:r>
      <w:r>
        <w:t>对</w:t>
      </w:r>
      <w:r>
        <w:rPr>
          <w:szCs w:val="22"/>
        </w:rPr>
        <w:t>前列腺癌根治治疗后疑似复发的受试者的</w:t>
      </w:r>
      <w:r>
        <w:t>诊断有效性和安全性。</w:t>
      </w:r>
    </w:p>
    <w:p w14:paraId="3A6248F2">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210" w:name="_Toc7295"/>
      <w:bookmarkStart w:id="211" w:name="_Toc29663"/>
      <w:bookmarkStart w:id="212" w:name="_Toc20304"/>
      <w:bookmarkStart w:id="213" w:name="_Toc183522987"/>
      <w:r>
        <w:rPr>
          <w:rFonts w:ascii="Times New Roman" w:hAnsi="Times New Roman" w:eastAsia="宋体"/>
          <w:sz w:val="24"/>
          <w:szCs w:val="24"/>
          <w:lang w:val="zh-TW" w:eastAsia="zh-TW"/>
        </w:rPr>
        <w:t>入选标准</w:t>
      </w:r>
      <w:bookmarkEnd w:id="210"/>
      <w:bookmarkEnd w:id="211"/>
      <w:bookmarkEnd w:id="212"/>
      <w:bookmarkEnd w:id="213"/>
    </w:p>
    <w:p w14:paraId="679544A1">
      <w:pPr>
        <w:widowControl w:val="0"/>
        <w:spacing w:line="360" w:lineRule="auto"/>
        <w:jc w:val="both"/>
        <w:rPr>
          <w:b/>
          <w:bCs/>
        </w:rPr>
      </w:pPr>
      <w:bookmarkStart w:id="214" w:name="_Hlk83823287"/>
      <w:r>
        <w:rPr>
          <w:b/>
          <w:bCs/>
        </w:rPr>
        <w:t>受试者必须满足以下所有条件才可参加此项研究：</w:t>
      </w:r>
    </w:p>
    <w:p w14:paraId="6476B0B9">
      <w:pPr>
        <w:widowControl w:val="0"/>
        <w:numPr>
          <w:ilvl w:val="0"/>
          <w:numId w:val="19"/>
        </w:numPr>
        <w:spacing w:line="360" w:lineRule="auto"/>
        <w:ind w:left="0" w:firstLine="0"/>
        <w:jc w:val="both"/>
      </w:pPr>
      <w:r>
        <w:t>年龄≥18周岁的男性；</w:t>
      </w:r>
    </w:p>
    <w:p w14:paraId="38669A0D">
      <w:pPr>
        <w:widowControl w:val="0"/>
        <w:numPr>
          <w:ilvl w:val="0"/>
          <w:numId w:val="19"/>
        </w:numPr>
        <w:spacing w:line="360" w:lineRule="auto"/>
        <w:ind w:left="0" w:firstLine="0"/>
        <w:jc w:val="both"/>
      </w:pPr>
      <w:r>
        <w:t>美国东部合作肿瘤组织（ECOG）评分0或1分；</w:t>
      </w:r>
    </w:p>
    <w:p w14:paraId="5330AD54">
      <w:pPr>
        <w:widowControl w:val="0"/>
        <w:numPr>
          <w:ilvl w:val="0"/>
          <w:numId w:val="19"/>
        </w:numPr>
        <w:spacing w:line="360" w:lineRule="auto"/>
        <w:ind w:left="0" w:firstLine="0"/>
        <w:jc w:val="both"/>
      </w:pPr>
      <w:r>
        <w:t>组织病理学证实的前列腺腺癌，既往接受根治性前列腺切除术和/或根治性放射治疗后PSA升高疑似复发的受试者（</w:t>
      </w:r>
      <w:r>
        <w:rPr>
          <w:rFonts w:hint="eastAsia"/>
        </w:rPr>
        <w:t>至少满足：</w:t>
      </w:r>
      <w:r>
        <w:t>根治性前列腺切除术后6周后连续2次PSA≥0.2ng/mL；或根治性放射治疗后PSA 较最低值升高≥2ng/mL）；</w:t>
      </w:r>
    </w:p>
    <w:p w14:paraId="0D7649BC">
      <w:pPr>
        <w:widowControl w:val="0"/>
        <w:numPr>
          <w:ilvl w:val="0"/>
          <w:numId w:val="19"/>
        </w:numPr>
        <w:autoSpaceDE w:val="0"/>
        <w:autoSpaceDN w:val="0"/>
        <w:adjustRightInd w:val="0"/>
        <w:spacing w:line="360" w:lineRule="auto"/>
        <w:ind w:left="0" w:firstLine="0"/>
        <w:jc w:val="both"/>
      </w:pPr>
      <w:r>
        <w:t>血常规、肝肾功能检查符合下列条件：</w:t>
      </w:r>
    </w:p>
    <w:p w14:paraId="0DF75916">
      <w:pPr>
        <w:spacing w:line="360" w:lineRule="auto"/>
        <w:ind w:left="720" w:leftChars="300"/>
      </w:pPr>
      <w:r>
        <w:t>-血红蛋白＞80g/L；血小板&gt;50×10</w:t>
      </w:r>
      <w:r>
        <w:rPr>
          <w:vertAlign w:val="superscript"/>
        </w:rPr>
        <w:t>9</w:t>
      </w:r>
      <w:r>
        <w:t>/L；</w:t>
      </w:r>
    </w:p>
    <w:p w14:paraId="652165C6">
      <w:pPr>
        <w:spacing w:line="360" w:lineRule="auto"/>
        <w:ind w:left="720" w:leftChars="300"/>
      </w:pPr>
      <w:r>
        <w:t>-天门冬氨酸氨基转移酶（AST）、丙氨酸氨基转移酶（ALT）≤5倍ULN；</w:t>
      </w:r>
    </w:p>
    <w:p w14:paraId="4D4A5364">
      <w:pPr>
        <w:spacing w:line="360" w:lineRule="auto"/>
        <w:ind w:left="720" w:leftChars="300"/>
      </w:pPr>
      <w:r>
        <w:t>-总胆红素（T-Bil）≤3倍ULN</w:t>
      </w:r>
    </w:p>
    <w:p w14:paraId="376E03D6">
      <w:pPr>
        <w:widowControl w:val="0"/>
        <w:numPr>
          <w:ilvl w:val="0"/>
          <w:numId w:val="19"/>
        </w:numPr>
        <w:spacing w:line="360" w:lineRule="auto"/>
        <w:ind w:left="0" w:firstLine="0"/>
        <w:jc w:val="both"/>
      </w:pPr>
      <w:r>
        <w:t>预期生存期</w:t>
      </w:r>
      <w:r>
        <w:rPr>
          <w:rFonts w:hint="eastAsia"/>
        </w:rPr>
        <w:t>≥</w:t>
      </w:r>
      <w:r>
        <w:t>6个月；</w:t>
      </w:r>
    </w:p>
    <w:p w14:paraId="129600C9">
      <w:pPr>
        <w:numPr>
          <w:ilvl w:val="0"/>
          <w:numId w:val="19"/>
        </w:numPr>
        <w:spacing w:line="360" w:lineRule="auto"/>
      </w:pPr>
      <w:r>
        <w:t>同意在知情同意书签署日至给药后3个月内必须采用避孕措施，避免供精；</w:t>
      </w:r>
    </w:p>
    <w:p w14:paraId="1FA8E2E8">
      <w:pPr>
        <w:numPr>
          <w:ilvl w:val="0"/>
          <w:numId w:val="19"/>
        </w:numPr>
        <w:spacing w:line="360" w:lineRule="auto"/>
      </w:pPr>
      <w:r>
        <w:t>受试者/监护人充分知情了解试验目的和程序，能够理解并自愿签署知情同意书。</w:t>
      </w:r>
    </w:p>
    <w:bookmarkEnd w:id="214"/>
    <w:p w14:paraId="2D15A77D">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215" w:name="_Toc531356521"/>
      <w:bookmarkEnd w:id="215"/>
      <w:bookmarkStart w:id="216" w:name="_Toc531356523"/>
      <w:bookmarkEnd w:id="216"/>
      <w:bookmarkStart w:id="217" w:name="_Toc531356524"/>
      <w:bookmarkEnd w:id="217"/>
      <w:bookmarkStart w:id="218" w:name="_Toc531356522"/>
      <w:bookmarkEnd w:id="218"/>
      <w:bookmarkStart w:id="219" w:name="_Toc531356519"/>
      <w:bookmarkEnd w:id="219"/>
      <w:bookmarkStart w:id="220" w:name="_Toc531356520"/>
      <w:bookmarkEnd w:id="220"/>
      <w:bookmarkStart w:id="221" w:name="_Toc183522988"/>
      <w:bookmarkStart w:id="222" w:name="_Toc491423795"/>
      <w:bookmarkStart w:id="223" w:name="_Toc24992"/>
      <w:bookmarkStart w:id="224" w:name="_Toc6566"/>
      <w:bookmarkStart w:id="225" w:name="_Toc106375079"/>
      <w:bookmarkStart w:id="226" w:name="_Toc3506"/>
      <w:r>
        <w:rPr>
          <w:rFonts w:ascii="Times New Roman" w:hAnsi="Times New Roman" w:eastAsia="宋体"/>
          <w:sz w:val="24"/>
          <w:szCs w:val="24"/>
          <w:lang w:val="zh-TW" w:eastAsia="zh-TW"/>
        </w:rPr>
        <w:t>排除标准</w:t>
      </w:r>
      <w:bookmarkEnd w:id="204"/>
      <w:bookmarkEnd w:id="221"/>
      <w:bookmarkEnd w:id="222"/>
      <w:bookmarkEnd w:id="223"/>
      <w:bookmarkEnd w:id="224"/>
      <w:bookmarkEnd w:id="225"/>
      <w:bookmarkEnd w:id="226"/>
    </w:p>
    <w:p w14:paraId="32C72BA5">
      <w:pPr>
        <w:widowControl w:val="0"/>
        <w:spacing w:line="360" w:lineRule="auto"/>
        <w:jc w:val="both"/>
        <w:rPr>
          <w:b/>
          <w:bCs/>
        </w:rPr>
      </w:pPr>
      <w:r>
        <w:rPr>
          <w:b/>
          <w:bCs/>
        </w:rPr>
        <w:t>受试者必须排除以下情况才能参加该项临床研究：</w:t>
      </w:r>
    </w:p>
    <w:p w14:paraId="1DE22C7D">
      <w:pPr>
        <w:widowControl w:val="0"/>
        <w:numPr>
          <w:ilvl w:val="0"/>
          <w:numId w:val="20"/>
        </w:numPr>
        <w:spacing w:line="360" w:lineRule="auto"/>
        <w:ind w:left="0" w:firstLine="0"/>
        <w:jc w:val="both"/>
      </w:pPr>
      <w:r>
        <w:rPr>
          <w:rFonts w:hint="eastAsia"/>
          <w:kern w:val="0"/>
        </w:rPr>
        <w:t>研究者评估的无法按照试验要求完成影像检查的受试者</w:t>
      </w:r>
      <w:r>
        <w:t>；</w:t>
      </w:r>
    </w:p>
    <w:p w14:paraId="08D17F32">
      <w:pPr>
        <w:widowControl w:val="0"/>
        <w:numPr>
          <w:ilvl w:val="0"/>
          <w:numId w:val="20"/>
        </w:numPr>
        <w:spacing w:line="360" w:lineRule="auto"/>
        <w:ind w:left="0" w:firstLine="0"/>
        <w:jc w:val="both"/>
      </w:pPr>
      <w:r>
        <w:rPr>
          <w:rFonts w:hint="eastAsia"/>
        </w:rPr>
        <w:t>首次给药之前5年内患有≥2种恶性肿瘤，但经充分治疗的未转移的甲状腺癌、皮肤基底细胞癌或皮肤浅表鳞状细胞癌、浅表性膀胱癌除外</w:t>
      </w:r>
      <w:r>
        <w:t>；</w:t>
      </w:r>
    </w:p>
    <w:p w14:paraId="68095516">
      <w:pPr>
        <w:widowControl w:val="0"/>
        <w:numPr>
          <w:ilvl w:val="0"/>
          <w:numId w:val="20"/>
        </w:numPr>
        <w:spacing w:line="360" w:lineRule="auto"/>
        <w:ind w:left="0" w:firstLine="0"/>
        <w:jc w:val="both"/>
      </w:pPr>
      <w:r>
        <w:t>在知情同意书签署前曾参加其他干预性临床试验且在该试验用药品的5个半衰期内或正在参加其他干预性临床试验、或知情同意书签署前参加过放射性治疗药物的临床试验且停药时间至知情同意书签署日少于3个月；</w:t>
      </w:r>
    </w:p>
    <w:p w14:paraId="49122879">
      <w:pPr>
        <w:widowControl w:val="0"/>
        <w:numPr>
          <w:ilvl w:val="0"/>
          <w:numId w:val="20"/>
        </w:numPr>
        <w:spacing w:line="360" w:lineRule="auto"/>
        <w:ind w:left="0" w:firstLine="0"/>
        <w:jc w:val="both"/>
      </w:pPr>
      <w:r>
        <w:rPr>
          <w:kern w:val="0"/>
        </w:rPr>
        <w:t>在INR101给药前24小时内接受过静脉注射碘造影剂，或在5天内接受过任何高密度口服造影剂（研究者判断肠道内无造影剂残留者除外；</w:t>
      </w:r>
      <w:r>
        <w:t>可接受口服水溶性造影剂</w:t>
      </w:r>
      <w:r>
        <w:rPr>
          <w:kern w:val="0"/>
        </w:rPr>
        <w:t>）</w:t>
      </w:r>
      <w:r>
        <w:t>；</w:t>
      </w:r>
    </w:p>
    <w:p w14:paraId="58A790FB">
      <w:pPr>
        <w:widowControl w:val="0"/>
        <w:numPr>
          <w:ilvl w:val="0"/>
          <w:numId w:val="20"/>
        </w:numPr>
        <w:spacing w:line="360" w:lineRule="auto"/>
        <w:ind w:left="0" w:firstLine="0"/>
        <w:jc w:val="both"/>
      </w:pPr>
      <w:r>
        <w:t>既往有唾液腺疾病病史或佩吉特病史者；既往1年有骨折病史者；</w:t>
      </w:r>
    </w:p>
    <w:p w14:paraId="2F71E405">
      <w:pPr>
        <w:widowControl w:val="0"/>
        <w:numPr>
          <w:ilvl w:val="0"/>
          <w:numId w:val="20"/>
        </w:numPr>
        <w:spacing w:line="360" w:lineRule="auto"/>
        <w:ind w:left="0" w:firstLine="0"/>
        <w:jc w:val="both"/>
      </w:pPr>
      <w:r>
        <w:t>有髋关节置换物的受试者；</w:t>
      </w:r>
    </w:p>
    <w:p w14:paraId="3F4570CE">
      <w:pPr>
        <w:widowControl w:val="0"/>
        <w:numPr>
          <w:ilvl w:val="0"/>
          <w:numId w:val="20"/>
        </w:numPr>
        <w:spacing w:line="360" w:lineRule="auto"/>
        <w:ind w:left="0" w:firstLine="0"/>
        <w:jc w:val="both"/>
      </w:pPr>
      <w:r>
        <w:t>已知对INR101活性成分或其组分过敏；</w:t>
      </w:r>
    </w:p>
    <w:p w14:paraId="66055245">
      <w:pPr>
        <w:widowControl w:val="0"/>
        <w:numPr>
          <w:ilvl w:val="0"/>
          <w:numId w:val="20"/>
        </w:numPr>
        <w:spacing w:line="360" w:lineRule="auto"/>
        <w:ind w:left="0" w:firstLine="0"/>
        <w:jc w:val="both"/>
      </w:pPr>
      <w:r>
        <w:t>研究者判断存在影响安全性、依从性或可能影响研究结果的任何医学疾病或其他情况。</w:t>
      </w:r>
    </w:p>
    <w:p w14:paraId="75320D2F">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227" w:name="_Toc12820"/>
      <w:bookmarkStart w:id="228" w:name="_Toc28944"/>
      <w:bookmarkStart w:id="229" w:name="_Toc183522989"/>
      <w:bookmarkStart w:id="230" w:name="_Toc5034"/>
      <w:r>
        <w:rPr>
          <w:rFonts w:ascii="Times New Roman" w:hAnsi="Times New Roman" w:eastAsia="宋体"/>
          <w:sz w:val="24"/>
          <w:szCs w:val="24"/>
          <w:lang w:val="zh-TW" w:eastAsia="zh-TW"/>
        </w:rPr>
        <w:t>生活方式考虑</w:t>
      </w:r>
      <w:bookmarkEnd w:id="227"/>
      <w:bookmarkEnd w:id="228"/>
      <w:bookmarkEnd w:id="229"/>
      <w:bookmarkEnd w:id="230"/>
    </w:p>
    <w:p w14:paraId="1C30C866">
      <w:pPr>
        <w:pStyle w:val="5"/>
        <w:numPr>
          <w:ilvl w:val="2"/>
          <w:numId w:val="21"/>
        </w:numPr>
        <w:spacing w:before="0" w:after="0" w:line="360" w:lineRule="auto"/>
        <w:ind w:left="0" w:firstLine="0"/>
        <w:jc w:val="both"/>
        <w:rPr>
          <w:sz w:val="24"/>
          <w:szCs w:val="24"/>
          <w:lang w:val="zh-TW" w:eastAsia="zh-TW"/>
        </w:rPr>
      </w:pPr>
      <w:bookmarkStart w:id="231" w:name="_Toc23233"/>
      <w:bookmarkStart w:id="232" w:name="_Toc183522990"/>
      <w:bookmarkStart w:id="233" w:name="_Toc16958"/>
      <w:bookmarkStart w:id="234" w:name="_Toc8001"/>
      <w:r>
        <w:rPr>
          <w:sz w:val="24"/>
          <w:szCs w:val="24"/>
          <w:lang w:val="zh-TW" w:eastAsia="zh-TW"/>
        </w:rPr>
        <w:t>膳食和饮食限制</w:t>
      </w:r>
      <w:bookmarkEnd w:id="231"/>
      <w:bookmarkEnd w:id="232"/>
      <w:bookmarkEnd w:id="233"/>
      <w:bookmarkEnd w:id="234"/>
    </w:p>
    <w:p w14:paraId="1684C281">
      <w:pPr>
        <w:spacing w:line="360" w:lineRule="auto"/>
        <w:ind w:firstLine="480" w:firstLineChars="200"/>
        <w:jc w:val="both"/>
        <w:rPr>
          <w:lang w:val="zh-TW" w:eastAsia="zh-TW"/>
        </w:rPr>
      </w:pPr>
      <w:r>
        <w:rPr>
          <w:lang w:val="zh-TW"/>
        </w:rPr>
        <w:t>暂无。</w:t>
      </w:r>
    </w:p>
    <w:p w14:paraId="7E269358">
      <w:pPr>
        <w:pStyle w:val="5"/>
        <w:numPr>
          <w:ilvl w:val="2"/>
          <w:numId w:val="21"/>
        </w:numPr>
        <w:spacing w:before="0" w:after="0" w:line="360" w:lineRule="auto"/>
        <w:ind w:left="0" w:firstLine="0"/>
        <w:jc w:val="both"/>
        <w:rPr>
          <w:sz w:val="24"/>
          <w:szCs w:val="24"/>
          <w:lang w:val="zh-TW"/>
        </w:rPr>
      </w:pPr>
      <w:bookmarkStart w:id="235" w:name="_Toc183522991"/>
      <w:bookmarkStart w:id="236" w:name="_Toc21586"/>
      <w:bookmarkStart w:id="237" w:name="_Toc19840"/>
      <w:bookmarkStart w:id="238" w:name="_Toc30989"/>
      <w:r>
        <w:rPr>
          <w:sz w:val="24"/>
          <w:szCs w:val="24"/>
          <w:lang w:val="zh-TW"/>
        </w:rPr>
        <w:t>咖啡因、酒精、烟草和其他习惯</w:t>
      </w:r>
      <w:bookmarkEnd w:id="235"/>
      <w:bookmarkEnd w:id="236"/>
      <w:bookmarkEnd w:id="237"/>
      <w:bookmarkEnd w:id="238"/>
    </w:p>
    <w:p w14:paraId="28EF97EC">
      <w:pPr>
        <w:spacing w:line="360" w:lineRule="auto"/>
        <w:ind w:firstLine="480" w:firstLineChars="200"/>
        <w:jc w:val="both"/>
        <w:rPr>
          <w:lang w:val="zh-TW"/>
        </w:rPr>
      </w:pPr>
      <w:r>
        <w:rPr>
          <w:lang w:val="zh-TW"/>
        </w:rPr>
        <w:t>避免酗酒、吸毒。</w:t>
      </w:r>
    </w:p>
    <w:p w14:paraId="0AA40371">
      <w:pPr>
        <w:pStyle w:val="5"/>
        <w:numPr>
          <w:ilvl w:val="2"/>
          <w:numId w:val="21"/>
        </w:numPr>
        <w:spacing w:before="0" w:after="0" w:line="360" w:lineRule="auto"/>
        <w:ind w:left="0" w:firstLine="0"/>
        <w:jc w:val="both"/>
        <w:rPr>
          <w:sz w:val="24"/>
          <w:szCs w:val="24"/>
          <w:lang w:val="zh-TW" w:eastAsia="zh-TW"/>
        </w:rPr>
      </w:pPr>
      <w:bookmarkStart w:id="239" w:name="_Toc183522992"/>
      <w:bookmarkStart w:id="240" w:name="_Toc28771"/>
      <w:bookmarkStart w:id="241" w:name="_Toc7536"/>
      <w:bookmarkStart w:id="242" w:name="_Toc4327"/>
      <w:r>
        <w:rPr>
          <w:sz w:val="24"/>
          <w:szCs w:val="24"/>
          <w:lang w:val="zh-TW" w:eastAsia="zh-TW"/>
        </w:rPr>
        <w:t>体育活动</w:t>
      </w:r>
      <w:bookmarkEnd w:id="239"/>
      <w:bookmarkEnd w:id="240"/>
      <w:bookmarkEnd w:id="241"/>
      <w:bookmarkEnd w:id="242"/>
    </w:p>
    <w:p w14:paraId="5124BD33">
      <w:pPr>
        <w:spacing w:line="360" w:lineRule="auto"/>
        <w:ind w:firstLine="480" w:firstLineChars="200"/>
      </w:pPr>
      <w:bookmarkStart w:id="243" w:name="_Hlk117563129"/>
      <w:r>
        <w:t>暂无。</w:t>
      </w:r>
      <w:bookmarkEnd w:id="243"/>
      <w:bookmarkStart w:id="244" w:name="_Toc106375092"/>
    </w:p>
    <w:bookmarkEnd w:id="205"/>
    <w:bookmarkEnd w:id="244"/>
    <w:p w14:paraId="097B1B62">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245" w:name="_Toc32270"/>
      <w:bookmarkStart w:id="246" w:name="_Toc183522993"/>
      <w:bookmarkStart w:id="247" w:name="_Toc15311"/>
      <w:bookmarkStart w:id="248" w:name="_Toc29805"/>
      <w:bookmarkStart w:id="249" w:name="_Toc475469782"/>
      <w:bookmarkStart w:id="250" w:name="_Toc491423770"/>
      <w:bookmarkStart w:id="251" w:name="_Toc106375074"/>
      <w:r>
        <w:rPr>
          <w:rFonts w:ascii="Times New Roman" w:hAnsi="Times New Roman" w:eastAsia="宋体"/>
          <w:sz w:val="24"/>
          <w:szCs w:val="24"/>
          <w:lang w:val="zh-TW" w:eastAsia="zh-TW"/>
        </w:rPr>
        <w:t>筛选失败</w:t>
      </w:r>
      <w:bookmarkEnd w:id="245"/>
      <w:bookmarkEnd w:id="246"/>
      <w:bookmarkEnd w:id="247"/>
      <w:bookmarkEnd w:id="248"/>
    </w:p>
    <w:p w14:paraId="52D62783">
      <w:pPr>
        <w:spacing w:line="360" w:lineRule="auto"/>
        <w:ind w:firstLine="480" w:firstLineChars="200"/>
        <w:jc w:val="both"/>
        <w:rPr>
          <w:lang w:val="zh-TW"/>
        </w:rPr>
      </w:pPr>
      <w:r>
        <w:t>受试者需在进行任何研究相关程序前签署知情同意书，然后进入筛选期。在此期间，根据方案入选和排除标准对受试者进行评估，以确定是否有资格参加本试验，在确认受试者筛选失败之前，</w:t>
      </w:r>
      <w:r>
        <w:rPr>
          <w:lang w:val="zh-CN"/>
        </w:rPr>
        <w:t>可在筛选期间</w:t>
      </w:r>
      <w:r>
        <w:t>再次</w:t>
      </w:r>
      <w:r>
        <w:rPr>
          <w:lang w:val="zh-CN"/>
        </w:rPr>
        <w:t>确定受试者合格性的</w:t>
      </w:r>
      <w:bookmarkStart w:id="252" w:name="_Hlk87876869"/>
      <w:r>
        <w:rPr>
          <w:lang w:val="zh-CN"/>
        </w:rPr>
        <w:t>相关检查</w:t>
      </w:r>
      <w:r>
        <w:t>。研究首次筛选失败且超出筛选期的患者，经研究者评估，可允许进行一次重复筛选，需重新签署知情同意书，分配新的筛选号。</w:t>
      </w:r>
      <w:bookmarkEnd w:id="252"/>
    </w:p>
    <w:p w14:paraId="7CB6AD2B">
      <w:pPr>
        <w:pStyle w:val="2"/>
        <w:numPr>
          <w:ilvl w:val="0"/>
          <w:numId w:val="5"/>
        </w:numPr>
        <w:ind w:left="0" w:firstLine="0"/>
        <w:rPr>
          <w:rFonts w:ascii="Times New Roman" w:hAnsi="Times New Roman"/>
          <w:color w:val="auto"/>
          <w:szCs w:val="24"/>
        </w:rPr>
      </w:pPr>
      <w:bookmarkStart w:id="253" w:name="_Toc27434"/>
      <w:bookmarkStart w:id="254" w:name="_Toc183522994"/>
      <w:bookmarkStart w:id="255" w:name="_Toc1852"/>
      <w:bookmarkStart w:id="256" w:name="_Toc3294"/>
      <w:r>
        <w:rPr>
          <w:rFonts w:ascii="Times New Roman" w:hAnsi="Times New Roman"/>
          <w:color w:val="auto"/>
          <w:szCs w:val="24"/>
        </w:rPr>
        <w:t>试验干预和伴随治疗</w:t>
      </w:r>
      <w:bookmarkEnd w:id="253"/>
      <w:bookmarkEnd w:id="254"/>
      <w:bookmarkEnd w:id="255"/>
      <w:bookmarkEnd w:id="256"/>
    </w:p>
    <w:p w14:paraId="071E4FFF">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257" w:name="_试验干预描述"/>
      <w:bookmarkEnd w:id="257"/>
      <w:bookmarkStart w:id="258" w:name="_Toc2342"/>
      <w:bookmarkStart w:id="259" w:name="_Toc19986"/>
      <w:bookmarkStart w:id="260" w:name="_Toc743"/>
      <w:bookmarkStart w:id="261" w:name="_Toc183522995"/>
      <w:r>
        <w:rPr>
          <w:rFonts w:ascii="Times New Roman" w:hAnsi="Times New Roman" w:eastAsia="宋体"/>
          <w:sz w:val="24"/>
          <w:szCs w:val="24"/>
          <w:lang w:val="zh-TW" w:eastAsia="zh-TW"/>
        </w:rPr>
        <w:t>试验干预描述</w:t>
      </w:r>
      <w:bookmarkEnd w:id="258"/>
      <w:bookmarkEnd w:id="259"/>
      <w:bookmarkEnd w:id="260"/>
      <w:bookmarkEnd w:id="261"/>
    </w:p>
    <w:p w14:paraId="30EFA967">
      <w:pPr>
        <w:spacing w:line="360" w:lineRule="auto"/>
        <w:ind w:firstLine="480" w:firstLineChars="200"/>
        <w:rPr>
          <w:b/>
          <w:bCs/>
          <w:lang w:val="zh-TW"/>
        </w:rPr>
      </w:pPr>
      <w:r>
        <w:rPr>
          <w:b/>
          <w:bCs/>
          <w:lang w:val="zh-TW"/>
        </w:rPr>
        <w:t>试验用药品</w:t>
      </w:r>
    </w:p>
    <w:p w14:paraId="75429DFF">
      <w:pPr>
        <w:spacing w:line="360" w:lineRule="auto"/>
        <w:ind w:firstLine="480" w:firstLineChars="200"/>
        <w:rPr>
          <w:lang w:val="zh-TW"/>
        </w:rPr>
      </w:pPr>
      <w:r>
        <w:rPr>
          <w:lang w:val="zh-TW"/>
        </w:rPr>
        <w:t xml:space="preserve">名称：INR101注射液 </w:t>
      </w:r>
    </w:p>
    <w:p w14:paraId="17B427B7">
      <w:pPr>
        <w:spacing w:line="360" w:lineRule="auto"/>
        <w:ind w:firstLine="480" w:firstLineChars="200"/>
        <w:rPr>
          <w:lang w:val="zh-TW"/>
        </w:rPr>
      </w:pPr>
      <w:r>
        <w:rPr>
          <w:lang w:val="zh-TW"/>
        </w:rPr>
        <w:t>剂型：注射剂</w:t>
      </w:r>
    </w:p>
    <w:p w14:paraId="7564567E">
      <w:pPr>
        <w:spacing w:line="360" w:lineRule="auto"/>
        <w:ind w:firstLine="480" w:firstLineChars="200"/>
        <w:rPr>
          <w:lang w:val="zh-TW"/>
        </w:rPr>
      </w:pPr>
      <w:r>
        <w:rPr>
          <w:lang w:val="zh-TW"/>
        </w:rPr>
        <w:t>规格：</w:t>
      </w:r>
      <w:r>
        <w:rPr>
          <w:rFonts w:hint="eastAsia"/>
        </w:rPr>
        <w:t>145</w:t>
      </w:r>
      <w:r>
        <w:rPr>
          <w:lang w:val="zh-TW"/>
        </w:rPr>
        <w:t>-1500 MBq/mL</w:t>
      </w:r>
    </w:p>
    <w:p w14:paraId="50A2714E">
      <w:pPr>
        <w:spacing w:line="360" w:lineRule="auto"/>
        <w:ind w:firstLine="480" w:firstLineChars="200"/>
        <w:rPr>
          <w:lang w:val="zh-TW"/>
        </w:rPr>
      </w:pPr>
      <w:r>
        <w:rPr>
          <w:lang w:val="zh-TW"/>
        </w:rPr>
        <w:t>贮存条件：</w:t>
      </w:r>
      <w:r>
        <w:rPr>
          <w:rFonts w:hint="eastAsia"/>
        </w:rPr>
        <w:t>置适宜的屏蔽容器内，不得过 30℃，密闭保存。容器表面辐射水平应符合规定</w:t>
      </w:r>
    </w:p>
    <w:p w14:paraId="1910FB67">
      <w:pPr>
        <w:spacing w:line="360" w:lineRule="auto"/>
        <w:ind w:firstLine="480" w:firstLineChars="200"/>
        <w:rPr>
          <w:lang w:val="zh-TW"/>
        </w:rPr>
      </w:pPr>
      <w:r>
        <w:rPr>
          <w:lang w:val="zh-TW"/>
        </w:rPr>
        <w:t xml:space="preserve">生产厂家：云核医药（天津）有限公司 </w:t>
      </w:r>
    </w:p>
    <w:p w14:paraId="3B89599D">
      <w:pPr>
        <w:spacing w:line="360" w:lineRule="auto"/>
        <w:ind w:firstLine="480" w:firstLineChars="200"/>
        <w:rPr>
          <w:lang w:val="zh-TW"/>
        </w:rPr>
      </w:pPr>
      <w:r>
        <w:rPr>
          <w:lang w:val="zh-TW"/>
        </w:rPr>
        <w:t>药物提供单位：云核医药（天津）有限公司</w:t>
      </w:r>
    </w:p>
    <w:p w14:paraId="1F3FA28C">
      <w:pPr>
        <w:spacing w:line="360" w:lineRule="auto"/>
        <w:ind w:firstLine="480" w:firstLineChars="200"/>
        <w:rPr>
          <w:lang w:val="zh-TW"/>
        </w:rPr>
      </w:pPr>
      <w:r>
        <w:rPr>
          <w:lang w:val="zh-TW"/>
        </w:rPr>
        <w:t>给药方法：单次静脉注射</w:t>
      </w:r>
    </w:p>
    <w:p w14:paraId="674B8569">
      <w:pPr>
        <w:spacing w:line="360" w:lineRule="auto"/>
        <w:ind w:firstLine="480" w:firstLineChars="200"/>
      </w:pPr>
      <w:r>
        <w:rPr>
          <w:lang w:val="zh-TW"/>
        </w:rPr>
        <w:t>给药剂量：</w:t>
      </w:r>
      <w:r>
        <w:rPr>
          <w:rFonts w:hint="eastAsia"/>
          <w:szCs w:val="24"/>
        </w:rPr>
        <w:t>7mCi±15%</w:t>
      </w:r>
      <w:r>
        <w:t xml:space="preserve"> </w:t>
      </w:r>
    </w:p>
    <w:p w14:paraId="574A01F5">
      <w:pPr>
        <w:spacing w:line="360" w:lineRule="auto"/>
        <w:ind w:firstLine="480" w:firstLineChars="200"/>
        <w:rPr>
          <w:lang w:val="zh-TW"/>
        </w:rPr>
      </w:pPr>
      <w:r>
        <w:rPr>
          <w:rFonts w:hint="eastAsia"/>
        </w:rPr>
        <w:t>注意事项：</w:t>
      </w:r>
      <w:r>
        <w:rPr>
          <w:szCs w:val="24"/>
        </w:rPr>
        <w:t>注意防止放射性药品外渗。</w:t>
      </w:r>
    </w:p>
    <w:p w14:paraId="4D39F4A9">
      <w:pPr>
        <w:pStyle w:val="165"/>
        <w:ind w:firstLine="480"/>
        <w:rPr>
          <w:rFonts w:cs="Times New Roman"/>
          <w:smallCaps/>
          <w:szCs w:val="24"/>
        </w:rPr>
      </w:pPr>
      <w:r>
        <w:rPr>
          <w:rFonts w:cs="Times New Roman"/>
          <w:smallCaps/>
          <w:szCs w:val="24"/>
        </w:rPr>
        <w:t>由云核医药（天津）有限公司负责制定标签和包装试验用药品，统一提供试验用药品。</w:t>
      </w:r>
    </w:p>
    <w:p w14:paraId="436BDD5F">
      <w:pPr>
        <w:pStyle w:val="165"/>
        <w:ind w:firstLine="480"/>
        <w:rPr>
          <w:rFonts w:cs="Times New Roman"/>
          <w:smallCaps/>
          <w:szCs w:val="24"/>
        </w:rPr>
      </w:pPr>
      <w:r>
        <w:rPr>
          <w:rFonts w:cs="Times New Roman"/>
          <w:smallCaps/>
          <w:szCs w:val="24"/>
        </w:rPr>
        <w:t>试验用药品标签采用统一格式，将注明</w:t>
      </w:r>
      <w:r>
        <w:rPr>
          <w:rFonts w:hint="eastAsia" w:ascii="宋体" w:hAnsi="宋体" w:cs="宋体"/>
          <w:smallCaps/>
          <w:szCs w:val="24"/>
        </w:rPr>
        <w:t>“</w:t>
      </w:r>
      <w:r>
        <w:rPr>
          <w:rFonts w:cs="Times New Roman"/>
          <w:smallCaps/>
          <w:szCs w:val="24"/>
        </w:rPr>
        <w:t>临床试验专用</w:t>
      </w:r>
      <w:r>
        <w:rPr>
          <w:rFonts w:hint="eastAsia" w:ascii="宋体" w:hAnsi="宋体" w:cs="宋体"/>
          <w:smallCaps/>
          <w:szCs w:val="24"/>
        </w:rPr>
        <w:t>”</w:t>
      </w:r>
      <w:r>
        <w:rPr>
          <w:rFonts w:cs="Times New Roman"/>
          <w:smallCaps/>
          <w:szCs w:val="24"/>
        </w:rPr>
        <w:t>字样。</w:t>
      </w:r>
    </w:p>
    <w:p w14:paraId="1C186785">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262" w:name="_Toc136866779"/>
      <w:bookmarkEnd w:id="262"/>
      <w:bookmarkStart w:id="263" w:name="_Toc183522996"/>
      <w:bookmarkStart w:id="264" w:name="_Toc3796"/>
      <w:bookmarkStart w:id="265" w:name="_Toc27039"/>
      <w:bookmarkStart w:id="266" w:name="_Toc16719"/>
      <w:r>
        <w:rPr>
          <w:rFonts w:ascii="Times New Roman" w:hAnsi="Times New Roman" w:eastAsia="宋体"/>
          <w:sz w:val="24"/>
          <w:szCs w:val="24"/>
          <w:lang w:val="zh-TW" w:eastAsia="zh-TW"/>
        </w:rPr>
        <w:t>试验干预的选择依据</w:t>
      </w:r>
      <w:bookmarkEnd w:id="263"/>
      <w:bookmarkEnd w:id="264"/>
      <w:bookmarkEnd w:id="265"/>
      <w:bookmarkEnd w:id="266"/>
    </w:p>
    <w:p w14:paraId="6F482345">
      <w:pPr>
        <w:pStyle w:val="83"/>
        <w:ind w:firstLine="480" w:firstLineChars="200"/>
        <w:rPr>
          <w:color w:val="auto"/>
          <w:lang w:val="zh-TW" w:eastAsia="zh-TW"/>
        </w:rPr>
      </w:pPr>
      <w:r>
        <w:rPr>
          <w:color w:val="auto"/>
          <w:lang w:val="zh-TW"/>
        </w:rPr>
        <w:t>剂量选择依据见第</w:t>
      </w:r>
      <w:r>
        <w:rPr>
          <w:color w:val="0000FF"/>
          <w:lang w:val="zh-TW"/>
        </w:rPr>
        <w:fldChar w:fldCharType="begin"/>
      </w:r>
      <w:r>
        <w:rPr>
          <w:color w:val="0000FF"/>
          <w:lang w:val="zh-TW"/>
        </w:rPr>
        <w:instrText xml:space="preserve"> REF _Ref180581931 \r \h  \* MERGEFORMAT </w:instrText>
      </w:r>
      <w:r>
        <w:rPr>
          <w:color w:val="0000FF"/>
          <w:lang w:val="zh-TW"/>
        </w:rPr>
        <w:fldChar w:fldCharType="separate"/>
      </w:r>
      <w:r>
        <w:rPr>
          <w:color w:val="0000FF"/>
          <w:lang w:val="zh-TW"/>
        </w:rPr>
        <w:t>4.3.3</w:t>
      </w:r>
      <w:r>
        <w:rPr>
          <w:color w:val="0000FF"/>
          <w:lang w:val="zh-TW"/>
        </w:rPr>
        <w:fldChar w:fldCharType="end"/>
      </w:r>
      <w:r>
        <w:rPr>
          <w:color w:val="auto"/>
          <w:lang w:val="zh-TW"/>
        </w:rPr>
        <w:t>节</w:t>
      </w:r>
      <w:r>
        <w:rPr>
          <w:color w:val="auto"/>
          <w:lang w:val="zh-TW" w:eastAsia="zh-TW"/>
        </w:rPr>
        <w:t>。</w:t>
      </w:r>
    </w:p>
    <w:p w14:paraId="3D7DF29F">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267" w:name="_Toc18636"/>
      <w:bookmarkStart w:id="268" w:name="_Toc6030"/>
      <w:bookmarkStart w:id="269" w:name="_Toc7474"/>
      <w:bookmarkStart w:id="270" w:name="_Toc183522997"/>
      <w:r>
        <w:rPr>
          <w:rFonts w:ascii="Times New Roman" w:hAnsi="Times New Roman" w:eastAsia="宋体"/>
          <w:sz w:val="24"/>
          <w:szCs w:val="24"/>
          <w:lang w:val="zh-TW" w:eastAsia="zh-TW"/>
        </w:rPr>
        <w:t>用法用量</w:t>
      </w:r>
      <w:bookmarkEnd w:id="267"/>
      <w:bookmarkEnd w:id="268"/>
      <w:bookmarkEnd w:id="269"/>
      <w:bookmarkEnd w:id="270"/>
    </w:p>
    <w:p w14:paraId="23D18E9D">
      <w:pPr>
        <w:spacing w:line="360" w:lineRule="auto"/>
        <w:ind w:firstLine="480" w:firstLineChars="200"/>
        <w:jc w:val="both"/>
      </w:pPr>
      <w:r>
        <w:t>单次静脉注射</w:t>
      </w:r>
      <w:r>
        <w:rPr>
          <w:rFonts w:hint="eastAsia"/>
          <w:szCs w:val="24"/>
        </w:rPr>
        <w:t>7mCi±15%</w:t>
      </w:r>
    </w:p>
    <w:p w14:paraId="3958D023">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271" w:name="_Toc183522998"/>
      <w:bookmarkStart w:id="272" w:name="_Toc9575"/>
      <w:bookmarkStart w:id="273" w:name="_Toc17582"/>
      <w:bookmarkStart w:id="274" w:name="_Toc17939"/>
      <w:r>
        <w:rPr>
          <w:rFonts w:ascii="Times New Roman" w:hAnsi="Times New Roman" w:eastAsia="宋体"/>
          <w:sz w:val="24"/>
          <w:szCs w:val="24"/>
          <w:lang w:val="zh-TW" w:eastAsia="zh-TW"/>
        </w:rPr>
        <w:t>用药过量的治疗</w:t>
      </w:r>
      <w:bookmarkEnd w:id="271"/>
      <w:bookmarkEnd w:id="272"/>
      <w:bookmarkEnd w:id="273"/>
      <w:bookmarkEnd w:id="274"/>
    </w:p>
    <w:p w14:paraId="1F35A3E9">
      <w:pPr>
        <w:spacing w:line="360" w:lineRule="auto"/>
        <w:ind w:firstLine="480" w:firstLineChars="200"/>
        <w:jc w:val="both"/>
      </w:pPr>
      <w:r>
        <w:rPr>
          <w:rFonts w:hint="eastAsia"/>
        </w:rPr>
        <w:t>不适用</w:t>
      </w:r>
      <w:r>
        <w:t>。</w:t>
      </w:r>
    </w:p>
    <w:p w14:paraId="67DDE946">
      <w:pPr>
        <w:pStyle w:val="4"/>
        <w:numPr>
          <w:ilvl w:val="1"/>
          <w:numId w:val="5"/>
        </w:numPr>
        <w:spacing w:before="0" w:after="0" w:line="360" w:lineRule="auto"/>
        <w:ind w:left="0" w:firstLine="0"/>
        <w:rPr>
          <w:rFonts w:ascii="Times New Roman" w:hAnsi="Times New Roman" w:eastAsia="宋体"/>
          <w:sz w:val="24"/>
          <w:szCs w:val="24"/>
          <w:lang w:val="zh-TW"/>
        </w:rPr>
      </w:pPr>
      <w:bookmarkStart w:id="275" w:name="_Toc9048"/>
      <w:bookmarkStart w:id="276" w:name="_Toc183522999"/>
      <w:bookmarkStart w:id="277" w:name="_Toc17618"/>
      <w:bookmarkStart w:id="278" w:name="_Toc1038"/>
      <w:r>
        <w:rPr>
          <w:rFonts w:ascii="Times New Roman" w:hAnsi="Times New Roman" w:eastAsia="宋体"/>
          <w:sz w:val="24"/>
          <w:szCs w:val="24"/>
          <w:lang w:val="zh-TW"/>
        </w:rPr>
        <w:t>制备、处理、储存和清点</w:t>
      </w:r>
      <w:bookmarkEnd w:id="275"/>
      <w:bookmarkEnd w:id="276"/>
      <w:bookmarkEnd w:id="277"/>
      <w:bookmarkEnd w:id="278"/>
    </w:p>
    <w:p w14:paraId="474B1525">
      <w:pPr>
        <w:pStyle w:val="5"/>
        <w:numPr>
          <w:ilvl w:val="2"/>
          <w:numId w:val="22"/>
        </w:numPr>
        <w:spacing w:before="0" w:after="0" w:line="360" w:lineRule="auto"/>
        <w:ind w:left="0" w:firstLine="0"/>
        <w:jc w:val="both"/>
        <w:rPr>
          <w:sz w:val="24"/>
          <w:szCs w:val="24"/>
          <w:lang w:val="zh-TW" w:eastAsia="zh-TW"/>
        </w:rPr>
      </w:pPr>
      <w:bookmarkStart w:id="279" w:name="_Toc18494"/>
      <w:bookmarkStart w:id="280" w:name="_Toc28453"/>
      <w:bookmarkStart w:id="281" w:name="_Toc23433"/>
      <w:bookmarkStart w:id="282" w:name="_Toc183523000"/>
      <w:r>
        <w:rPr>
          <w:sz w:val="24"/>
          <w:szCs w:val="24"/>
          <w:lang w:val="zh-TW" w:eastAsia="zh-TW"/>
        </w:rPr>
        <w:t>试验干预的制备</w:t>
      </w:r>
      <w:bookmarkEnd w:id="279"/>
      <w:bookmarkEnd w:id="280"/>
      <w:bookmarkEnd w:id="281"/>
      <w:bookmarkEnd w:id="282"/>
    </w:p>
    <w:p w14:paraId="267709CE">
      <w:pPr>
        <w:pStyle w:val="83"/>
        <w:ind w:firstLine="480" w:firstLineChars="200"/>
        <w:rPr>
          <w:color w:val="auto"/>
          <w:lang w:val="zh-TW"/>
        </w:rPr>
      </w:pPr>
      <w:bookmarkStart w:id="283" w:name="_Toc529967821"/>
      <w:bookmarkEnd w:id="283"/>
      <w:bookmarkStart w:id="284" w:name="_Toc529967820"/>
      <w:bookmarkEnd w:id="284"/>
      <w:r>
        <w:rPr>
          <w:color w:val="auto"/>
          <w:lang w:val="zh-TW"/>
        </w:rPr>
        <w:t>试验用药品由申办者提供，无需在研究中心制备。</w:t>
      </w:r>
    </w:p>
    <w:p w14:paraId="3FBFE3C0">
      <w:pPr>
        <w:pStyle w:val="5"/>
        <w:numPr>
          <w:ilvl w:val="2"/>
          <w:numId w:val="22"/>
        </w:numPr>
        <w:spacing w:before="0" w:after="0" w:line="360" w:lineRule="auto"/>
        <w:ind w:left="0" w:firstLine="0"/>
        <w:jc w:val="both"/>
        <w:rPr>
          <w:sz w:val="24"/>
          <w:szCs w:val="24"/>
          <w:lang w:val="zh-TW" w:eastAsia="zh-TW"/>
        </w:rPr>
      </w:pPr>
      <w:bookmarkStart w:id="285" w:name="_Toc32223"/>
      <w:bookmarkStart w:id="286" w:name="_Toc4650"/>
      <w:bookmarkStart w:id="287" w:name="_Toc14958"/>
      <w:bookmarkStart w:id="288" w:name="_Toc183523001"/>
      <w:r>
        <w:rPr>
          <w:sz w:val="24"/>
          <w:szCs w:val="24"/>
          <w:lang w:val="zh-TW" w:eastAsia="zh-TW"/>
        </w:rPr>
        <w:t>试验干预的处理和储存</w:t>
      </w:r>
      <w:bookmarkEnd w:id="285"/>
      <w:bookmarkEnd w:id="286"/>
      <w:bookmarkEnd w:id="287"/>
      <w:bookmarkEnd w:id="288"/>
    </w:p>
    <w:p w14:paraId="3F911444">
      <w:pPr>
        <w:pStyle w:val="3"/>
        <w:spacing w:line="360" w:lineRule="auto"/>
        <w:ind w:firstLine="480" w:firstLineChars="200"/>
        <w:rPr>
          <w:rFonts w:ascii="Times New Roman" w:hAnsi="Times New Roman" w:cs="Times New Roman"/>
          <w:b/>
          <w:bCs/>
          <w:color w:val="auto"/>
          <w:sz w:val="24"/>
          <w:szCs w:val="24"/>
          <w:lang w:val="zh-TW" w:eastAsia="zh-TW"/>
        </w:rPr>
      </w:pPr>
      <w:r>
        <w:rPr>
          <w:rFonts w:ascii="Times New Roman" w:hAnsi="Times New Roman" w:cs="Times New Roman"/>
          <w:b/>
          <w:bCs/>
          <w:color w:val="auto"/>
          <w:sz w:val="24"/>
          <w:szCs w:val="24"/>
          <w:lang w:val="zh-TW" w:eastAsia="zh-TW"/>
        </w:rPr>
        <w:t>试验用药品的保存</w:t>
      </w:r>
    </w:p>
    <w:p w14:paraId="3BC35489">
      <w:pPr>
        <w:pStyle w:val="3"/>
        <w:spacing w:line="360" w:lineRule="auto"/>
        <w:ind w:firstLine="480" w:firstLineChars="20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需严格执行试验用药品和放射性药物的有关管理规定。</w:t>
      </w:r>
      <w:r>
        <w:rPr>
          <w:rFonts w:hint="eastAsia" w:ascii="Times New Roman" w:hAnsi="Times New Roman" w:cs="Times New Roman"/>
          <w:color w:val="auto"/>
          <w:sz w:val="24"/>
          <w:szCs w:val="24"/>
          <w:lang w:val="zh-TW"/>
        </w:rPr>
        <w:t>研究中心</w:t>
      </w:r>
      <w:r>
        <w:rPr>
          <w:rFonts w:ascii="Times New Roman" w:hAnsi="Times New Roman" w:cs="Times New Roman"/>
          <w:color w:val="auto"/>
          <w:sz w:val="24"/>
          <w:szCs w:val="24"/>
          <w:lang w:val="zh-TW"/>
        </w:rPr>
        <w:t>接</w:t>
      </w:r>
      <w:r>
        <w:rPr>
          <w:rFonts w:hint="eastAsia" w:ascii="Times New Roman" w:hAnsi="Times New Roman" w:cs="Times New Roman"/>
          <w:color w:val="auto"/>
          <w:sz w:val="24"/>
          <w:szCs w:val="24"/>
        </w:rPr>
        <w:t>收</w:t>
      </w:r>
      <w:r>
        <w:rPr>
          <w:rFonts w:ascii="Times New Roman" w:hAnsi="Times New Roman" w:cs="Times New Roman"/>
          <w:color w:val="auto"/>
          <w:sz w:val="24"/>
          <w:szCs w:val="24"/>
          <w:lang w:val="zh-TW"/>
        </w:rPr>
        <w:t>试验用药品须签署药物接收单，</w:t>
      </w:r>
      <w:r>
        <w:rPr>
          <w:rFonts w:hint="eastAsia" w:ascii="Times New Roman" w:hAnsi="Times New Roman" w:cs="Times New Roman"/>
          <w:color w:val="auto"/>
          <w:sz w:val="24"/>
          <w:szCs w:val="24"/>
        </w:rPr>
        <w:t>专</w:t>
      </w:r>
      <w:r>
        <w:rPr>
          <w:rFonts w:ascii="Times New Roman" w:hAnsi="Times New Roman" w:cs="Times New Roman"/>
          <w:color w:val="auto"/>
          <w:sz w:val="24"/>
          <w:szCs w:val="24"/>
          <w:lang w:val="zh-TW"/>
        </w:rPr>
        <w:t>人签字，一式两份，</w:t>
      </w:r>
      <w:r>
        <w:rPr>
          <w:rFonts w:hint="eastAsia" w:ascii="Times New Roman" w:hAnsi="Times New Roman" w:cs="Times New Roman"/>
          <w:color w:val="auto"/>
          <w:sz w:val="24"/>
          <w:szCs w:val="24"/>
          <w:lang w:val="zh-TW"/>
        </w:rPr>
        <w:t>研究中心</w:t>
      </w:r>
      <w:r>
        <w:rPr>
          <w:rFonts w:ascii="Times New Roman" w:hAnsi="Times New Roman" w:cs="Times New Roman"/>
          <w:color w:val="auto"/>
          <w:sz w:val="24"/>
          <w:szCs w:val="24"/>
          <w:lang w:val="zh-TW"/>
        </w:rPr>
        <w:t>和申办者各执一份。申办者提供试验用药品到</w:t>
      </w:r>
      <w:r>
        <w:rPr>
          <w:rFonts w:hint="eastAsia" w:ascii="Times New Roman" w:hAnsi="Times New Roman" w:cs="Times New Roman"/>
          <w:color w:val="auto"/>
          <w:sz w:val="24"/>
          <w:szCs w:val="24"/>
          <w:lang w:val="zh-TW"/>
        </w:rPr>
        <w:t>研究中心</w:t>
      </w:r>
      <w:r>
        <w:rPr>
          <w:rFonts w:ascii="Times New Roman" w:hAnsi="Times New Roman" w:cs="Times New Roman"/>
          <w:color w:val="auto"/>
          <w:sz w:val="24"/>
          <w:szCs w:val="24"/>
          <w:lang w:val="zh-TW"/>
        </w:rPr>
        <w:t>后，主要研究者或其授权代表签收确认，记录从申办者处收到试验用药品的剂型、活度、体积、批号及有效期等信息。</w:t>
      </w:r>
      <w:r>
        <w:rPr>
          <w:rFonts w:hint="eastAsia" w:ascii="Times New Roman" w:hAnsi="Times New Roman" w:cs="Times New Roman"/>
          <w:color w:val="auto"/>
          <w:sz w:val="24"/>
          <w:szCs w:val="24"/>
          <w:lang w:val="zh-TW"/>
        </w:rPr>
        <w:t>研究中心</w:t>
      </w:r>
      <w:r>
        <w:rPr>
          <w:rFonts w:ascii="Times New Roman" w:hAnsi="Times New Roman" w:cs="Times New Roman"/>
          <w:color w:val="auto"/>
          <w:sz w:val="24"/>
          <w:szCs w:val="24"/>
          <w:lang w:val="zh-TW"/>
        </w:rPr>
        <w:t>一旦收到试验用药品后，应当根据药物标签上的指示，进行贮存。保存地点要求安全且符合要求，只有主要研究者和其授权的研究人员可以接触到试验用药品，并有专人负责管理试验用药品的登记及记录。</w:t>
      </w:r>
    </w:p>
    <w:p w14:paraId="4F8EF1D2">
      <w:pPr>
        <w:pStyle w:val="5"/>
        <w:numPr>
          <w:ilvl w:val="2"/>
          <w:numId w:val="22"/>
        </w:numPr>
        <w:spacing w:before="0" w:after="0" w:line="360" w:lineRule="auto"/>
        <w:ind w:left="0" w:firstLine="0"/>
        <w:jc w:val="both"/>
        <w:rPr>
          <w:sz w:val="24"/>
          <w:szCs w:val="24"/>
          <w:lang w:val="zh-TW" w:eastAsia="zh-TW"/>
        </w:rPr>
      </w:pPr>
      <w:bookmarkStart w:id="289" w:name="_Toc183523002"/>
      <w:bookmarkStart w:id="290" w:name="_Toc8366"/>
      <w:bookmarkStart w:id="291" w:name="_Toc28373"/>
      <w:bookmarkStart w:id="292" w:name="_Toc7276"/>
      <w:r>
        <w:rPr>
          <w:sz w:val="24"/>
          <w:szCs w:val="24"/>
          <w:lang w:val="zh-TW" w:eastAsia="zh-TW"/>
        </w:rPr>
        <w:t>试验干预的清点</w:t>
      </w:r>
      <w:bookmarkEnd w:id="289"/>
      <w:bookmarkEnd w:id="290"/>
      <w:bookmarkEnd w:id="291"/>
      <w:bookmarkEnd w:id="292"/>
    </w:p>
    <w:p w14:paraId="39DFEE44">
      <w:pPr>
        <w:pStyle w:val="3"/>
        <w:spacing w:line="360" w:lineRule="auto"/>
        <w:ind w:firstLine="480" w:firstLineChars="200"/>
        <w:rPr>
          <w:rFonts w:ascii="Times New Roman" w:hAnsi="Times New Roman" w:cs="Times New Roman"/>
          <w:b/>
          <w:bCs/>
          <w:color w:val="auto"/>
          <w:sz w:val="24"/>
          <w:szCs w:val="24"/>
          <w:lang w:val="zh-TW" w:eastAsia="zh-TW"/>
        </w:rPr>
      </w:pPr>
      <w:r>
        <w:rPr>
          <w:rFonts w:ascii="Times New Roman" w:hAnsi="Times New Roman" w:cs="Times New Roman"/>
          <w:b/>
          <w:bCs/>
          <w:color w:val="auto"/>
          <w:sz w:val="24"/>
          <w:szCs w:val="24"/>
          <w:lang w:val="zh-TW" w:eastAsia="zh-TW"/>
        </w:rPr>
        <w:t>试验用药品的发放</w:t>
      </w:r>
    </w:p>
    <w:p w14:paraId="5EC46C89">
      <w:pPr>
        <w:pStyle w:val="3"/>
        <w:spacing w:line="360" w:lineRule="auto"/>
        <w:ind w:firstLine="480" w:firstLineChars="200"/>
        <w:rPr>
          <w:rFonts w:ascii="Times New Roman" w:hAnsi="Times New Roman" w:cs="Times New Roman"/>
          <w:color w:val="auto"/>
          <w:lang w:val="zh-TW"/>
        </w:rPr>
      </w:pPr>
      <w:r>
        <w:rPr>
          <w:rFonts w:ascii="Times New Roman" w:hAnsi="Times New Roman" w:cs="Times New Roman"/>
          <w:color w:val="auto"/>
          <w:sz w:val="24"/>
          <w:szCs w:val="24"/>
          <w:lang w:val="zh-TW"/>
        </w:rPr>
        <w:t>贮存在</w:t>
      </w:r>
      <w:r>
        <w:rPr>
          <w:rFonts w:hint="eastAsia" w:ascii="Times New Roman" w:hAnsi="Times New Roman" w:cs="Times New Roman"/>
          <w:color w:val="auto"/>
          <w:sz w:val="24"/>
          <w:szCs w:val="24"/>
          <w:lang w:val="zh-TW"/>
        </w:rPr>
        <w:t>研究中心</w:t>
      </w:r>
      <w:r>
        <w:rPr>
          <w:rFonts w:ascii="Times New Roman" w:hAnsi="Times New Roman" w:cs="Times New Roman"/>
          <w:color w:val="auto"/>
          <w:sz w:val="24"/>
          <w:szCs w:val="24"/>
          <w:lang w:val="zh-TW"/>
        </w:rPr>
        <w:t>的试验用药品只能按照研究方案使用。研究者将药物应用于受试者时，应及时、准确地填写药物登记表。每份试验用药品的使用均应及时记录，双人审核签名。剩余试验用药品和其他相关的医疗废弃物由研究机构按照放射性医疗废弃物处理。</w:t>
      </w:r>
      <w:bookmarkStart w:id="293" w:name="_Toc61962269"/>
      <w:bookmarkEnd w:id="293"/>
    </w:p>
    <w:p w14:paraId="3084A8B3">
      <w:pPr>
        <w:pStyle w:val="4"/>
        <w:numPr>
          <w:ilvl w:val="1"/>
          <w:numId w:val="5"/>
        </w:numPr>
        <w:spacing w:before="0" w:after="0" w:line="360" w:lineRule="auto"/>
        <w:ind w:left="0" w:firstLine="0"/>
        <w:rPr>
          <w:rFonts w:ascii="Times New Roman" w:hAnsi="Times New Roman" w:eastAsia="宋体"/>
          <w:sz w:val="24"/>
          <w:szCs w:val="24"/>
          <w:lang w:val="zh-TW"/>
        </w:rPr>
      </w:pPr>
      <w:bookmarkStart w:id="294" w:name="_Toc183523003"/>
      <w:bookmarkStart w:id="295" w:name="_Toc28622"/>
      <w:bookmarkStart w:id="296" w:name="_Toc6938"/>
      <w:bookmarkStart w:id="297" w:name="_Toc803"/>
      <w:r>
        <w:rPr>
          <w:rFonts w:ascii="Times New Roman" w:hAnsi="Times New Roman" w:eastAsia="宋体"/>
          <w:sz w:val="24"/>
          <w:szCs w:val="24"/>
          <w:lang w:val="zh-TW"/>
        </w:rPr>
        <w:t>参与者分配、随机化和设盲</w:t>
      </w:r>
      <w:bookmarkEnd w:id="294"/>
      <w:bookmarkEnd w:id="295"/>
      <w:bookmarkEnd w:id="296"/>
      <w:bookmarkEnd w:id="297"/>
    </w:p>
    <w:p w14:paraId="6C48A833">
      <w:pPr>
        <w:pStyle w:val="5"/>
        <w:numPr>
          <w:ilvl w:val="2"/>
          <w:numId w:val="23"/>
        </w:numPr>
        <w:spacing w:before="0" w:after="0" w:line="360" w:lineRule="auto"/>
        <w:ind w:left="0" w:firstLine="0"/>
        <w:jc w:val="both"/>
        <w:rPr>
          <w:sz w:val="24"/>
          <w:szCs w:val="24"/>
          <w:lang w:val="zh-TW" w:eastAsia="zh-TW"/>
        </w:rPr>
      </w:pPr>
      <w:bookmarkStart w:id="298" w:name="_Toc21196"/>
      <w:bookmarkStart w:id="299" w:name="_Toc7687"/>
      <w:bookmarkStart w:id="300" w:name="_Toc183523004"/>
      <w:bookmarkStart w:id="301" w:name="_Toc24633"/>
      <w:r>
        <w:rPr>
          <w:sz w:val="24"/>
          <w:szCs w:val="24"/>
          <w:lang w:val="zh-TW" w:eastAsia="zh-TW"/>
        </w:rPr>
        <w:t>参与者分配</w:t>
      </w:r>
      <w:bookmarkEnd w:id="298"/>
      <w:bookmarkEnd w:id="299"/>
      <w:bookmarkEnd w:id="300"/>
      <w:bookmarkEnd w:id="301"/>
    </w:p>
    <w:p w14:paraId="3A69B02D">
      <w:pPr>
        <w:pStyle w:val="3"/>
        <w:spacing w:line="360" w:lineRule="auto"/>
        <w:ind w:firstLine="480" w:firstLineChars="20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每位受试者签署知情同意书后将根据知情同意书签署的先后顺序分配筛选号，受试者将使用筛选号进行识别，以SR+5位阿拉伯数字组成，如SR03001，其中第二位英文字母R代表“</w:t>
      </w:r>
      <w:r>
        <w:rPr>
          <w:rFonts w:hint="eastAsia" w:ascii="Times New Roman" w:hAnsi="Times New Roman" w:cs="Times New Roman"/>
          <w:color w:val="auto"/>
          <w:sz w:val="24"/>
          <w:szCs w:val="24"/>
        </w:rPr>
        <w:t>复发</w:t>
      </w:r>
      <w:r>
        <w:rPr>
          <w:rFonts w:ascii="Times New Roman" w:hAnsi="Times New Roman" w:cs="Times New Roman"/>
          <w:color w:val="auto"/>
          <w:sz w:val="24"/>
          <w:szCs w:val="24"/>
          <w:lang w:val="zh-TW"/>
        </w:rPr>
        <w:t>人群</w:t>
      </w:r>
      <w:r>
        <w:rPr>
          <w:rFonts w:hint="eastAsia" w:ascii="Times New Roman" w:hAnsi="Times New Roman" w:cs="Times New Roman"/>
          <w:color w:val="auto"/>
          <w:sz w:val="24"/>
          <w:szCs w:val="24"/>
          <w:lang w:val="zh-TW"/>
        </w:rPr>
        <w:t>（</w:t>
      </w:r>
      <w:r>
        <w:rPr>
          <w:rFonts w:ascii="Times New Roman" w:hAnsi="Times New Roman" w:cs="Times New Roman"/>
          <w:color w:val="auto"/>
          <w:sz w:val="24"/>
          <w:szCs w:val="24"/>
          <w:lang w:val="zh-TW"/>
        </w:rPr>
        <w:t>Recurrence</w:t>
      </w:r>
      <w:r>
        <w:rPr>
          <w:rFonts w:hint="eastAsia" w:ascii="Times New Roman" w:hAnsi="Times New Roman" w:cs="Times New Roman"/>
          <w:color w:val="auto"/>
          <w:sz w:val="24"/>
          <w:szCs w:val="24"/>
          <w:lang w:val="zh-TW"/>
        </w:rPr>
        <w:t>）</w:t>
      </w:r>
      <w:r>
        <w:rPr>
          <w:rFonts w:ascii="Times New Roman" w:hAnsi="Times New Roman" w:cs="Times New Roman"/>
          <w:color w:val="auto"/>
          <w:sz w:val="24"/>
          <w:szCs w:val="24"/>
          <w:lang w:val="zh-TW"/>
        </w:rPr>
        <w:t>：既往接受过前列腺癌根治性治疗后PSA升高疑似复发的受试者”，前两位阿拉伯数字代表中心编号，后三位为受试者在该中心实际筛选的顺序号。例如：3中心的第1位筛选受试者，其筛选号为SR03001。</w:t>
      </w:r>
    </w:p>
    <w:p w14:paraId="03988DBC">
      <w:pPr>
        <w:pStyle w:val="3"/>
        <w:spacing w:line="360" w:lineRule="auto"/>
        <w:ind w:firstLine="480" w:firstLineChars="20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筛选合格的受试者将根据筛选合格的先后顺序获得入组号，以R+5位阿拉伯数字组成，如R03001，其中第一位英文字母R代表“</w:t>
      </w:r>
      <w:r>
        <w:rPr>
          <w:rFonts w:hint="eastAsia" w:ascii="Times New Roman" w:hAnsi="Times New Roman" w:cs="Times New Roman"/>
          <w:color w:val="auto"/>
          <w:sz w:val="24"/>
          <w:szCs w:val="24"/>
        </w:rPr>
        <w:t>复发</w:t>
      </w:r>
      <w:r>
        <w:rPr>
          <w:rFonts w:ascii="Times New Roman" w:hAnsi="Times New Roman" w:cs="Times New Roman"/>
          <w:color w:val="auto"/>
          <w:sz w:val="24"/>
          <w:szCs w:val="24"/>
          <w:lang w:val="zh-TW"/>
        </w:rPr>
        <w:t>人群：既往接受过前列腺癌根治性治疗后PSA升高疑似复发的受试者”，前两位阿拉伯数字代表中心编号，后三位为受试者在该中心实际入组的顺序号。例如：3中心第1位通过筛选入组的受试者，其入组号为R03001。</w:t>
      </w:r>
    </w:p>
    <w:p w14:paraId="0E82218B">
      <w:pPr>
        <w:pStyle w:val="3"/>
        <w:spacing w:line="360" w:lineRule="auto"/>
        <w:ind w:firstLine="480" w:firstLineChars="20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因任何原因、不论是否使用了</w:t>
      </w:r>
      <w:r>
        <w:rPr>
          <w:rFonts w:hint="eastAsia" w:ascii="Times New Roman" w:hAnsi="Times New Roman" w:cs="Times New Roman"/>
          <w:color w:val="auto"/>
          <w:sz w:val="24"/>
          <w:szCs w:val="24"/>
        </w:rPr>
        <w:t>试验</w:t>
      </w:r>
      <w:r>
        <w:rPr>
          <w:rFonts w:ascii="Times New Roman" w:hAnsi="Times New Roman" w:cs="Times New Roman"/>
          <w:color w:val="auto"/>
          <w:sz w:val="24"/>
          <w:szCs w:val="24"/>
          <w:lang w:val="zh-TW"/>
        </w:rPr>
        <w:t>用药品</w:t>
      </w:r>
      <w:r>
        <w:rPr>
          <w:rFonts w:hint="eastAsia" w:ascii="Times New Roman" w:hAnsi="Times New Roman" w:cs="Times New Roman"/>
          <w:color w:val="auto"/>
          <w:sz w:val="24"/>
          <w:szCs w:val="24"/>
          <w:lang w:val="zh-TW"/>
        </w:rPr>
        <w:t>，</w:t>
      </w:r>
      <w:r>
        <w:rPr>
          <w:rFonts w:ascii="Times New Roman" w:hAnsi="Times New Roman" w:cs="Times New Roman"/>
          <w:color w:val="auto"/>
          <w:sz w:val="24"/>
          <w:szCs w:val="24"/>
          <w:lang w:val="zh-TW"/>
        </w:rPr>
        <w:t>退出临床试验的受试者将保留其</w:t>
      </w:r>
      <w:r>
        <w:rPr>
          <w:rFonts w:hint="eastAsia" w:ascii="Times New Roman" w:hAnsi="Times New Roman" w:cs="Times New Roman"/>
          <w:color w:val="auto"/>
          <w:sz w:val="24"/>
          <w:szCs w:val="24"/>
        </w:rPr>
        <w:t>筛选号和</w:t>
      </w:r>
      <w:r>
        <w:rPr>
          <w:rFonts w:ascii="Times New Roman" w:hAnsi="Times New Roman" w:cs="Times New Roman"/>
          <w:color w:val="auto"/>
          <w:sz w:val="24"/>
          <w:szCs w:val="24"/>
          <w:lang w:val="zh-TW"/>
        </w:rPr>
        <w:t>入组号</w:t>
      </w:r>
      <w:r>
        <w:rPr>
          <w:rFonts w:hint="eastAsia" w:ascii="Times New Roman" w:hAnsi="Times New Roman" w:cs="Times New Roman"/>
          <w:color w:val="auto"/>
          <w:sz w:val="24"/>
          <w:szCs w:val="24"/>
          <w:lang w:val="zh-TW"/>
        </w:rPr>
        <w:t>，</w:t>
      </w:r>
      <w:r>
        <w:rPr>
          <w:rFonts w:hint="eastAsia" w:ascii="Times New Roman" w:hAnsi="Times New Roman" w:cs="Times New Roman"/>
          <w:color w:val="auto"/>
          <w:sz w:val="24"/>
          <w:szCs w:val="24"/>
        </w:rPr>
        <w:t>且后续筛选入组受试者不再重复使用</w:t>
      </w:r>
      <w:r>
        <w:rPr>
          <w:rFonts w:ascii="Times New Roman" w:hAnsi="Times New Roman" w:cs="Times New Roman"/>
          <w:color w:val="auto"/>
          <w:sz w:val="24"/>
          <w:szCs w:val="24"/>
          <w:lang w:val="zh-TW"/>
        </w:rPr>
        <w:t>。</w:t>
      </w:r>
    </w:p>
    <w:p w14:paraId="314D8679">
      <w:pPr>
        <w:pStyle w:val="5"/>
        <w:numPr>
          <w:ilvl w:val="2"/>
          <w:numId w:val="23"/>
        </w:numPr>
        <w:spacing w:before="0" w:after="0" w:line="360" w:lineRule="auto"/>
        <w:ind w:left="0" w:firstLine="0"/>
        <w:jc w:val="both"/>
        <w:rPr>
          <w:sz w:val="24"/>
          <w:szCs w:val="24"/>
          <w:lang w:val="zh-TW" w:eastAsia="zh-TW"/>
        </w:rPr>
      </w:pPr>
      <w:bookmarkStart w:id="302" w:name="_Toc28729"/>
      <w:bookmarkStart w:id="303" w:name="_Toc7397"/>
      <w:bookmarkStart w:id="304" w:name="_Toc183523005"/>
      <w:bookmarkStart w:id="305" w:name="_Toc4397"/>
      <w:r>
        <w:rPr>
          <w:sz w:val="24"/>
          <w:szCs w:val="24"/>
          <w:lang w:val="zh-TW" w:eastAsia="zh-TW"/>
        </w:rPr>
        <w:t>随机化</w:t>
      </w:r>
      <w:bookmarkEnd w:id="302"/>
      <w:bookmarkEnd w:id="303"/>
      <w:bookmarkEnd w:id="304"/>
      <w:bookmarkEnd w:id="305"/>
    </w:p>
    <w:p w14:paraId="062C938C">
      <w:pPr>
        <w:spacing w:line="360" w:lineRule="auto"/>
        <w:ind w:firstLine="480" w:firstLineChars="200"/>
        <w:jc w:val="both"/>
        <w:rPr>
          <w:lang w:val="zh-TW"/>
        </w:rPr>
      </w:pPr>
      <w:r>
        <w:rPr>
          <w:lang w:val="zh-TW"/>
        </w:rPr>
        <w:t>本研究为开放性、单臂研究，不进行随机化。</w:t>
      </w:r>
    </w:p>
    <w:bookmarkEnd w:id="249"/>
    <w:bookmarkEnd w:id="250"/>
    <w:bookmarkEnd w:id="251"/>
    <w:p w14:paraId="77250F30">
      <w:pPr>
        <w:pStyle w:val="5"/>
        <w:numPr>
          <w:ilvl w:val="2"/>
          <w:numId w:val="23"/>
        </w:numPr>
        <w:spacing w:before="0" w:after="0" w:line="360" w:lineRule="auto"/>
        <w:ind w:left="0" w:firstLine="0"/>
        <w:jc w:val="both"/>
        <w:rPr>
          <w:sz w:val="24"/>
          <w:szCs w:val="24"/>
          <w:lang w:val="zh-TW" w:eastAsia="zh-TW"/>
        </w:rPr>
      </w:pPr>
      <w:bookmarkStart w:id="306" w:name="_Toc183523006"/>
      <w:bookmarkStart w:id="307" w:name="_Toc16402"/>
      <w:bookmarkStart w:id="308" w:name="_Toc27873"/>
      <w:bookmarkStart w:id="309" w:name="_Toc106375076"/>
      <w:bookmarkStart w:id="310" w:name="_Toc450811953"/>
      <w:bookmarkStart w:id="311" w:name="_Toc491423880"/>
      <w:bookmarkStart w:id="312" w:name="_Toc475469814"/>
      <w:bookmarkStart w:id="313" w:name="_Toc31138"/>
      <w:r>
        <w:rPr>
          <w:sz w:val="24"/>
          <w:szCs w:val="24"/>
          <w:lang w:val="zh-TW" w:eastAsia="zh-TW"/>
        </w:rPr>
        <w:t>设盲</w:t>
      </w:r>
      <w:bookmarkEnd w:id="306"/>
      <w:bookmarkEnd w:id="307"/>
      <w:bookmarkEnd w:id="308"/>
      <w:bookmarkEnd w:id="309"/>
      <w:bookmarkEnd w:id="310"/>
      <w:bookmarkEnd w:id="311"/>
      <w:bookmarkEnd w:id="312"/>
      <w:bookmarkEnd w:id="313"/>
    </w:p>
    <w:p w14:paraId="63C4A084">
      <w:pPr>
        <w:pStyle w:val="83"/>
        <w:ind w:firstLine="480" w:firstLineChars="200"/>
        <w:rPr>
          <w:color w:val="auto"/>
          <w:lang w:val="zh-TW"/>
        </w:rPr>
      </w:pPr>
      <w:r>
        <w:rPr>
          <w:color w:val="auto"/>
          <w:lang w:val="zh-TW"/>
        </w:rPr>
        <w:t>本研究为开放性、单臂研究，</w:t>
      </w:r>
      <w:r>
        <w:rPr>
          <w:color w:val="auto"/>
        </w:rPr>
        <w:t>设立盲态独立影像评估</w:t>
      </w:r>
      <w:r>
        <w:rPr>
          <w:color w:val="auto"/>
          <w:lang w:val="zh-TW"/>
        </w:rPr>
        <w:t>。</w:t>
      </w:r>
    </w:p>
    <w:p w14:paraId="094EE05E">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314" w:name="_Toc6780"/>
      <w:bookmarkStart w:id="315" w:name="_Toc25497"/>
      <w:bookmarkStart w:id="316" w:name="_Toc183523007"/>
      <w:bookmarkStart w:id="317" w:name="_Toc7065"/>
      <w:r>
        <w:rPr>
          <w:rFonts w:ascii="Times New Roman" w:hAnsi="Times New Roman" w:eastAsia="宋体"/>
          <w:sz w:val="24"/>
          <w:szCs w:val="24"/>
          <w:lang w:val="zh-TW" w:eastAsia="zh-TW"/>
        </w:rPr>
        <w:t>试验干预依从性</w:t>
      </w:r>
      <w:bookmarkEnd w:id="314"/>
      <w:bookmarkEnd w:id="315"/>
      <w:bookmarkEnd w:id="316"/>
      <w:bookmarkEnd w:id="317"/>
    </w:p>
    <w:p w14:paraId="320225A7">
      <w:pPr>
        <w:pStyle w:val="83"/>
        <w:ind w:firstLine="480" w:firstLineChars="200"/>
        <w:rPr>
          <w:color w:val="auto"/>
        </w:rPr>
      </w:pPr>
      <w:r>
        <w:rPr>
          <w:color w:val="auto"/>
        </w:rPr>
        <w:t>用药依从性的定义为研究期间受试者实际接受的药物放射性活度除以应接受的药物放射性活度，然后乘以100%。具体按以下公式计算：</w:t>
      </w:r>
    </w:p>
    <w:p w14:paraId="176B57A7">
      <w:pPr>
        <w:pStyle w:val="83"/>
        <w:ind w:firstLine="480" w:firstLineChars="200"/>
        <w:rPr>
          <w:color w:val="auto"/>
        </w:rPr>
      </w:pPr>
      <w:r>
        <w:rPr>
          <w:color w:val="auto"/>
        </w:rPr>
        <w:t>用药依从性（100%）=（实际用药放射性活度/计划用药放射性活度）×100%</w:t>
      </w:r>
    </w:p>
    <w:p w14:paraId="0C0E6F4C">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318" w:name="_Toc15309"/>
      <w:bookmarkStart w:id="319" w:name="_Toc183523008"/>
      <w:bookmarkStart w:id="320" w:name="_Toc26136"/>
      <w:bookmarkStart w:id="321" w:name="_Toc9824"/>
      <w:r>
        <w:rPr>
          <w:rFonts w:ascii="Times New Roman" w:hAnsi="Times New Roman" w:eastAsia="宋体"/>
          <w:sz w:val="24"/>
          <w:szCs w:val="24"/>
          <w:lang w:val="zh-TW" w:eastAsia="zh-TW"/>
        </w:rPr>
        <w:t>伴随治疗</w:t>
      </w:r>
      <w:bookmarkEnd w:id="318"/>
      <w:bookmarkEnd w:id="319"/>
      <w:bookmarkEnd w:id="320"/>
      <w:bookmarkEnd w:id="321"/>
    </w:p>
    <w:p w14:paraId="20D070FB">
      <w:pPr>
        <w:pStyle w:val="5"/>
        <w:numPr>
          <w:ilvl w:val="2"/>
          <w:numId w:val="24"/>
        </w:numPr>
        <w:spacing w:before="0" w:after="0" w:line="360" w:lineRule="auto"/>
        <w:ind w:left="0" w:firstLine="0"/>
        <w:jc w:val="both"/>
        <w:rPr>
          <w:sz w:val="24"/>
          <w:szCs w:val="24"/>
          <w:lang w:val="zh-TW" w:eastAsia="zh-TW"/>
        </w:rPr>
      </w:pPr>
      <w:bookmarkStart w:id="322" w:name="_Toc32761"/>
      <w:bookmarkStart w:id="323" w:name="_Toc14038"/>
      <w:bookmarkStart w:id="324" w:name="_Toc10896"/>
      <w:bookmarkStart w:id="325" w:name="_Toc183523009"/>
      <w:r>
        <w:rPr>
          <w:sz w:val="24"/>
          <w:szCs w:val="24"/>
          <w:lang w:val="zh-TW" w:eastAsia="zh-TW"/>
        </w:rPr>
        <w:t>禁止的伴随治疗</w:t>
      </w:r>
      <w:bookmarkEnd w:id="322"/>
      <w:bookmarkEnd w:id="323"/>
      <w:bookmarkEnd w:id="324"/>
      <w:bookmarkEnd w:id="325"/>
    </w:p>
    <w:p w14:paraId="778B13C3">
      <w:pPr>
        <w:spacing w:line="360" w:lineRule="auto"/>
        <w:ind w:firstLine="480" w:firstLineChars="200"/>
        <w:jc w:val="both"/>
        <w:rPr>
          <w:bCs/>
        </w:rPr>
      </w:pPr>
      <w:r>
        <w:rPr>
          <w:bCs/>
        </w:rPr>
        <w:t>在整个研究期间（签署知情同意书至研究结束/退出访视）禁止使用的药物或治疗包括：</w:t>
      </w:r>
    </w:p>
    <w:p w14:paraId="2D822417">
      <w:pPr>
        <w:pStyle w:val="35"/>
        <w:numPr>
          <w:ilvl w:val="0"/>
          <w:numId w:val="25"/>
        </w:numPr>
        <w:spacing w:after="0" w:line="360" w:lineRule="auto"/>
        <w:jc w:val="both"/>
      </w:pPr>
      <w:r>
        <w:t>给药前24小时内接受口服或静脉注射碘造影剂；</w:t>
      </w:r>
    </w:p>
    <w:p w14:paraId="74AF50C2">
      <w:pPr>
        <w:pStyle w:val="35"/>
        <w:numPr>
          <w:ilvl w:val="0"/>
          <w:numId w:val="25"/>
        </w:numPr>
        <w:spacing w:after="0" w:line="360" w:lineRule="auto"/>
        <w:jc w:val="both"/>
      </w:pPr>
      <w:r>
        <w:t>给药前5天内接受过任何高密度口服造影剂（研究者判断肠道内无造影剂残留者除外；</w:t>
      </w:r>
      <w:bookmarkStart w:id="326" w:name="_Hlk181803407"/>
      <w:r>
        <w:t>可接受口服水溶性造影剂</w:t>
      </w:r>
      <w:bookmarkEnd w:id="326"/>
      <w:r>
        <w:t>）;</w:t>
      </w:r>
    </w:p>
    <w:p w14:paraId="04BA0A7B">
      <w:pPr>
        <w:pStyle w:val="35"/>
        <w:numPr>
          <w:ilvl w:val="0"/>
          <w:numId w:val="25"/>
        </w:numPr>
        <w:spacing w:after="0" w:line="360" w:lineRule="auto"/>
        <w:jc w:val="both"/>
      </w:pPr>
      <w:r>
        <w:t>其他含氟[</w:t>
      </w:r>
      <w:r>
        <w:rPr>
          <w:vertAlign w:val="superscript"/>
        </w:rPr>
        <w:t>18</w:t>
      </w:r>
      <w:r>
        <w:t>F]的影像学检查与INR101注射液给药间隔至少24 h；</w:t>
      </w:r>
    </w:p>
    <w:p w14:paraId="7030C8A7">
      <w:pPr>
        <w:pStyle w:val="35"/>
        <w:numPr>
          <w:ilvl w:val="0"/>
          <w:numId w:val="25"/>
        </w:numPr>
        <w:spacing w:after="0" w:line="360" w:lineRule="auto"/>
        <w:jc w:val="both"/>
      </w:pPr>
      <w:r>
        <w:t>任何其他临床试验的药物或非药物治疗。</w:t>
      </w:r>
    </w:p>
    <w:p w14:paraId="1A8EA2CF">
      <w:pPr>
        <w:pStyle w:val="5"/>
        <w:numPr>
          <w:ilvl w:val="2"/>
          <w:numId w:val="24"/>
        </w:numPr>
        <w:spacing w:before="0" w:after="0" w:line="360" w:lineRule="auto"/>
        <w:ind w:left="0" w:firstLine="0"/>
        <w:jc w:val="both"/>
        <w:rPr>
          <w:sz w:val="24"/>
          <w:szCs w:val="24"/>
          <w:lang w:val="zh-TW" w:eastAsia="zh-TW"/>
        </w:rPr>
      </w:pPr>
      <w:bookmarkStart w:id="327" w:name="_Toc14717"/>
      <w:bookmarkStart w:id="328" w:name="_Toc10490"/>
      <w:bookmarkStart w:id="329" w:name="_Toc183523010"/>
      <w:bookmarkStart w:id="330" w:name="_Toc20305"/>
      <w:r>
        <w:rPr>
          <w:sz w:val="24"/>
          <w:szCs w:val="24"/>
          <w:lang w:val="zh-TW" w:eastAsia="zh-TW"/>
        </w:rPr>
        <w:t>允许的伴随治疗</w:t>
      </w:r>
      <w:bookmarkEnd w:id="327"/>
      <w:bookmarkEnd w:id="328"/>
      <w:bookmarkEnd w:id="329"/>
      <w:bookmarkEnd w:id="330"/>
    </w:p>
    <w:p w14:paraId="6D08A7A7">
      <w:pPr>
        <w:spacing w:line="360" w:lineRule="auto"/>
        <w:ind w:firstLine="480" w:firstLineChars="200"/>
        <w:jc w:val="both"/>
      </w:pPr>
      <w:r>
        <w:rPr>
          <w:lang w:val="zh-TW"/>
        </w:rPr>
        <w:t>本研究允许使用合并治疗，但预期会干扰研究</w:t>
      </w:r>
      <w:r>
        <w:rPr>
          <w:rFonts w:hint="eastAsia"/>
          <w:lang w:val="zh-TW"/>
        </w:rPr>
        <w:t>成像</w:t>
      </w:r>
      <w:r>
        <w:rPr>
          <w:lang w:val="zh-TW"/>
        </w:rPr>
        <w:t>的评估（或与其相互作用）除外。任何伴随或新合并的用药和治疗都需要由研究者详细记录</w:t>
      </w:r>
      <w:r>
        <w:t>。</w:t>
      </w:r>
    </w:p>
    <w:p w14:paraId="0014A450">
      <w:pPr>
        <w:pStyle w:val="5"/>
        <w:numPr>
          <w:ilvl w:val="2"/>
          <w:numId w:val="24"/>
        </w:numPr>
        <w:spacing w:before="0" w:after="0" w:line="360" w:lineRule="auto"/>
        <w:ind w:left="0" w:firstLine="0"/>
        <w:jc w:val="both"/>
        <w:rPr>
          <w:sz w:val="24"/>
          <w:szCs w:val="24"/>
          <w:lang w:val="zh-TW" w:eastAsia="zh-TW"/>
        </w:rPr>
      </w:pPr>
      <w:bookmarkStart w:id="331" w:name="_Toc7748"/>
      <w:bookmarkStart w:id="332" w:name="_Toc24365"/>
      <w:bookmarkStart w:id="333" w:name="_Toc4368"/>
      <w:bookmarkStart w:id="334" w:name="_Toc183523011"/>
      <w:r>
        <w:rPr>
          <w:sz w:val="24"/>
          <w:szCs w:val="24"/>
          <w:lang w:val="zh-TW" w:eastAsia="zh-TW"/>
        </w:rPr>
        <w:t>补救治疗</w:t>
      </w:r>
      <w:bookmarkEnd w:id="331"/>
      <w:bookmarkEnd w:id="332"/>
      <w:bookmarkEnd w:id="333"/>
      <w:bookmarkEnd w:id="334"/>
    </w:p>
    <w:p w14:paraId="32F0413E">
      <w:pPr>
        <w:spacing w:line="360" w:lineRule="auto"/>
        <w:ind w:firstLine="480" w:firstLineChars="200"/>
        <w:rPr>
          <w:lang w:val="zh-TW" w:eastAsia="zh-TW"/>
        </w:rPr>
      </w:pPr>
      <w:r>
        <w:rPr>
          <w:lang w:val="zh-TW" w:eastAsia="zh-TW"/>
        </w:rPr>
        <w:t>不适用。</w:t>
      </w:r>
    </w:p>
    <w:p w14:paraId="4603B97F">
      <w:pPr>
        <w:pStyle w:val="2"/>
        <w:numPr>
          <w:ilvl w:val="0"/>
          <w:numId w:val="5"/>
        </w:numPr>
        <w:ind w:left="0" w:firstLine="0"/>
        <w:rPr>
          <w:rFonts w:ascii="Times New Roman" w:hAnsi="Times New Roman"/>
          <w:color w:val="auto"/>
          <w:szCs w:val="24"/>
        </w:rPr>
      </w:pPr>
      <w:bookmarkStart w:id="335" w:name="_Toc183523012"/>
      <w:bookmarkStart w:id="336" w:name="_Toc15096"/>
      <w:bookmarkStart w:id="337" w:name="_Toc105"/>
      <w:bookmarkStart w:id="338" w:name="_Toc12272"/>
      <w:r>
        <w:rPr>
          <w:rFonts w:ascii="Times New Roman" w:hAnsi="Times New Roman"/>
          <w:color w:val="auto"/>
          <w:szCs w:val="24"/>
        </w:rPr>
        <w:t>试验干预中止和受试者退出试验</w:t>
      </w:r>
      <w:bookmarkEnd w:id="335"/>
      <w:bookmarkEnd w:id="336"/>
      <w:bookmarkEnd w:id="337"/>
      <w:bookmarkEnd w:id="338"/>
    </w:p>
    <w:p w14:paraId="17F019AD">
      <w:pPr>
        <w:pStyle w:val="4"/>
        <w:numPr>
          <w:ilvl w:val="1"/>
          <w:numId w:val="5"/>
        </w:numPr>
        <w:spacing w:before="0" w:after="0" w:line="360" w:lineRule="auto"/>
        <w:ind w:left="0" w:firstLine="0"/>
        <w:rPr>
          <w:rFonts w:ascii="Times New Roman" w:hAnsi="Times New Roman" w:eastAsia="宋体"/>
          <w:sz w:val="24"/>
          <w:szCs w:val="24"/>
          <w:lang w:val="zh-TW"/>
        </w:rPr>
      </w:pPr>
      <w:bookmarkStart w:id="339" w:name="_Toc183523013"/>
      <w:bookmarkStart w:id="340" w:name="_Toc2239"/>
      <w:bookmarkStart w:id="341" w:name="_Toc3239"/>
      <w:bookmarkStart w:id="342" w:name="_Toc4115"/>
      <w:bookmarkStart w:id="343" w:name="_Toc106375080"/>
      <w:bookmarkStart w:id="344" w:name="_Toc491423796"/>
      <w:bookmarkStart w:id="345" w:name="_Toc475469807"/>
      <w:r>
        <w:rPr>
          <w:rFonts w:ascii="Times New Roman" w:hAnsi="Times New Roman" w:eastAsia="宋体"/>
          <w:sz w:val="24"/>
          <w:szCs w:val="24"/>
          <w:lang w:val="zh-TW" w:eastAsia="zh-TW"/>
        </w:rPr>
        <w:t>试验干预中止</w:t>
      </w:r>
      <w:bookmarkEnd w:id="339"/>
      <w:bookmarkEnd w:id="340"/>
      <w:bookmarkEnd w:id="341"/>
      <w:bookmarkEnd w:id="342"/>
    </w:p>
    <w:p w14:paraId="7115C1D5">
      <w:pPr>
        <w:pStyle w:val="5"/>
        <w:numPr>
          <w:ilvl w:val="2"/>
          <w:numId w:val="26"/>
        </w:numPr>
        <w:spacing w:before="0" w:after="0" w:line="360" w:lineRule="auto"/>
        <w:ind w:left="0" w:firstLine="0"/>
        <w:jc w:val="both"/>
        <w:rPr>
          <w:sz w:val="24"/>
          <w:szCs w:val="24"/>
          <w:lang w:val="zh-TW"/>
        </w:rPr>
      </w:pPr>
      <w:bookmarkStart w:id="346" w:name="_Toc22894"/>
      <w:bookmarkStart w:id="347" w:name="_Toc27728"/>
      <w:bookmarkStart w:id="348" w:name="_Toc183523014"/>
      <w:bookmarkStart w:id="349" w:name="_Toc713"/>
      <w:r>
        <w:rPr>
          <w:sz w:val="24"/>
          <w:szCs w:val="24"/>
          <w:lang w:val="zh-TW"/>
        </w:rPr>
        <w:t>永久终止试验干预的标准</w:t>
      </w:r>
      <w:bookmarkEnd w:id="346"/>
      <w:bookmarkEnd w:id="347"/>
      <w:bookmarkEnd w:id="348"/>
      <w:bookmarkEnd w:id="349"/>
    </w:p>
    <w:p w14:paraId="6ABA0D39">
      <w:pPr>
        <w:pStyle w:val="122"/>
        <w:spacing w:line="360" w:lineRule="auto"/>
        <w:ind w:firstLine="480"/>
        <w:rPr>
          <w:lang w:val="zh-TW" w:eastAsia="zh-TW"/>
        </w:rPr>
      </w:pPr>
      <w:r>
        <w:rPr>
          <w:lang w:val="zh-TW" w:eastAsia="zh-TW"/>
        </w:rPr>
        <w:t>不适用。</w:t>
      </w:r>
    </w:p>
    <w:p w14:paraId="7E9A45DB">
      <w:pPr>
        <w:pStyle w:val="5"/>
        <w:numPr>
          <w:ilvl w:val="2"/>
          <w:numId w:val="26"/>
        </w:numPr>
        <w:spacing w:before="0" w:after="0" w:line="360" w:lineRule="auto"/>
        <w:ind w:left="0" w:firstLine="0"/>
        <w:jc w:val="both"/>
        <w:rPr>
          <w:sz w:val="24"/>
          <w:szCs w:val="24"/>
          <w:lang w:val="zh-TW"/>
        </w:rPr>
      </w:pPr>
      <w:bookmarkStart w:id="350" w:name="_暂时中止或中断试验干预"/>
      <w:bookmarkEnd w:id="350"/>
      <w:bookmarkStart w:id="351" w:name="_Toc5625"/>
      <w:bookmarkStart w:id="352" w:name="_Toc23944"/>
      <w:bookmarkStart w:id="353" w:name="_Toc27995"/>
      <w:bookmarkStart w:id="354" w:name="_Toc183523015"/>
      <w:r>
        <w:rPr>
          <w:sz w:val="24"/>
          <w:szCs w:val="24"/>
          <w:lang w:val="zh-TW"/>
        </w:rPr>
        <w:t>暂时中止或中断试验干预</w:t>
      </w:r>
      <w:bookmarkEnd w:id="351"/>
      <w:bookmarkEnd w:id="352"/>
      <w:bookmarkEnd w:id="353"/>
      <w:bookmarkEnd w:id="354"/>
    </w:p>
    <w:p w14:paraId="7F76CFF3">
      <w:pPr>
        <w:pStyle w:val="122"/>
        <w:spacing w:line="360" w:lineRule="auto"/>
        <w:ind w:firstLine="480"/>
        <w:rPr>
          <w:lang w:val="zh-TW" w:eastAsia="zh-TW"/>
        </w:rPr>
      </w:pPr>
      <w:r>
        <w:rPr>
          <w:lang w:val="zh-TW" w:eastAsia="zh-TW"/>
        </w:rPr>
        <w:t>不适用。</w:t>
      </w:r>
    </w:p>
    <w:p w14:paraId="0C14A4FA">
      <w:pPr>
        <w:pStyle w:val="5"/>
        <w:numPr>
          <w:ilvl w:val="2"/>
          <w:numId w:val="26"/>
        </w:numPr>
        <w:spacing w:before="0" w:after="0" w:line="360" w:lineRule="auto"/>
        <w:ind w:left="0" w:firstLine="0"/>
        <w:jc w:val="both"/>
        <w:rPr>
          <w:sz w:val="24"/>
          <w:szCs w:val="24"/>
          <w:lang w:val="zh-TW" w:eastAsia="zh-TW"/>
        </w:rPr>
      </w:pPr>
      <w:bookmarkStart w:id="355" w:name="_Toc26930"/>
      <w:bookmarkStart w:id="356" w:name="_Toc28579"/>
      <w:bookmarkStart w:id="357" w:name="_Toc6236"/>
      <w:bookmarkStart w:id="358" w:name="_Toc183523016"/>
      <w:r>
        <w:rPr>
          <w:sz w:val="24"/>
          <w:szCs w:val="24"/>
          <w:lang w:val="zh-TW" w:eastAsia="zh-TW"/>
        </w:rPr>
        <w:t>再激发</w:t>
      </w:r>
      <w:bookmarkEnd w:id="355"/>
      <w:bookmarkEnd w:id="356"/>
      <w:bookmarkEnd w:id="357"/>
      <w:bookmarkEnd w:id="358"/>
    </w:p>
    <w:p w14:paraId="0F09BC80">
      <w:pPr>
        <w:spacing w:line="360" w:lineRule="auto"/>
        <w:ind w:firstLine="480" w:firstLineChars="200"/>
        <w:rPr>
          <w:lang w:val="zh-TW" w:eastAsia="zh-TW"/>
        </w:rPr>
      </w:pPr>
      <w:r>
        <w:rPr>
          <w:lang w:val="zh-TW" w:eastAsia="zh-TW"/>
        </w:rPr>
        <w:t>不适用。</w:t>
      </w:r>
    </w:p>
    <w:p w14:paraId="03913E64">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359" w:name="_Toc183523017"/>
      <w:bookmarkStart w:id="360" w:name="_Toc22297"/>
      <w:bookmarkStart w:id="361" w:name="_Toc16168"/>
      <w:bookmarkStart w:id="362" w:name="_Toc17533"/>
      <w:r>
        <w:rPr>
          <w:rFonts w:ascii="Times New Roman" w:hAnsi="Times New Roman" w:eastAsia="宋体"/>
          <w:sz w:val="24"/>
          <w:szCs w:val="24"/>
          <w:lang w:val="zh-TW" w:eastAsia="zh-TW"/>
        </w:rPr>
        <w:t>受试者退出</w:t>
      </w:r>
      <w:bookmarkEnd w:id="343"/>
      <w:bookmarkEnd w:id="344"/>
      <w:bookmarkEnd w:id="345"/>
      <w:bookmarkStart w:id="363" w:name="_Hlk117335199"/>
      <w:r>
        <w:rPr>
          <w:rFonts w:ascii="Times New Roman" w:hAnsi="Times New Roman" w:eastAsia="宋体"/>
          <w:sz w:val="24"/>
          <w:szCs w:val="24"/>
          <w:lang w:val="zh-TW" w:eastAsia="zh-TW"/>
        </w:rPr>
        <w:t>试验</w:t>
      </w:r>
      <w:bookmarkEnd w:id="359"/>
      <w:bookmarkEnd w:id="360"/>
      <w:bookmarkEnd w:id="361"/>
      <w:bookmarkEnd w:id="362"/>
    </w:p>
    <w:p w14:paraId="7613252B">
      <w:pPr>
        <w:pStyle w:val="83"/>
        <w:ind w:firstLine="420"/>
        <w:rPr>
          <w:lang w:val="zh-TW"/>
        </w:rPr>
      </w:pPr>
      <w:r>
        <w:rPr>
          <w:lang w:val="zh-TW"/>
        </w:rPr>
        <w:t>如果在本研究过程中发生以下情况之一，研究者应当安排其终止研究干预，甚至退出研究，并尽可能完成方案规定的结束治疗访视评估和后续随访：</w:t>
      </w:r>
    </w:p>
    <w:bookmarkEnd w:id="363"/>
    <w:p w14:paraId="5785CE38">
      <w:pPr>
        <w:pStyle w:val="83"/>
        <w:numPr>
          <w:ilvl w:val="0"/>
          <w:numId w:val="27"/>
        </w:numPr>
        <w:ind w:left="442" w:hanging="442"/>
        <w:rPr>
          <w:color w:val="auto"/>
          <w:kern w:val="0"/>
          <w:lang w:val="zh-TW"/>
        </w:rPr>
      </w:pPr>
      <w:r>
        <w:rPr>
          <w:color w:val="auto"/>
          <w:kern w:val="0"/>
          <w:lang w:val="zh-TW"/>
        </w:rPr>
        <w:t>受试者或其监护人撤回同意；</w:t>
      </w:r>
    </w:p>
    <w:p w14:paraId="43450DE4">
      <w:pPr>
        <w:pStyle w:val="83"/>
        <w:numPr>
          <w:ilvl w:val="0"/>
          <w:numId w:val="27"/>
        </w:numPr>
        <w:ind w:left="442" w:hanging="442"/>
        <w:rPr>
          <w:color w:val="auto"/>
          <w:kern w:val="0"/>
          <w:lang w:val="zh-TW"/>
        </w:rPr>
      </w:pPr>
      <w:r>
        <w:rPr>
          <w:color w:val="auto"/>
          <w:kern w:val="0"/>
          <w:lang w:val="zh-TW"/>
        </w:rPr>
        <w:t>受试者失访；</w:t>
      </w:r>
    </w:p>
    <w:p w14:paraId="4B32AB9C">
      <w:pPr>
        <w:pStyle w:val="83"/>
        <w:numPr>
          <w:ilvl w:val="0"/>
          <w:numId w:val="27"/>
        </w:numPr>
        <w:ind w:left="442" w:hanging="442"/>
        <w:rPr>
          <w:color w:val="auto"/>
          <w:kern w:val="0"/>
          <w:lang w:val="zh-TW"/>
        </w:rPr>
      </w:pPr>
      <w:r>
        <w:rPr>
          <w:color w:val="auto"/>
          <w:kern w:val="0"/>
          <w:lang w:val="zh-TW"/>
        </w:rPr>
        <w:t>受试者发生SAE或不能耐受的AE，经研究者判断需退出研究；</w:t>
      </w:r>
    </w:p>
    <w:p w14:paraId="71EE59F5">
      <w:pPr>
        <w:pStyle w:val="83"/>
        <w:numPr>
          <w:ilvl w:val="0"/>
          <w:numId w:val="27"/>
        </w:numPr>
        <w:ind w:left="442" w:hanging="442"/>
        <w:rPr>
          <w:color w:val="auto"/>
          <w:kern w:val="0"/>
          <w:lang w:val="zh-TW"/>
        </w:rPr>
      </w:pPr>
      <w:r>
        <w:rPr>
          <w:color w:val="auto"/>
          <w:kern w:val="0"/>
          <w:lang w:val="zh-TW"/>
        </w:rPr>
        <w:t>受试者依从性差，包括以下情况：</w:t>
      </w:r>
    </w:p>
    <w:p w14:paraId="5FFE077C">
      <w:pPr>
        <w:pStyle w:val="83"/>
        <w:ind w:firstLine="480" w:firstLineChars="200"/>
        <w:rPr>
          <w:color w:val="auto"/>
          <w:kern w:val="0"/>
          <w:lang w:val="zh-TW"/>
        </w:rPr>
      </w:pPr>
      <w:r>
        <w:rPr>
          <w:color w:val="auto"/>
          <w:kern w:val="0"/>
          <w:lang w:val="zh-TW"/>
        </w:rPr>
        <w:t>-受试者不按规定用药及接受检查；</w:t>
      </w:r>
    </w:p>
    <w:p w14:paraId="2F720713">
      <w:pPr>
        <w:pStyle w:val="83"/>
        <w:ind w:firstLine="480" w:firstLineChars="200"/>
        <w:rPr>
          <w:color w:val="auto"/>
          <w:kern w:val="0"/>
          <w:lang w:val="zh-TW"/>
        </w:rPr>
      </w:pPr>
      <w:r>
        <w:rPr>
          <w:color w:val="auto"/>
          <w:kern w:val="0"/>
          <w:lang w:val="zh-TW"/>
        </w:rPr>
        <w:t>-受试者使用影响诊断效能或安全性评价药物；</w:t>
      </w:r>
    </w:p>
    <w:p w14:paraId="44863460">
      <w:pPr>
        <w:pStyle w:val="83"/>
        <w:ind w:firstLine="480" w:firstLineChars="200"/>
        <w:rPr>
          <w:color w:val="auto"/>
          <w:kern w:val="0"/>
          <w:lang w:val="zh-TW"/>
        </w:rPr>
      </w:pPr>
      <w:r>
        <w:rPr>
          <w:color w:val="auto"/>
          <w:kern w:val="0"/>
          <w:lang w:val="zh-TW"/>
        </w:rPr>
        <w:t>-受试者有其他影响试验结果行为。</w:t>
      </w:r>
    </w:p>
    <w:p w14:paraId="6B9423DC">
      <w:pPr>
        <w:pStyle w:val="83"/>
        <w:numPr>
          <w:ilvl w:val="0"/>
          <w:numId w:val="27"/>
        </w:numPr>
        <w:ind w:left="442" w:hanging="442"/>
        <w:rPr>
          <w:color w:val="auto"/>
          <w:kern w:val="0"/>
          <w:lang w:val="zh-TW"/>
        </w:rPr>
      </w:pPr>
      <w:r>
        <w:rPr>
          <w:color w:val="auto"/>
          <w:kern w:val="0"/>
          <w:lang w:val="zh-TW"/>
        </w:rPr>
        <w:t>其他原因，研究者认为退出研究符合受试者的最大利益。</w:t>
      </w:r>
    </w:p>
    <w:p w14:paraId="2D3098B9">
      <w:pPr>
        <w:pStyle w:val="83"/>
        <w:ind w:left="33" w:leftChars="14" w:firstLine="480" w:firstLineChars="200"/>
        <w:rPr>
          <w:color w:val="auto"/>
        </w:rPr>
      </w:pPr>
      <w:r>
        <w:rPr>
          <w:color w:val="auto"/>
          <w:kern w:val="0"/>
          <w:lang w:val="zh-TW"/>
        </w:rPr>
        <w:t>受试者可以在任何时间选择退出临床研究。若受试者或受试者的监护人撤回知情同意，则受试者必须退出研究，且将不再接受研究</w:t>
      </w:r>
      <w:r>
        <w:rPr>
          <w:color w:val="auto"/>
          <w:kern w:val="0"/>
        </w:rPr>
        <w:t>干预</w:t>
      </w:r>
      <w:r>
        <w:rPr>
          <w:color w:val="auto"/>
          <w:kern w:val="0"/>
          <w:lang w:val="zh-TW"/>
        </w:rPr>
        <w:t>或在方案计划的访视时间点随访。</w:t>
      </w:r>
      <w:r>
        <w:t>如果受试者或其监护人要求退出试验，研究者应尽可能了解受试者退出研究的原因及是否发生任何不良事件，并可能按方案要求完成安全性随访。</w:t>
      </w:r>
    </w:p>
    <w:p w14:paraId="3C5FB6F7">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364" w:name="_Toc12043"/>
      <w:bookmarkStart w:id="365" w:name="_Toc27876"/>
      <w:bookmarkStart w:id="366" w:name="_Toc183523018"/>
      <w:bookmarkStart w:id="367" w:name="_Toc32482"/>
      <w:r>
        <w:rPr>
          <w:rFonts w:ascii="Times New Roman" w:hAnsi="Times New Roman" w:eastAsia="宋体"/>
          <w:sz w:val="24"/>
          <w:szCs w:val="24"/>
          <w:lang w:val="zh-TW" w:eastAsia="zh-TW"/>
        </w:rPr>
        <w:t>失访</w:t>
      </w:r>
      <w:bookmarkEnd w:id="364"/>
      <w:bookmarkEnd w:id="365"/>
      <w:bookmarkEnd w:id="366"/>
      <w:bookmarkEnd w:id="367"/>
    </w:p>
    <w:p w14:paraId="3EFAFFB1">
      <w:pPr>
        <w:pStyle w:val="83"/>
        <w:ind w:firstLine="480" w:firstLineChars="200"/>
        <w:rPr>
          <w:color w:val="auto"/>
        </w:rPr>
      </w:pPr>
      <w:r>
        <w:rPr>
          <w:color w:val="auto"/>
          <w:lang w:val="zh-TW"/>
        </w:rPr>
        <w:t>研究者必须做出适当的努力联系失访受试者，</w:t>
      </w:r>
      <w:r>
        <w:rPr>
          <w:color w:val="auto"/>
        </w:rPr>
        <w:t>在联系过程中如受试者明确表示不愿接受随访或联系受试者至少3次失败（含关机、停机或无人接听等）则列为失访受试者</w:t>
      </w:r>
      <w:r>
        <w:rPr>
          <w:color w:val="auto"/>
          <w:lang w:val="zh-TW"/>
        </w:rPr>
        <w:t>。</w:t>
      </w:r>
    </w:p>
    <w:p w14:paraId="3E2FFA99">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368" w:name="_Ref151362984"/>
      <w:bookmarkStart w:id="369" w:name="_Ref151138686"/>
      <w:bookmarkStart w:id="370" w:name="_Ref129779047"/>
      <w:bookmarkStart w:id="371" w:name="_Toc32637"/>
      <w:bookmarkStart w:id="372" w:name="_Ref183519909"/>
      <w:bookmarkStart w:id="373" w:name="_Toc13702"/>
      <w:bookmarkStart w:id="374" w:name="_Toc2674"/>
      <w:bookmarkStart w:id="375" w:name="_Toc183523019"/>
      <w:r>
        <w:rPr>
          <w:rFonts w:ascii="Times New Roman" w:hAnsi="Times New Roman" w:eastAsia="宋体"/>
          <w:sz w:val="24"/>
          <w:szCs w:val="24"/>
          <w:lang w:val="zh-TW" w:eastAsia="zh-TW"/>
        </w:rPr>
        <w:t>试验</w:t>
      </w:r>
      <w:bookmarkEnd w:id="368"/>
      <w:bookmarkEnd w:id="369"/>
      <w:bookmarkEnd w:id="370"/>
      <w:r>
        <w:rPr>
          <w:rFonts w:ascii="Times New Roman" w:hAnsi="Times New Roman" w:eastAsia="宋体"/>
          <w:sz w:val="24"/>
          <w:szCs w:val="24"/>
        </w:rPr>
        <w:t>提前终止或暂停</w:t>
      </w:r>
      <w:bookmarkEnd w:id="371"/>
      <w:bookmarkEnd w:id="372"/>
      <w:bookmarkEnd w:id="373"/>
      <w:bookmarkEnd w:id="374"/>
      <w:bookmarkEnd w:id="375"/>
    </w:p>
    <w:p w14:paraId="51AD9C7E">
      <w:pPr>
        <w:pStyle w:val="3"/>
        <w:spacing w:line="360" w:lineRule="auto"/>
        <w:ind w:firstLine="480"/>
        <w:rPr>
          <w:rFonts w:ascii="Times New Roman" w:hAnsi="Times New Roman" w:cs="Times New Roman"/>
          <w:color w:val="auto"/>
          <w:sz w:val="24"/>
          <w:szCs w:val="24"/>
        </w:rPr>
      </w:pPr>
      <w:r>
        <w:rPr>
          <w:rFonts w:ascii="Times New Roman" w:hAnsi="Times New Roman" w:cs="Times New Roman"/>
          <w:color w:val="auto"/>
          <w:sz w:val="24"/>
          <w:szCs w:val="24"/>
          <w:lang w:val="zh-TW"/>
        </w:rPr>
        <w:t>本次临床研究发生如下情况将</w:t>
      </w:r>
      <w:r>
        <w:rPr>
          <w:rFonts w:ascii="Times New Roman" w:hAnsi="Times New Roman" w:cs="Times New Roman"/>
          <w:color w:val="auto"/>
          <w:sz w:val="24"/>
          <w:szCs w:val="24"/>
        </w:rPr>
        <w:t>暂停或</w:t>
      </w:r>
      <w:r>
        <w:rPr>
          <w:rFonts w:ascii="Times New Roman" w:hAnsi="Times New Roman" w:cs="Times New Roman"/>
          <w:color w:val="auto"/>
          <w:sz w:val="24"/>
          <w:szCs w:val="24"/>
          <w:lang w:val="zh-TW"/>
        </w:rPr>
        <w:t>终止试验：</w:t>
      </w:r>
    </w:p>
    <w:p w14:paraId="0C59709B">
      <w:pPr>
        <w:pStyle w:val="3"/>
        <w:numPr>
          <w:ilvl w:val="0"/>
          <w:numId w:val="28"/>
        </w:numPr>
        <w:spacing w:line="360" w:lineRule="auto"/>
        <w:ind w:left="420"/>
        <w:rPr>
          <w:rFonts w:ascii="Times New Roman" w:hAnsi="Times New Roman" w:cs="Times New Roman"/>
          <w:color w:val="auto"/>
          <w:sz w:val="24"/>
          <w:szCs w:val="24"/>
        </w:rPr>
      </w:pPr>
      <w:r>
        <w:rPr>
          <w:rFonts w:ascii="Times New Roman" w:hAnsi="Times New Roman" w:cs="Times New Roman"/>
          <w:color w:val="auto"/>
          <w:sz w:val="24"/>
          <w:szCs w:val="24"/>
        </w:rPr>
        <w:t>发现重大安全性问题，经申办者和研究者共同判断需暂停或终止试验；</w:t>
      </w:r>
    </w:p>
    <w:p w14:paraId="5E41B430">
      <w:pPr>
        <w:pStyle w:val="3"/>
        <w:numPr>
          <w:ilvl w:val="0"/>
          <w:numId w:val="28"/>
        </w:numPr>
        <w:spacing w:line="360" w:lineRule="auto"/>
        <w:ind w:left="420"/>
        <w:rPr>
          <w:rFonts w:ascii="Times New Roman" w:hAnsi="Times New Roman" w:cs="Times New Roman"/>
          <w:color w:val="auto"/>
          <w:sz w:val="24"/>
          <w:szCs w:val="24"/>
        </w:rPr>
      </w:pPr>
      <w:r>
        <w:rPr>
          <w:rFonts w:ascii="Times New Roman" w:hAnsi="Times New Roman" w:cs="Times New Roman"/>
          <w:color w:val="auto"/>
          <w:sz w:val="24"/>
          <w:szCs w:val="24"/>
          <w:lang w:val="zh-TW"/>
        </w:rPr>
        <w:t>在试验实施过程中发现重大偏差（包括方案、法规、指南的偏差）或者人为失误，严重影响试验质量，经申办者和研究者共同判定难以达到试验目的；</w:t>
      </w:r>
    </w:p>
    <w:p w14:paraId="19AA7307">
      <w:pPr>
        <w:pStyle w:val="3"/>
        <w:numPr>
          <w:ilvl w:val="0"/>
          <w:numId w:val="28"/>
        </w:numPr>
        <w:spacing w:line="360" w:lineRule="auto"/>
        <w:ind w:left="420"/>
        <w:rPr>
          <w:rFonts w:ascii="Times New Roman" w:hAnsi="Times New Roman" w:cs="Times New Roman"/>
          <w:color w:val="auto"/>
          <w:sz w:val="24"/>
          <w:szCs w:val="24"/>
        </w:rPr>
      </w:pPr>
      <w:r>
        <w:rPr>
          <w:rFonts w:ascii="Times New Roman" w:hAnsi="Times New Roman" w:cs="Times New Roman"/>
          <w:color w:val="auto"/>
          <w:sz w:val="24"/>
          <w:szCs w:val="24"/>
          <w:lang w:val="zh-TW"/>
        </w:rPr>
        <w:t>在充分保障受试者权益和安全前提下申办者要求</w:t>
      </w:r>
      <w:r>
        <w:rPr>
          <w:rFonts w:ascii="Times New Roman" w:hAnsi="Times New Roman" w:cs="Times New Roman"/>
          <w:color w:val="auto"/>
          <w:sz w:val="24"/>
          <w:szCs w:val="24"/>
        </w:rPr>
        <w:t>暂停或</w:t>
      </w:r>
      <w:r>
        <w:rPr>
          <w:rFonts w:ascii="Times New Roman" w:hAnsi="Times New Roman" w:cs="Times New Roman"/>
          <w:color w:val="auto"/>
          <w:sz w:val="24"/>
          <w:szCs w:val="24"/>
          <w:lang w:val="zh-TW"/>
        </w:rPr>
        <w:t>终止（如经费原因、管理原因等）；</w:t>
      </w:r>
    </w:p>
    <w:p w14:paraId="3B0B8200">
      <w:pPr>
        <w:pStyle w:val="3"/>
        <w:numPr>
          <w:ilvl w:val="0"/>
          <w:numId w:val="28"/>
        </w:numPr>
        <w:spacing w:line="360" w:lineRule="auto"/>
        <w:ind w:left="420"/>
        <w:rPr>
          <w:rFonts w:ascii="Times New Roman" w:hAnsi="Times New Roman" w:cs="Times New Roman"/>
          <w:color w:val="auto"/>
          <w:sz w:val="24"/>
          <w:szCs w:val="24"/>
        </w:rPr>
      </w:pPr>
      <w:r>
        <w:rPr>
          <w:rFonts w:ascii="Times New Roman" w:hAnsi="Times New Roman" w:cs="Times New Roman"/>
          <w:color w:val="auto"/>
          <w:sz w:val="24"/>
          <w:szCs w:val="24"/>
          <w:lang w:val="zh-TW"/>
        </w:rPr>
        <w:t>国家药品监督管理局或伦理委员会因某种原因勒令</w:t>
      </w:r>
      <w:r>
        <w:rPr>
          <w:rFonts w:hint="eastAsia" w:ascii="Times New Roman" w:hAnsi="Times New Roman" w:cs="Times New Roman"/>
          <w:color w:val="auto"/>
          <w:sz w:val="24"/>
          <w:szCs w:val="24"/>
        </w:rPr>
        <w:t>暂停或</w:t>
      </w:r>
      <w:r>
        <w:rPr>
          <w:rFonts w:ascii="Times New Roman" w:hAnsi="Times New Roman" w:cs="Times New Roman"/>
          <w:color w:val="auto"/>
          <w:sz w:val="24"/>
          <w:szCs w:val="24"/>
          <w:lang w:val="zh-TW"/>
        </w:rPr>
        <w:t>终止试验；</w:t>
      </w:r>
    </w:p>
    <w:p w14:paraId="43870527">
      <w:pPr>
        <w:pStyle w:val="83"/>
        <w:numPr>
          <w:ilvl w:val="0"/>
          <w:numId w:val="28"/>
        </w:numPr>
        <w:ind w:left="420"/>
        <w:rPr>
          <w:color w:val="auto"/>
          <w:lang w:val="zh-TW"/>
        </w:rPr>
      </w:pPr>
      <w:r>
        <w:rPr>
          <w:color w:val="auto"/>
          <w:lang w:val="zh-TW"/>
        </w:rPr>
        <w:t>其他原因导致不能继续开展临床试验。</w:t>
      </w:r>
    </w:p>
    <w:p w14:paraId="2DDD8A20">
      <w:pPr>
        <w:pStyle w:val="83"/>
        <w:numPr>
          <w:ilvl w:val="255"/>
          <w:numId w:val="0"/>
        </w:numPr>
        <w:ind w:firstLine="480" w:firstLineChars="200"/>
        <w:rPr>
          <w:color w:val="auto"/>
          <w:lang w:val="zh-TW"/>
        </w:rPr>
      </w:pPr>
      <w:r>
        <w:rPr>
          <w:color w:val="auto"/>
          <w:lang w:val="zh-TW"/>
        </w:rPr>
        <w:t>一旦上述提到的引起研究暂停的药物安全、方案依从性等问题得到解决并得到</w:t>
      </w:r>
      <w:r>
        <w:rPr>
          <w:rFonts w:hint="eastAsia"/>
          <w:color w:val="auto"/>
          <w:lang w:val="zh-TW"/>
        </w:rPr>
        <w:t>申办者</w:t>
      </w:r>
      <w:r>
        <w:rPr>
          <w:color w:val="auto"/>
          <w:lang w:val="zh-TW"/>
        </w:rPr>
        <w:t>、伦理委员会或法规机构的同意，则研究可继续进行。</w:t>
      </w:r>
    </w:p>
    <w:p w14:paraId="2708C91D">
      <w:pPr>
        <w:pStyle w:val="83"/>
        <w:numPr>
          <w:ilvl w:val="255"/>
          <w:numId w:val="0"/>
        </w:numPr>
        <w:ind w:firstLine="480" w:firstLineChars="200"/>
        <w:rPr>
          <w:color w:val="auto"/>
          <w:lang w:val="zh-TW"/>
        </w:rPr>
      </w:pPr>
      <w:r>
        <w:rPr>
          <w:color w:val="auto"/>
          <w:lang w:val="zh-TW"/>
        </w:rPr>
        <w:t>决定暂停/终止研究的一方将发出书面通知、记录研究终止或暂停的原因给研究者、</w:t>
      </w:r>
      <w:r>
        <w:rPr>
          <w:rFonts w:hint="eastAsia"/>
          <w:color w:val="auto"/>
          <w:lang w:val="zh-TW"/>
        </w:rPr>
        <w:t>申办者</w:t>
      </w:r>
      <w:r>
        <w:rPr>
          <w:color w:val="auto"/>
          <w:lang w:val="zh-TW"/>
        </w:rPr>
        <w:t>、监管机构。如果研究被提前终止或暂停，研究者应立即通知伦理委员会和</w:t>
      </w:r>
      <w:r>
        <w:rPr>
          <w:rFonts w:hint="eastAsia"/>
          <w:color w:val="auto"/>
          <w:lang w:val="zh-TW"/>
        </w:rPr>
        <w:t>申办者</w:t>
      </w:r>
      <w:r>
        <w:rPr>
          <w:color w:val="auto"/>
          <w:lang w:val="zh-TW"/>
        </w:rPr>
        <w:t>，并且提供相关理由。</w:t>
      </w:r>
    </w:p>
    <w:p w14:paraId="17182F0F">
      <w:pPr>
        <w:pStyle w:val="2"/>
        <w:numPr>
          <w:ilvl w:val="0"/>
          <w:numId w:val="5"/>
        </w:numPr>
        <w:ind w:left="0" w:firstLine="0"/>
        <w:rPr>
          <w:rFonts w:ascii="Times New Roman" w:hAnsi="Times New Roman"/>
          <w:color w:val="auto"/>
          <w:szCs w:val="24"/>
        </w:rPr>
      </w:pPr>
      <w:bookmarkStart w:id="376" w:name="_Toc23725"/>
      <w:bookmarkStart w:id="377" w:name="_Toc183523020"/>
      <w:bookmarkStart w:id="378" w:name="_Toc14737"/>
      <w:bookmarkStart w:id="379" w:name="_Toc15238"/>
      <w:bookmarkStart w:id="380" w:name="_Hlk117345195"/>
      <w:bookmarkStart w:id="381" w:name="_Toc106375082"/>
      <w:r>
        <w:rPr>
          <w:rFonts w:ascii="Times New Roman" w:hAnsi="Times New Roman"/>
          <w:color w:val="auto"/>
          <w:szCs w:val="24"/>
        </w:rPr>
        <w:t>试验评估和程序</w:t>
      </w:r>
      <w:bookmarkEnd w:id="376"/>
      <w:bookmarkEnd w:id="377"/>
      <w:bookmarkEnd w:id="378"/>
      <w:bookmarkEnd w:id="379"/>
    </w:p>
    <w:p w14:paraId="15D21DE8">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382" w:name="_Toc9796"/>
      <w:bookmarkStart w:id="383" w:name="_Toc22847"/>
      <w:bookmarkStart w:id="384" w:name="_Toc183523021"/>
      <w:bookmarkStart w:id="385" w:name="_Toc20027"/>
      <w:r>
        <w:rPr>
          <w:rFonts w:ascii="Times New Roman" w:hAnsi="Times New Roman" w:eastAsia="宋体"/>
          <w:sz w:val="24"/>
          <w:szCs w:val="24"/>
          <w:lang w:val="zh-TW" w:eastAsia="zh-TW"/>
        </w:rPr>
        <w:t>筛选/基线评估和程序</w:t>
      </w:r>
      <w:bookmarkEnd w:id="382"/>
      <w:bookmarkEnd w:id="383"/>
      <w:bookmarkEnd w:id="384"/>
      <w:bookmarkEnd w:id="385"/>
    </w:p>
    <w:p w14:paraId="38D1FD63">
      <w:pPr>
        <w:pStyle w:val="3"/>
        <w:spacing w:line="360" w:lineRule="auto"/>
        <w:ind w:firstLine="480" w:firstLineChars="20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受试者阅读知情同意书后，研究者需与受试者沟通的内容主要包括详细介绍本试验的目的、试验用药品的基本情况、研究方案、试验流程、给药方案（如剂量、给药方式等）、临床观察、参加试验的潜在风险、补偿和赔偿等，使受试者充分知情、自愿参加。</w:t>
      </w:r>
    </w:p>
    <w:p w14:paraId="6AF289F7">
      <w:pPr>
        <w:spacing w:line="360" w:lineRule="auto"/>
        <w:ind w:firstLine="480" w:firstLineChars="200"/>
        <w:jc w:val="both"/>
        <w:rPr>
          <w:lang w:val="zh-TW"/>
        </w:rPr>
      </w:pPr>
      <w:bookmarkStart w:id="386" w:name="OLE_LINK45"/>
      <w:r>
        <w:rPr>
          <w:lang w:val="zh-TW"/>
        </w:rPr>
        <w:t>在签署书面知情同意书后，受试者将在接受试验用药品前第-</w:t>
      </w:r>
      <w:r>
        <w:t>30</w:t>
      </w:r>
      <w:r>
        <w:rPr>
          <w:lang w:val="zh-TW"/>
        </w:rPr>
        <w:t>天~第-1天进行完整的</w:t>
      </w:r>
      <w:r>
        <w:t>筛选期检查</w:t>
      </w:r>
      <w:r>
        <w:rPr>
          <w:lang w:val="zh-TW"/>
        </w:rPr>
        <w:t>，包括如下：</w:t>
      </w:r>
    </w:p>
    <w:p w14:paraId="75A3C21D">
      <w:pPr>
        <w:spacing w:line="360" w:lineRule="auto"/>
        <w:ind w:firstLine="480" w:firstLineChars="200"/>
        <w:jc w:val="both"/>
        <w:rPr>
          <w:b/>
          <w:lang w:val="zh-TW"/>
        </w:rPr>
      </w:pPr>
      <w:bookmarkStart w:id="387" w:name="_Toc446058143"/>
      <w:r>
        <w:rPr>
          <w:b/>
          <w:lang w:val="zh-TW"/>
        </w:rPr>
        <w:t>人口学资料：</w:t>
      </w:r>
    </w:p>
    <w:p w14:paraId="265AB644">
      <w:pPr>
        <w:spacing w:line="360" w:lineRule="auto"/>
        <w:ind w:firstLine="480" w:firstLineChars="200"/>
        <w:jc w:val="both"/>
      </w:pPr>
      <w:r>
        <w:t>出生日期、年龄、性别、民族。</w:t>
      </w:r>
    </w:p>
    <w:p w14:paraId="010F1F8E">
      <w:pPr>
        <w:spacing w:line="360" w:lineRule="auto"/>
        <w:ind w:firstLine="480" w:firstLineChars="200"/>
        <w:jc w:val="both"/>
        <w:rPr>
          <w:b/>
          <w:lang w:val="zh-TW"/>
        </w:rPr>
      </w:pPr>
      <w:r>
        <w:rPr>
          <w:b/>
          <w:lang w:val="zh-TW"/>
        </w:rPr>
        <w:t>病史/个人史：</w:t>
      </w:r>
      <w:bookmarkEnd w:id="387"/>
    </w:p>
    <w:p w14:paraId="3C3A3DB0">
      <w:pPr>
        <w:spacing w:line="360" w:lineRule="auto"/>
        <w:ind w:firstLine="480" w:firstLineChars="200"/>
        <w:jc w:val="both"/>
        <w:rPr>
          <w:bCs/>
        </w:rPr>
      </w:pPr>
      <w:bookmarkStart w:id="388" w:name="_Hlk83823670"/>
      <w:bookmarkStart w:id="389" w:name="_Hlk61289467"/>
      <w:r>
        <w:t>肿瘤病史、肿瘤治疗史（手术、药物/非药物治疗史）；非肿瘤病史、近1年内的治疗史（手术、药物/非药物治疗史）；过敏史；生育计划；酒精/药物滥用情况；临床试验史</w:t>
      </w:r>
      <w:r>
        <w:rPr>
          <w:bCs/>
        </w:rPr>
        <w:t>。</w:t>
      </w:r>
    </w:p>
    <w:bookmarkEnd w:id="388"/>
    <w:p w14:paraId="215D5E22">
      <w:pPr>
        <w:spacing w:line="360" w:lineRule="auto"/>
        <w:ind w:firstLine="480" w:firstLineChars="200"/>
        <w:jc w:val="both"/>
        <w:rPr>
          <w:b/>
          <w:lang w:val="zh-TW"/>
        </w:rPr>
      </w:pPr>
      <w:bookmarkStart w:id="390" w:name="_Hlk135899253"/>
      <w:r>
        <w:rPr>
          <w:b/>
          <w:lang w:val="zh-TW"/>
        </w:rPr>
        <w:t>临床检查：</w:t>
      </w:r>
    </w:p>
    <w:p w14:paraId="15F11173">
      <w:pPr>
        <w:spacing w:line="360" w:lineRule="auto"/>
        <w:ind w:firstLine="480" w:firstLineChars="200"/>
        <w:jc w:val="both"/>
        <w:rPr>
          <w:b/>
        </w:rPr>
      </w:pPr>
      <w:r>
        <w:rPr>
          <w:b/>
        </w:rPr>
        <w:t>身高、体重；</w:t>
      </w:r>
    </w:p>
    <w:p w14:paraId="5C372D1C">
      <w:pPr>
        <w:spacing w:line="360" w:lineRule="auto"/>
        <w:ind w:left="440"/>
        <w:jc w:val="both"/>
        <w:rPr>
          <w:lang w:val="zh-TW"/>
        </w:rPr>
      </w:pPr>
      <w:bookmarkStart w:id="391" w:name="_Hlk83823688"/>
      <w:r>
        <w:rPr>
          <w:lang w:val="zh-TW"/>
        </w:rPr>
        <w:t>生命体征：血压、脉搏、呼吸</w:t>
      </w:r>
      <w:r>
        <w:t>频率</w:t>
      </w:r>
      <w:r>
        <w:rPr>
          <w:lang w:val="zh-TW"/>
        </w:rPr>
        <w:t>、体温；</w:t>
      </w:r>
    </w:p>
    <w:p w14:paraId="4BCA7E30">
      <w:pPr>
        <w:spacing w:line="360" w:lineRule="auto"/>
        <w:ind w:left="440"/>
        <w:jc w:val="both"/>
        <w:rPr>
          <w:lang w:val="zh-TW"/>
        </w:rPr>
      </w:pPr>
      <w:r>
        <w:rPr>
          <w:lang w:val="zh-TW"/>
        </w:rPr>
        <w:t>体格检查：皮肤黏膜、淋巴结、头颈部、胸部、腹部、脊柱及四肢以及神经系统；</w:t>
      </w:r>
      <w:r>
        <w:rPr>
          <w:rFonts w:hint="eastAsia"/>
          <w:lang w:val="zh-TW"/>
        </w:rPr>
        <w:t>如有临床指征，进行针对性体格检查。</w:t>
      </w:r>
    </w:p>
    <w:p w14:paraId="3257CA4F">
      <w:pPr>
        <w:spacing w:line="360" w:lineRule="auto"/>
        <w:ind w:left="440"/>
        <w:jc w:val="both"/>
        <w:rPr>
          <w:szCs w:val="24"/>
          <w:lang w:val="zh-TW"/>
        </w:rPr>
      </w:pPr>
      <w:r>
        <w:rPr>
          <w:szCs w:val="24"/>
          <w:lang w:val="zh-TW"/>
        </w:rPr>
        <w:t>12导联心电图；</w:t>
      </w:r>
    </w:p>
    <w:p w14:paraId="6CF90E7D">
      <w:pPr>
        <w:spacing w:line="360" w:lineRule="auto"/>
        <w:ind w:left="440"/>
        <w:jc w:val="both"/>
        <w:rPr>
          <w:szCs w:val="24"/>
          <w:lang w:val="zh-TW"/>
        </w:rPr>
      </w:pPr>
      <w:r>
        <w:rPr>
          <w:szCs w:val="24"/>
          <w:lang w:val="zh-TW"/>
        </w:rPr>
        <w:t>实验室检查：血常规、血生化、尿常规；</w:t>
      </w:r>
      <w:r>
        <w:rPr>
          <w:rFonts w:hint="eastAsia"/>
          <w:lang w:val="zh-TW"/>
        </w:rPr>
        <w:t>具体检测项目见方案章节13.2。</w:t>
      </w:r>
    </w:p>
    <w:p w14:paraId="29ADD0CA">
      <w:pPr>
        <w:spacing w:line="360" w:lineRule="auto"/>
        <w:ind w:left="440"/>
        <w:jc w:val="both"/>
        <w:rPr>
          <w:szCs w:val="24"/>
          <w:lang w:val="zh-TW"/>
        </w:rPr>
      </w:pPr>
      <w:r>
        <w:rPr>
          <w:szCs w:val="24"/>
          <w:lang w:val="zh-TW"/>
        </w:rPr>
        <w:t>凝血功能；</w:t>
      </w:r>
      <w:r>
        <w:rPr>
          <w:rFonts w:hint="eastAsia"/>
          <w:lang w:val="zh-TW"/>
        </w:rPr>
        <w:t>具体检测项目见方案章节13.2。</w:t>
      </w:r>
    </w:p>
    <w:p w14:paraId="0C2FA722">
      <w:pPr>
        <w:spacing w:line="360" w:lineRule="auto"/>
        <w:ind w:left="440"/>
        <w:jc w:val="both"/>
        <w:rPr>
          <w:szCs w:val="24"/>
          <w:lang w:val="zh-TW"/>
        </w:rPr>
      </w:pPr>
      <w:r>
        <w:rPr>
          <w:szCs w:val="24"/>
          <w:lang w:val="zh-TW"/>
        </w:rPr>
        <w:t>病毒学检查；</w:t>
      </w:r>
      <w:r>
        <w:rPr>
          <w:rFonts w:hint="eastAsia"/>
          <w:lang w:val="zh-TW"/>
        </w:rPr>
        <w:t>具体检测项目见方案章节13.2。</w:t>
      </w:r>
    </w:p>
    <w:p w14:paraId="1B2B7D59">
      <w:pPr>
        <w:spacing w:line="360" w:lineRule="auto"/>
        <w:ind w:left="440"/>
        <w:jc w:val="both"/>
        <w:rPr>
          <w:szCs w:val="24"/>
          <w:lang w:val="zh-TW" w:eastAsia="zh-TW"/>
        </w:rPr>
      </w:pPr>
      <w:r>
        <w:rPr>
          <w:szCs w:val="24"/>
          <w:lang w:val="zh-TW" w:eastAsia="zh-TW"/>
        </w:rPr>
        <w:t>血PSA水平；</w:t>
      </w:r>
    </w:p>
    <w:p w14:paraId="6E74896F">
      <w:pPr>
        <w:spacing w:line="360" w:lineRule="auto"/>
        <w:ind w:left="440"/>
        <w:jc w:val="both"/>
        <w:rPr>
          <w:szCs w:val="24"/>
          <w:lang w:val="zh-TW" w:eastAsia="zh-TW"/>
        </w:rPr>
      </w:pPr>
      <w:r>
        <w:rPr>
          <w:szCs w:val="24"/>
          <w:lang w:val="zh-TW" w:eastAsia="zh-TW"/>
        </w:rPr>
        <w:t>ECOG评分；</w:t>
      </w:r>
    </w:p>
    <w:p w14:paraId="07C959D2">
      <w:pPr>
        <w:pStyle w:val="15"/>
        <w:spacing w:line="360" w:lineRule="auto"/>
        <w:ind w:left="440" w:leftChars="0"/>
        <w:rPr>
          <w:szCs w:val="24"/>
          <w:lang w:val="zh-TW" w:eastAsia="zh-TW"/>
        </w:rPr>
      </w:pPr>
      <w:r>
        <w:rPr>
          <w:rFonts w:hint="eastAsia"/>
          <w:szCs w:val="24"/>
          <w:lang w:eastAsia="zh-TW"/>
        </w:rPr>
        <w:t>基线</w:t>
      </w:r>
      <w:r>
        <w:rPr>
          <w:szCs w:val="24"/>
          <w:lang w:eastAsia="zh-TW"/>
        </w:rPr>
        <w:t>常规影像检查：包括</w:t>
      </w:r>
      <w:r>
        <w:rPr>
          <w:rFonts w:hint="eastAsia"/>
          <w:szCs w:val="24"/>
        </w:rPr>
        <w:t>胸</w:t>
      </w:r>
      <w:r>
        <w:rPr>
          <w:rFonts w:hint="eastAsia"/>
          <w:szCs w:val="24"/>
          <w:lang w:val="en-US" w:eastAsia="zh-CN"/>
        </w:rPr>
        <w:t>部CT、</w:t>
      </w:r>
      <w:r>
        <w:rPr>
          <w:rFonts w:hint="eastAsia"/>
          <w:szCs w:val="24"/>
        </w:rPr>
        <w:t>腹盆</w:t>
      </w:r>
      <w:r>
        <w:rPr>
          <w:rFonts w:hint="eastAsia"/>
          <w:szCs w:val="24"/>
          <w:lang w:val="en-US" w:eastAsia="zh-CN"/>
        </w:rPr>
        <w:t>腔</w:t>
      </w:r>
      <w:r>
        <w:rPr>
          <w:szCs w:val="24"/>
          <w:lang w:eastAsia="zh-TW"/>
        </w:rPr>
        <w:t>CT</w:t>
      </w:r>
      <w:r>
        <w:rPr>
          <w:rFonts w:hint="eastAsia"/>
          <w:szCs w:val="24"/>
        </w:rPr>
        <w:t>/</w:t>
      </w:r>
      <w:r>
        <w:rPr>
          <w:szCs w:val="24"/>
          <w:lang w:eastAsia="zh-TW"/>
        </w:rPr>
        <w:t>MRI</w:t>
      </w:r>
      <w:r>
        <w:rPr>
          <w:rFonts w:hint="eastAsia"/>
          <w:szCs w:val="24"/>
          <w:lang w:eastAsia="zh-TW"/>
        </w:rPr>
        <w:t>、全身骨</w:t>
      </w:r>
      <w:r>
        <w:rPr>
          <w:rFonts w:hint="eastAsia"/>
          <w:szCs w:val="24"/>
        </w:rPr>
        <w:t>成像</w:t>
      </w:r>
      <w:r>
        <w:rPr>
          <w:rFonts w:hint="eastAsia"/>
          <w:szCs w:val="24"/>
          <w:lang w:eastAsia="zh-TW"/>
        </w:rPr>
        <w:t>检查</w:t>
      </w:r>
      <w:r>
        <w:rPr>
          <w:rFonts w:hint="eastAsia"/>
          <w:szCs w:val="24"/>
        </w:rPr>
        <w:t>，</w:t>
      </w:r>
      <w:r>
        <w:rPr>
          <w:rFonts w:hint="eastAsia"/>
          <w:szCs w:val="24"/>
          <w:lang w:eastAsia="zh-TW"/>
        </w:rPr>
        <w:t>是否需要进行颈部CT，由研究者基于患者综合情况进行评估后决定</w:t>
      </w:r>
      <w:r>
        <w:rPr>
          <w:szCs w:val="24"/>
          <w:lang w:eastAsia="zh-TW"/>
        </w:rPr>
        <w:t>；</w:t>
      </w:r>
      <w:r>
        <w:rPr>
          <w:rFonts w:hint="eastAsia"/>
          <w:szCs w:val="24"/>
          <w:lang w:eastAsia="zh-TW"/>
        </w:rPr>
        <w:t>MRI是盆腔的首选检查方式，除非存在禁忌症。</w:t>
      </w:r>
      <w:r>
        <w:rPr>
          <w:szCs w:val="24"/>
          <w:lang w:eastAsia="zh-TW"/>
        </w:rPr>
        <w:t>若在筛选前6周内已完成（外院需要提供符合用于独立影像评估的DICOM格式数据），筛选期可不重复检查。含</w:t>
      </w:r>
      <w:r>
        <w:rPr>
          <w:szCs w:val="24"/>
          <w:vertAlign w:val="superscript"/>
          <w:lang w:eastAsia="zh-TW"/>
        </w:rPr>
        <w:t>18</w:t>
      </w:r>
      <w:r>
        <w:rPr>
          <w:szCs w:val="24"/>
          <w:lang w:eastAsia="zh-TW"/>
        </w:rPr>
        <w:t>F的影像学检查与INR101注射液给药间隔至少24h；如果在给药前30天内尚未完成常规影像学检查，将根据研究中心的标准诊疗流程在INR101注射液PET/CT</w:t>
      </w:r>
      <w:r>
        <w:rPr>
          <w:rFonts w:hint="eastAsia"/>
          <w:szCs w:val="24"/>
        </w:rPr>
        <w:t>成像</w:t>
      </w:r>
      <w:r>
        <w:rPr>
          <w:szCs w:val="24"/>
          <w:lang w:eastAsia="zh-TW"/>
        </w:rPr>
        <w:t>后28天内在研究中心</w:t>
      </w:r>
      <w:r>
        <w:rPr>
          <w:rFonts w:hint="eastAsia"/>
          <w:szCs w:val="24"/>
          <w:lang w:val="en-US" w:eastAsia="zh-CN"/>
        </w:rPr>
        <w:t>对PET阳性病灶/区域</w:t>
      </w:r>
      <w:r>
        <w:rPr>
          <w:szCs w:val="24"/>
          <w:lang w:eastAsia="zh-TW"/>
        </w:rPr>
        <w:t>进行常规影像学检查（由研究者决定成像需要做的部位及影像模态）</w:t>
      </w:r>
    </w:p>
    <w:p w14:paraId="52876F61">
      <w:pPr>
        <w:pStyle w:val="15"/>
        <w:spacing w:line="360" w:lineRule="auto"/>
        <w:ind w:left="440" w:leftChars="0"/>
        <w:jc w:val="both"/>
        <w:rPr>
          <w:szCs w:val="24"/>
          <w:lang w:val="zh-TW"/>
        </w:rPr>
      </w:pPr>
      <w:r>
        <w:rPr>
          <w:szCs w:val="24"/>
          <w:lang w:val="zh-TW"/>
        </w:rPr>
        <w:t>记录不良事件：收集与试验流程相关的事件当作AE记录（例如，侵入性操作如采血、影像检查造影剂引起的反应等），其他与试验流程不相关的事件可根据研究者的判断记录为病史</w:t>
      </w:r>
      <w:r>
        <w:rPr>
          <w:szCs w:val="24"/>
        </w:rPr>
        <w:t>；</w:t>
      </w:r>
    </w:p>
    <w:p w14:paraId="30C8CEE1">
      <w:pPr>
        <w:spacing w:line="360" w:lineRule="auto"/>
        <w:ind w:left="440"/>
        <w:jc w:val="both"/>
        <w:rPr>
          <w:szCs w:val="24"/>
          <w:lang w:val="zh-TW"/>
        </w:rPr>
      </w:pPr>
      <w:r>
        <w:rPr>
          <w:szCs w:val="24"/>
          <w:lang w:val="zh-TW"/>
        </w:rPr>
        <w:t>询问并记录接受合并用药和非药物治疗的信息。</w:t>
      </w:r>
    </w:p>
    <w:p w14:paraId="22B56422">
      <w:pPr>
        <w:pStyle w:val="83"/>
        <w:ind w:left="440" w:firstLine="0"/>
        <w:rPr>
          <w:color w:val="auto"/>
          <w:lang w:val="zh-TW"/>
        </w:rPr>
      </w:pPr>
      <w:r>
        <w:rPr>
          <w:bCs/>
          <w:color w:val="auto"/>
          <w:lang w:val="zh-TW"/>
        </w:rPr>
        <w:t>核实入选排除标准。收集所有参与筛选的受试者信息，包括筛选失败原因等。</w:t>
      </w:r>
    </w:p>
    <w:bookmarkEnd w:id="386"/>
    <w:bookmarkEnd w:id="389"/>
    <w:bookmarkEnd w:id="390"/>
    <w:bookmarkEnd w:id="391"/>
    <w:p w14:paraId="23CF3063">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392" w:name="_Toc19379"/>
      <w:bookmarkStart w:id="393" w:name="_Toc183523022"/>
      <w:bookmarkStart w:id="394" w:name="_Toc21678"/>
      <w:bookmarkStart w:id="395" w:name="_Toc17921"/>
      <w:r>
        <w:rPr>
          <w:rFonts w:ascii="Times New Roman" w:hAnsi="Times New Roman" w:eastAsia="宋体"/>
          <w:sz w:val="24"/>
          <w:szCs w:val="24"/>
          <w:lang w:val="zh-TW" w:eastAsia="zh-TW"/>
        </w:rPr>
        <w:t>有效性评估和程序</w:t>
      </w:r>
      <w:bookmarkEnd w:id="392"/>
      <w:bookmarkEnd w:id="393"/>
      <w:bookmarkEnd w:id="394"/>
      <w:bookmarkEnd w:id="395"/>
    </w:p>
    <w:p w14:paraId="5E801D1B">
      <w:pPr>
        <w:spacing w:line="360" w:lineRule="auto"/>
        <w:ind w:firstLine="480" w:firstLineChars="200"/>
        <w:jc w:val="both"/>
        <w:rPr>
          <w:lang w:val="zh-TW"/>
        </w:rPr>
      </w:pPr>
      <w:bookmarkStart w:id="396" w:name="_Hlk135899349"/>
      <w:r>
        <w:rPr>
          <w:lang w:val="zh-TW"/>
        </w:rPr>
        <w:t>筛选成功的受试者</w:t>
      </w:r>
      <w:r>
        <w:t>分配入组号后</w:t>
      </w:r>
      <w:r>
        <w:rPr>
          <w:lang w:val="zh-TW"/>
        </w:rPr>
        <w:t>将接受INR101注射液给药和PET/CT</w:t>
      </w:r>
      <w:r>
        <w:rPr>
          <w:rFonts w:hint="eastAsia"/>
        </w:rPr>
        <w:t>成像</w:t>
      </w:r>
      <w:r>
        <w:rPr>
          <w:lang w:val="zh-TW"/>
        </w:rPr>
        <w:t>，流程如下：</w:t>
      </w:r>
    </w:p>
    <w:bookmarkEnd w:id="396"/>
    <w:p w14:paraId="73E97829">
      <w:pPr>
        <w:spacing w:line="360" w:lineRule="auto"/>
        <w:ind w:firstLine="420"/>
        <w:jc w:val="both"/>
        <w:rPr>
          <w:b/>
          <w:bCs/>
          <w:lang w:val="en-GB"/>
        </w:rPr>
      </w:pPr>
      <w:bookmarkStart w:id="397" w:name="_Hlk135328466"/>
      <w:bookmarkStart w:id="398" w:name="_Hlk135899801"/>
      <w:r>
        <w:rPr>
          <w:b/>
          <w:bCs/>
          <w:lang w:val="en-GB"/>
        </w:rPr>
        <w:t>检查期，第1天：</w:t>
      </w:r>
    </w:p>
    <w:p w14:paraId="5EB3B78D">
      <w:pPr>
        <w:spacing w:line="360" w:lineRule="auto"/>
        <w:ind w:firstLine="480"/>
        <w:jc w:val="both"/>
        <w:rPr>
          <w:lang w:val="en-GB"/>
        </w:rPr>
      </w:pPr>
      <w:r>
        <w:rPr>
          <w:lang w:val="en-GB"/>
        </w:rPr>
        <w:t>给药前</w:t>
      </w:r>
      <w:r>
        <w:t>1h内</w:t>
      </w:r>
      <w:r>
        <w:rPr>
          <w:lang w:val="en-GB"/>
        </w:rPr>
        <w:t>进行生命体征测量</w:t>
      </w:r>
      <w:r>
        <w:rPr>
          <w:rFonts w:hint="eastAsia"/>
          <w:color w:val="000000"/>
        </w:rPr>
        <w:t>（包括血压、脉搏、呼吸频率、体温）</w:t>
      </w:r>
      <w:r>
        <w:rPr>
          <w:lang w:val="en-GB"/>
        </w:rPr>
        <w:t>。</w:t>
      </w:r>
    </w:p>
    <w:p w14:paraId="2F958366">
      <w:pPr>
        <w:spacing w:line="360" w:lineRule="auto"/>
        <w:ind w:firstLine="480"/>
        <w:jc w:val="both"/>
        <w:rPr>
          <w:b/>
          <w:bCs/>
          <w:szCs w:val="24"/>
          <w:lang w:val="en-GB"/>
        </w:rPr>
      </w:pPr>
      <w:r>
        <w:rPr>
          <w:b/>
          <w:bCs/>
          <w:lang w:val="en-GB"/>
        </w:rPr>
        <w:t>给</w:t>
      </w:r>
      <w:r>
        <w:rPr>
          <w:b/>
          <w:bCs/>
          <w:szCs w:val="24"/>
          <w:lang w:val="en-GB"/>
        </w:rPr>
        <w:t>药：</w:t>
      </w:r>
    </w:p>
    <w:p w14:paraId="15DEBE78">
      <w:pPr>
        <w:pStyle w:val="21"/>
        <w:numPr>
          <w:ilvl w:val="0"/>
          <w:numId w:val="29"/>
        </w:numPr>
        <w:spacing w:line="360" w:lineRule="auto"/>
        <w:ind w:left="480" w:hanging="480" w:hangingChars="200"/>
        <w:rPr>
          <w:rFonts w:ascii="Times New Roman" w:hAnsi="Times New Roman" w:eastAsia="宋体" w:cs="Times New Roman"/>
          <w:color w:val="000000"/>
          <w:szCs w:val="24"/>
        </w:rPr>
      </w:pPr>
      <w:r>
        <w:rPr>
          <w:rFonts w:hint="eastAsia" w:ascii="Times New Roman" w:hAnsi="Times New Roman" w:eastAsia="宋体" w:cs="Times New Roman"/>
          <w:color w:val="000000"/>
          <w:sz w:val="24"/>
          <w:szCs w:val="24"/>
        </w:rPr>
        <w:t>7mCi±15%</w:t>
      </w:r>
      <w:r>
        <w:rPr>
          <w:rFonts w:ascii="Times New Roman" w:hAnsi="Times New Roman" w:eastAsia="宋体" w:cs="Times New Roman"/>
          <w:color w:val="000000"/>
          <w:sz w:val="24"/>
          <w:szCs w:val="24"/>
        </w:rPr>
        <w:t>，</w:t>
      </w:r>
      <w:r>
        <w:rPr>
          <w:rFonts w:ascii="Times New Roman" w:hAnsi="Times New Roman" w:eastAsia="宋体" w:cs="Times New Roman"/>
          <w:kern w:val="0"/>
          <w:sz w:val="24"/>
          <w:szCs w:val="24"/>
          <w:lang w:val="en-GB"/>
        </w:rPr>
        <w:t>单次静脉注射</w:t>
      </w:r>
    </w:p>
    <w:p w14:paraId="1D3DAFFA">
      <w:pPr>
        <w:pStyle w:val="21"/>
        <w:numPr>
          <w:ilvl w:val="255"/>
          <w:numId w:val="0"/>
        </w:numPr>
        <w:spacing w:line="360" w:lineRule="auto"/>
        <w:ind w:left="-60" w:leftChars="-25" w:firstLine="420"/>
        <w:rPr>
          <w:rFonts w:ascii="Times New Roman" w:hAnsi="Times New Roman" w:eastAsia="宋体" w:cs="Times New Roman"/>
          <w:color w:val="000000"/>
          <w:szCs w:val="24"/>
        </w:rPr>
      </w:pPr>
      <w:r>
        <w:rPr>
          <w:rFonts w:ascii="Times New Roman" w:hAnsi="Times New Roman" w:eastAsia="宋体" w:cs="Times New Roman"/>
          <w:b/>
          <w:bCs/>
          <w:sz w:val="24"/>
          <w:szCs w:val="24"/>
        </w:rPr>
        <w:t>图像采集：</w:t>
      </w:r>
    </w:p>
    <w:p w14:paraId="6294CE01">
      <w:pPr>
        <w:pStyle w:val="21"/>
        <w:numPr>
          <w:ilvl w:val="0"/>
          <w:numId w:val="29"/>
        </w:numPr>
        <w:spacing w:line="360" w:lineRule="auto"/>
        <w:ind w:left="480" w:hanging="480" w:hangingChars="20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在INR101注射液给药后80~120 min进行PET/CT</w:t>
      </w:r>
      <w:r>
        <w:rPr>
          <w:rFonts w:hint="eastAsia" w:ascii="Times New Roman" w:hAnsi="Times New Roman" w:eastAsia="宋体" w:cs="Times New Roman"/>
          <w:color w:val="000000"/>
          <w:sz w:val="24"/>
          <w:szCs w:val="24"/>
        </w:rPr>
        <w:t>成像</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成像</w:t>
      </w:r>
      <w:r>
        <w:rPr>
          <w:rFonts w:ascii="Times New Roman" w:hAnsi="Times New Roman" w:eastAsia="宋体" w:cs="Times New Roman"/>
          <w:color w:val="000000"/>
          <w:sz w:val="24"/>
          <w:szCs w:val="24"/>
        </w:rPr>
        <w:t>范围从大腿中部到头顶。</w:t>
      </w:r>
    </w:p>
    <w:p w14:paraId="01AFE172">
      <w:pPr>
        <w:pStyle w:val="21"/>
        <w:numPr>
          <w:ilvl w:val="0"/>
          <w:numId w:val="29"/>
        </w:numPr>
        <w:spacing w:line="360" w:lineRule="auto"/>
        <w:ind w:left="480" w:hanging="480" w:hangingChars="200"/>
        <w:rPr>
          <w:rFonts w:ascii="Times New Roman" w:hAnsi="Times New Roman" w:eastAsia="宋体" w:cs="Times New Roman"/>
          <w:szCs w:val="24"/>
        </w:rPr>
      </w:pPr>
      <w:r>
        <w:rPr>
          <w:rFonts w:ascii="Times New Roman" w:hAnsi="Times New Roman" w:eastAsia="宋体" w:cs="Times New Roman"/>
          <w:sz w:val="24"/>
          <w:szCs w:val="24"/>
        </w:rPr>
        <w:t>PET/CT</w:t>
      </w:r>
      <w:r>
        <w:rPr>
          <w:rFonts w:hint="eastAsia" w:ascii="Times New Roman" w:hAnsi="Times New Roman" w:eastAsia="宋体" w:cs="Times New Roman"/>
          <w:sz w:val="24"/>
          <w:szCs w:val="24"/>
        </w:rPr>
        <w:t>成像</w:t>
      </w:r>
      <w:r>
        <w:rPr>
          <w:rFonts w:ascii="Times New Roman" w:hAnsi="Times New Roman" w:eastAsia="宋体" w:cs="Times New Roman"/>
          <w:sz w:val="24"/>
          <w:szCs w:val="24"/>
        </w:rPr>
        <w:t>完成后1 h内需要进行生命体征</w:t>
      </w:r>
      <w:r>
        <w:rPr>
          <w:rFonts w:hint="eastAsia" w:ascii="Times New Roman" w:hAnsi="Times New Roman" w:eastAsia="宋体" w:cs="Times New Roman"/>
          <w:sz w:val="24"/>
          <w:szCs w:val="24"/>
        </w:rPr>
        <w:t>（包括血压、脉搏、呼吸频率、体温）</w:t>
      </w:r>
      <w:r>
        <w:rPr>
          <w:rFonts w:ascii="Times New Roman" w:hAnsi="Times New Roman" w:eastAsia="宋体" w:cs="Times New Roman"/>
          <w:sz w:val="24"/>
          <w:szCs w:val="24"/>
        </w:rPr>
        <w:t>检查。</w:t>
      </w:r>
    </w:p>
    <w:p w14:paraId="5368872A">
      <w:pPr>
        <w:pStyle w:val="21"/>
        <w:numPr>
          <w:ilvl w:val="0"/>
          <w:numId w:val="29"/>
        </w:numPr>
        <w:adjustRightInd w:val="0"/>
        <w:spacing w:line="360" w:lineRule="auto"/>
        <w:ind w:left="480" w:hanging="480" w:hangingChars="200"/>
        <w:contextualSpacing/>
        <w:rPr>
          <w:rFonts w:ascii="Times New Roman" w:hAnsi="Times New Roman" w:eastAsia="宋体" w:cs="Times New Roman"/>
          <w:szCs w:val="24"/>
        </w:rPr>
      </w:pPr>
      <w:r>
        <w:rPr>
          <w:rFonts w:ascii="Times New Roman" w:hAnsi="Times New Roman" w:eastAsia="宋体" w:cs="Times New Roman"/>
          <w:sz w:val="24"/>
          <w:szCs w:val="24"/>
        </w:rPr>
        <w:t>记录不良事件，询问并记录接受合并用药和非药物治疗的信息。</w:t>
      </w:r>
      <w:bookmarkEnd w:id="397"/>
    </w:p>
    <w:p w14:paraId="6C162B4D">
      <w:pPr>
        <w:spacing w:line="360" w:lineRule="auto"/>
        <w:ind w:firstLine="420"/>
        <w:jc w:val="both"/>
        <w:rPr>
          <w:b/>
          <w:bCs/>
          <w:lang w:val="en-GB"/>
        </w:rPr>
      </w:pPr>
      <w:r>
        <w:rPr>
          <w:rFonts w:hint="eastAsia"/>
          <w:b/>
          <w:bCs/>
        </w:rPr>
        <w:t>安全性访视</w:t>
      </w:r>
      <w:r>
        <w:rPr>
          <w:b/>
          <w:bCs/>
          <w:lang w:val="en-GB"/>
        </w:rPr>
        <w:t>期</w:t>
      </w:r>
      <w:r>
        <w:rPr>
          <w:b/>
          <w:bCs/>
        </w:rPr>
        <w:t>，</w:t>
      </w:r>
      <w:r>
        <w:rPr>
          <w:b/>
          <w:bCs/>
          <w:lang w:val="en-GB"/>
        </w:rPr>
        <w:t>第</w:t>
      </w:r>
      <w:r>
        <w:rPr>
          <w:b/>
          <w:bCs/>
        </w:rPr>
        <w:t>2</w:t>
      </w:r>
      <w:r>
        <w:rPr>
          <w:b/>
          <w:bCs/>
          <w:lang w:val="en-GB"/>
        </w:rPr>
        <w:t>~7天安全性随访：</w:t>
      </w:r>
    </w:p>
    <w:p w14:paraId="29882009">
      <w:pPr>
        <w:pStyle w:val="122"/>
        <w:adjustRightInd w:val="0"/>
        <w:spacing w:line="360" w:lineRule="auto"/>
        <w:ind w:firstLineChars="0"/>
        <w:contextualSpacing/>
      </w:pPr>
      <w:r>
        <w:t>完成安全性检查，包括：生命体征、体格检查、12导联心电图、实验室检查。记录不良事件，询问并记录接受合并用药和非药物治疗的信息。</w:t>
      </w:r>
    </w:p>
    <w:p w14:paraId="6641C4DF">
      <w:pPr>
        <w:pStyle w:val="122"/>
        <w:adjustRightInd w:val="0"/>
        <w:spacing w:line="360" w:lineRule="auto"/>
        <w:ind w:firstLineChars="0"/>
        <w:contextualSpacing/>
      </w:pPr>
      <w:r>
        <w:t>提前退出研究的受试者需尽量完成以上安全性检查后出组。</w:t>
      </w:r>
    </w:p>
    <w:p w14:paraId="042A836B">
      <w:pPr>
        <w:spacing w:line="360" w:lineRule="auto"/>
        <w:ind w:firstLine="420"/>
        <w:jc w:val="both"/>
        <w:rPr>
          <w:b/>
          <w:bCs/>
          <w:szCs w:val="24"/>
          <w:lang w:val="en-GB"/>
        </w:rPr>
      </w:pPr>
      <w:r>
        <w:rPr>
          <w:rFonts w:hint="eastAsia"/>
          <w:b/>
          <w:bCs/>
        </w:rPr>
        <w:t>有效性访视</w:t>
      </w:r>
      <w:r>
        <w:rPr>
          <w:b/>
          <w:bCs/>
          <w:lang w:val="en-GB"/>
        </w:rPr>
        <w:t>期</w:t>
      </w:r>
      <w:r>
        <w:rPr>
          <w:b/>
          <w:bCs/>
        </w:rPr>
        <w:t>，</w:t>
      </w:r>
      <w:r>
        <w:rPr>
          <w:b/>
          <w:bCs/>
          <w:lang w:val="en-GB"/>
        </w:rPr>
        <w:t>第</w:t>
      </w:r>
      <w:r>
        <w:rPr>
          <w:b/>
          <w:bCs/>
          <w:szCs w:val="24"/>
        </w:rPr>
        <w:t>60</w:t>
      </w:r>
      <w:r>
        <w:rPr>
          <w:b/>
          <w:bCs/>
          <w:color w:val="000000"/>
          <w:szCs w:val="24"/>
        </w:rPr>
        <w:t>±7</w:t>
      </w:r>
      <w:r>
        <w:rPr>
          <w:rFonts w:hint="eastAsia"/>
          <w:b/>
          <w:bCs/>
          <w:color w:val="000000"/>
          <w:szCs w:val="24"/>
        </w:rPr>
        <w:t>、</w:t>
      </w:r>
      <w:r>
        <w:rPr>
          <w:b/>
          <w:bCs/>
          <w:szCs w:val="24"/>
        </w:rPr>
        <w:t>90</w:t>
      </w:r>
      <w:r>
        <w:rPr>
          <w:b/>
          <w:bCs/>
          <w:color w:val="000000"/>
          <w:szCs w:val="24"/>
        </w:rPr>
        <w:t>±7</w:t>
      </w:r>
      <w:r>
        <w:rPr>
          <w:rFonts w:hint="eastAsia"/>
          <w:b/>
          <w:bCs/>
          <w:color w:val="000000"/>
          <w:szCs w:val="24"/>
        </w:rPr>
        <w:t>天或开始局部/系统治疗前、给药后</w:t>
      </w:r>
      <w:r>
        <w:rPr>
          <w:b/>
          <w:bCs/>
          <w:color w:val="000000"/>
          <w:szCs w:val="24"/>
        </w:rPr>
        <w:t>3~12</w:t>
      </w:r>
      <w:r>
        <w:rPr>
          <w:rFonts w:hint="eastAsia"/>
          <w:b/>
          <w:bCs/>
          <w:color w:val="000000"/>
          <w:szCs w:val="24"/>
        </w:rPr>
        <w:t>月</w:t>
      </w:r>
      <w:r>
        <w:rPr>
          <w:b/>
          <w:bCs/>
          <w:szCs w:val="24"/>
          <w:lang w:val="en-GB"/>
        </w:rPr>
        <w:t>：</w:t>
      </w:r>
    </w:p>
    <w:p w14:paraId="6E0062A1">
      <w:pPr>
        <w:spacing w:line="360" w:lineRule="auto"/>
        <w:ind w:firstLine="420"/>
        <w:jc w:val="both"/>
        <w:rPr>
          <w:szCs w:val="24"/>
          <w:lang w:val="en-GB"/>
        </w:rPr>
      </w:pPr>
      <w:r>
        <w:rPr>
          <w:szCs w:val="24"/>
          <w:lang w:val="en-GB"/>
        </w:rPr>
        <w:t>INR101</w:t>
      </w:r>
      <w:r>
        <w:rPr>
          <w:rFonts w:hint="eastAsia"/>
          <w:szCs w:val="24"/>
          <w:lang w:val="en-GB"/>
        </w:rPr>
        <w:t>注射液</w:t>
      </w:r>
      <w:r>
        <w:rPr>
          <w:szCs w:val="24"/>
          <w:lang w:val="en-GB"/>
        </w:rPr>
        <w:t>PET/CT</w:t>
      </w:r>
      <w:r>
        <w:rPr>
          <w:rFonts w:hint="eastAsia"/>
          <w:szCs w:val="24"/>
          <w:lang w:val="en-GB"/>
        </w:rPr>
        <w:t>检查结果阳性受试者，如果能够取得</w:t>
      </w:r>
      <w:r>
        <w:rPr>
          <w:rFonts w:hint="eastAsia"/>
          <w:szCs w:val="24"/>
          <w:lang w:val="en-US" w:eastAsia="zh-CN"/>
        </w:rPr>
        <w:t>PET阳性部位的</w:t>
      </w:r>
      <w:r>
        <w:rPr>
          <w:rFonts w:hint="eastAsia"/>
          <w:szCs w:val="24"/>
          <w:lang w:val="en-GB"/>
        </w:rPr>
        <w:t>病理诊断（研究者根据临床实际情况判断），</w:t>
      </w:r>
      <w:r>
        <w:rPr>
          <w:szCs w:val="24"/>
        </w:rPr>
        <w:t>90</w:t>
      </w:r>
      <w:r>
        <w:rPr>
          <w:rFonts w:hint="eastAsia"/>
          <w:szCs w:val="24"/>
        </w:rPr>
        <w:t>天内</w:t>
      </w:r>
      <w:r>
        <w:rPr>
          <w:rFonts w:hint="eastAsia"/>
          <w:szCs w:val="24"/>
          <w:lang w:val="en-GB"/>
        </w:rPr>
        <w:t>对PET阳性部位进行细胞学</w:t>
      </w:r>
      <w:r>
        <w:rPr>
          <w:szCs w:val="24"/>
          <w:lang w:val="en-GB"/>
        </w:rPr>
        <w:t>/</w:t>
      </w:r>
      <w:r>
        <w:rPr>
          <w:rFonts w:hint="eastAsia"/>
          <w:szCs w:val="24"/>
          <w:lang w:val="en-GB"/>
        </w:rPr>
        <w:t>组织学病理穿刺活检。</w:t>
      </w:r>
    </w:p>
    <w:p w14:paraId="1FD4B4A0">
      <w:pPr>
        <w:pStyle w:val="122"/>
        <w:adjustRightInd w:val="0"/>
        <w:spacing w:line="360" w:lineRule="auto"/>
        <w:ind w:firstLineChars="0"/>
        <w:contextualSpacing/>
        <w:rPr>
          <w:szCs w:val="24"/>
        </w:rPr>
      </w:pPr>
      <w:r>
        <w:t>若</w:t>
      </w:r>
      <w:r>
        <w:rPr>
          <w:rFonts w:hint="eastAsia"/>
        </w:rPr>
        <w:t>无法取得病理诊断，</w:t>
      </w:r>
      <w:r>
        <w:t>筛选期D-30到随访期D28天常规影像均无法确认复发状态，</w:t>
      </w:r>
      <w:r>
        <w:rPr>
          <w:rFonts w:hint="eastAsia"/>
        </w:rPr>
        <w:t>且在</w:t>
      </w:r>
      <w:r>
        <w:t>90</w:t>
      </w:r>
      <w:r>
        <w:rPr>
          <w:rFonts w:hint="eastAsia"/>
        </w:rPr>
        <w:t>天内未接受局部</w:t>
      </w:r>
      <w:r>
        <w:t>/</w:t>
      </w:r>
      <w:r>
        <w:rPr>
          <w:rFonts w:hint="eastAsia"/>
        </w:rPr>
        <w:t>系统治疗者，</w:t>
      </w:r>
      <w:r>
        <w:t>D60±7天再次</w:t>
      </w:r>
      <w:r>
        <w:rPr>
          <w:rFonts w:hint="eastAsia"/>
        </w:rPr>
        <w:t>对PET阳性病灶/区域</w:t>
      </w:r>
      <w:r>
        <w:t>进行常规影像检查。</w:t>
      </w:r>
      <w:r>
        <w:rPr>
          <w:szCs w:val="24"/>
        </w:rPr>
        <w:t>若D60</w:t>
      </w:r>
      <w:r>
        <w:rPr>
          <w:color w:val="000000"/>
          <w:szCs w:val="24"/>
        </w:rPr>
        <w:t>±7</w:t>
      </w:r>
      <w:r>
        <w:rPr>
          <w:szCs w:val="24"/>
        </w:rPr>
        <w:t>天常规影像仍无法确认复发状态，D90</w:t>
      </w:r>
      <w:r>
        <w:rPr>
          <w:color w:val="000000"/>
          <w:szCs w:val="24"/>
        </w:rPr>
        <w:t>±7</w:t>
      </w:r>
      <w:r>
        <w:rPr>
          <w:szCs w:val="24"/>
        </w:rPr>
        <w:t>天再次</w:t>
      </w:r>
      <w:r>
        <w:rPr>
          <w:rFonts w:hint="eastAsia"/>
          <w:szCs w:val="24"/>
        </w:rPr>
        <w:t>对PET阳性病灶/区域</w:t>
      </w:r>
      <w:r>
        <w:rPr>
          <w:szCs w:val="24"/>
        </w:rPr>
        <w:t>进行常规影像检查。</w:t>
      </w:r>
    </w:p>
    <w:p w14:paraId="3E221499">
      <w:pPr>
        <w:pStyle w:val="122"/>
        <w:adjustRightInd w:val="0"/>
        <w:spacing w:line="360" w:lineRule="auto"/>
        <w:ind w:firstLineChars="0"/>
        <w:contextualSpacing/>
        <w:rPr>
          <w:szCs w:val="24"/>
        </w:rPr>
      </w:pPr>
      <w:r>
        <w:rPr>
          <w:szCs w:val="24"/>
        </w:rPr>
        <w:t>如果</w:t>
      </w:r>
      <w:r>
        <w:t>90</w:t>
      </w:r>
      <w:r>
        <w:rPr>
          <w:rFonts w:hint="eastAsia"/>
        </w:rPr>
        <w:t>天内接受了局部</w:t>
      </w:r>
      <w:r>
        <w:t>/</w:t>
      </w:r>
      <w:r>
        <w:rPr>
          <w:rFonts w:hint="eastAsia"/>
        </w:rPr>
        <w:t>系统治疗，或</w:t>
      </w:r>
      <w:r>
        <w:rPr>
          <w:szCs w:val="24"/>
        </w:rPr>
        <w:t>90天</w:t>
      </w:r>
      <w:r>
        <w:rPr>
          <w:rFonts w:hint="eastAsia"/>
          <w:szCs w:val="24"/>
        </w:rPr>
        <w:t>（</w:t>
      </w:r>
      <w:r>
        <w:t>±7</w:t>
      </w:r>
      <w:r>
        <w:rPr>
          <w:rFonts w:hint="eastAsia"/>
          <w:szCs w:val="24"/>
        </w:rPr>
        <w:t>）</w:t>
      </w:r>
      <w:r>
        <w:rPr>
          <w:szCs w:val="24"/>
        </w:rPr>
        <w:t>再次成像无法确认</w:t>
      </w:r>
      <w:r>
        <w:rPr>
          <w:rFonts w:hint="eastAsia"/>
          <w:szCs w:val="24"/>
          <w:lang w:val="en-US" w:eastAsia="zh-CN"/>
        </w:rPr>
        <w:t>PET阳性</w:t>
      </w:r>
      <w:r>
        <w:rPr>
          <w:szCs w:val="24"/>
        </w:rPr>
        <w:t>病灶状态，则可根据治疗后血PSA反应变化来确认（血PSA水平较基线下降≥50%，并在3-4周内重复测量确认）。PSA每3个月采集一次，最长12个月，直至确认PSA缓解。</w:t>
      </w:r>
    </w:p>
    <w:p w14:paraId="3C7D0D72">
      <w:pPr>
        <w:pStyle w:val="122"/>
        <w:adjustRightInd w:val="0"/>
        <w:spacing w:line="360" w:lineRule="auto"/>
        <w:ind w:left="360" w:firstLine="0" w:firstLineChars="0"/>
        <w:contextualSpacing/>
        <w:rPr>
          <w:szCs w:val="24"/>
        </w:rPr>
      </w:pPr>
      <w:r>
        <w:t>询问并记录接受合并用药和非药物治疗的信息。</w:t>
      </w:r>
    </w:p>
    <w:bookmarkEnd w:id="398"/>
    <w:p w14:paraId="24799C6B">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399" w:name="_Toc23537"/>
      <w:bookmarkStart w:id="400" w:name="_Toc16653"/>
      <w:bookmarkStart w:id="401" w:name="_Toc10698"/>
      <w:bookmarkStart w:id="402" w:name="_Toc183523023"/>
      <w:r>
        <w:rPr>
          <w:rFonts w:ascii="Times New Roman" w:hAnsi="Times New Roman" w:eastAsia="宋体"/>
          <w:sz w:val="24"/>
          <w:szCs w:val="24"/>
          <w:lang w:val="zh-TW" w:eastAsia="zh-TW"/>
        </w:rPr>
        <w:t>安全性评估和程序</w:t>
      </w:r>
      <w:bookmarkEnd w:id="399"/>
      <w:bookmarkEnd w:id="400"/>
      <w:bookmarkEnd w:id="401"/>
      <w:bookmarkEnd w:id="402"/>
    </w:p>
    <w:p w14:paraId="68726BB7">
      <w:pPr>
        <w:pStyle w:val="5"/>
        <w:numPr>
          <w:ilvl w:val="2"/>
          <w:numId w:val="30"/>
        </w:numPr>
        <w:spacing w:before="0" w:after="0" w:line="360" w:lineRule="auto"/>
        <w:ind w:left="0" w:firstLine="0"/>
        <w:jc w:val="both"/>
        <w:rPr>
          <w:sz w:val="24"/>
          <w:szCs w:val="24"/>
          <w:lang w:val="zh-TW"/>
        </w:rPr>
      </w:pPr>
      <w:bookmarkStart w:id="403" w:name="_Toc30546"/>
      <w:bookmarkStart w:id="404" w:name="_Toc19404"/>
      <w:bookmarkStart w:id="405" w:name="_Toc13139"/>
      <w:bookmarkStart w:id="406" w:name="_Toc183523024"/>
      <w:r>
        <w:rPr>
          <w:sz w:val="24"/>
          <w:szCs w:val="24"/>
          <w:lang w:val="zh-TW"/>
        </w:rPr>
        <w:t>体格检查</w:t>
      </w:r>
      <w:bookmarkEnd w:id="403"/>
      <w:bookmarkEnd w:id="404"/>
      <w:bookmarkEnd w:id="405"/>
      <w:bookmarkEnd w:id="406"/>
    </w:p>
    <w:p w14:paraId="089B4A30">
      <w:pPr>
        <w:spacing w:line="360" w:lineRule="auto"/>
        <w:ind w:firstLine="480" w:firstLineChars="200"/>
        <w:rPr>
          <w:lang w:val="zh-TW"/>
        </w:rPr>
      </w:pPr>
      <w:r>
        <w:t>包括皮肤黏膜、淋巴结、头颈部、胸部、腹部、脊柱及四肢以及神经系统</w:t>
      </w:r>
      <w:r>
        <w:rPr>
          <w:lang w:val="zh-TW"/>
        </w:rPr>
        <w:t>。</w:t>
      </w:r>
    </w:p>
    <w:p w14:paraId="4879CCD5">
      <w:pPr>
        <w:pStyle w:val="5"/>
        <w:numPr>
          <w:ilvl w:val="2"/>
          <w:numId w:val="30"/>
        </w:numPr>
        <w:spacing w:before="0" w:after="0" w:line="360" w:lineRule="auto"/>
        <w:ind w:left="0" w:firstLine="0"/>
        <w:jc w:val="both"/>
        <w:rPr>
          <w:sz w:val="24"/>
          <w:szCs w:val="24"/>
          <w:lang w:val="zh-TW" w:eastAsia="zh-TW"/>
        </w:rPr>
      </w:pPr>
      <w:bookmarkStart w:id="407" w:name="_Toc14236"/>
      <w:bookmarkStart w:id="408" w:name="_Toc183523025"/>
      <w:bookmarkStart w:id="409" w:name="_Toc23608"/>
      <w:bookmarkStart w:id="410" w:name="_Toc12706"/>
      <w:r>
        <w:rPr>
          <w:sz w:val="24"/>
          <w:szCs w:val="24"/>
          <w:lang w:val="zh-TW"/>
        </w:rPr>
        <w:t>生命体征</w:t>
      </w:r>
      <w:bookmarkEnd w:id="407"/>
      <w:bookmarkEnd w:id="408"/>
      <w:bookmarkEnd w:id="409"/>
      <w:bookmarkEnd w:id="410"/>
    </w:p>
    <w:p w14:paraId="03B3E678">
      <w:pPr>
        <w:spacing w:line="360" w:lineRule="auto"/>
        <w:ind w:firstLine="480" w:firstLineChars="200"/>
      </w:pPr>
      <w:r>
        <w:t>包括血压、脉搏、呼吸频率、体温。</w:t>
      </w:r>
    </w:p>
    <w:p w14:paraId="279D29F7">
      <w:pPr>
        <w:pStyle w:val="5"/>
        <w:numPr>
          <w:ilvl w:val="2"/>
          <w:numId w:val="30"/>
        </w:numPr>
        <w:spacing w:before="0" w:after="0" w:line="360" w:lineRule="auto"/>
        <w:ind w:left="0" w:firstLine="0"/>
        <w:jc w:val="both"/>
        <w:rPr>
          <w:sz w:val="24"/>
          <w:szCs w:val="24"/>
          <w:lang w:val="zh-TW"/>
        </w:rPr>
      </w:pPr>
      <w:bookmarkStart w:id="411" w:name="_Toc21930"/>
      <w:bookmarkStart w:id="412" w:name="_Toc30288"/>
      <w:bookmarkStart w:id="413" w:name="_Toc183523026"/>
      <w:bookmarkStart w:id="414" w:name="_Toc16574"/>
      <w:r>
        <w:rPr>
          <w:sz w:val="24"/>
          <w:szCs w:val="24"/>
          <w:lang w:val="zh-TW"/>
        </w:rPr>
        <w:t>12导联心电图</w:t>
      </w:r>
      <w:bookmarkEnd w:id="411"/>
      <w:bookmarkEnd w:id="412"/>
      <w:bookmarkEnd w:id="413"/>
      <w:bookmarkEnd w:id="414"/>
    </w:p>
    <w:p w14:paraId="535FAE30">
      <w:pPr>
        <w:spacing w:line="360" w:lineRule="auto"/>
        <w:ind w:firstLine="480" w:firstLineChars="200"/>
        <w:rPr>
          <w:lang w:val="zh-TW"/>
        </w:rPr>
      </w:pPr>
      <w:r>
        <w:t>包括心率、PR间期、QTc间期及心电图异常诊断，静息5分钟后测量。</w:t>
      </w:r>
    </w:p>
    <w:p w14:paraId="18AA4FE4">
      <w:pPr>
        <w:pStyle w:val="5"/>
        <w:numPr>
          <w:ilvl w:val="2"/>
          <w:numId w:val="30"/>
        </w:numPr>
        <w:spacing w:before="0" w:after="0" w:line="360" w:lineRule="auto"/>
        <w:ind w:left="0" w:firstLine="0"/>
        <w:jc w:val="both"/>
        <w:rPr>
          <w:sz w:val="24"/>
          <w:szCs w:val="24"/>
          <w:lang w:val="zh-TW"/>
        </w:rPr>
      </w:pPr>
      <w:bookmarkStart w:id="415" w:name="_Toc28122"/>
      <w:bookmarkStart w:id="416" w:name="_Toc183523027"/>
      <w:bookmarkStart w:id="417" w:name="_Toc9471"/>
      <w:bookmarkStart w:id="418" w:name="_Toc23602"/>
      <w:r>
        <w:rPr>
          <w:sz w:val="24"/>
          <w:szCs w:val="24"/>
          <w:lang w:val="zh-TW"/>
        </w:rPr>
        <w:t>临床实验室评估</w:t>
      </w:r>
      <w:bookmarkEnd w:id="415"/>
      <w:bookmarkEnd w:id="416"/>
      <w:bookmarkEnd w:id="417"/>
      <w:bookmarkEnd w:id="418"/>
    </w:p>
    <w:p w14:paraId="58C7993F">
      <w:pPr>
        <w:spacing w:line="360" w:lineRule="auto"/>
        <w:ind w:firstLine="480" w:firstLineChars="200"/>
      </w:pPr>
      <w:r>
        <w:t>具体实验室检查项目见第</w:t>
      </w:r>
      <w:r>
        <w:rPr>
          <w:color w:val="0000FF"/>
        </w:rPr>
        <w:fldChar w:fldCharType="begin"/>
      </w:r>
      <w:r>
        <w:rPr>
          <w:color w:val="0000FF"/>
        </w:rPr>
        <w:instrText xml:space="preserve"> REF _Ref180582415 \r \h  \* MERGEFORMAT </w:instrText>
      </w:r>
      <w:r>
        <w:rPr>
          <w:color w:val="0000FF"/>
        </w:rPr>
        <w:fldChar w:fldCharType="separate"/>
      </w:r>
      <w:r>
        <w:rPr>
          <w:color w:val="0000FF"/>
        </w:rPr>
        <w:t>13.2</w:t>
      </w:r>
      <w:r>
        <w:rPr>
          <w:color w:val="0000FF"/>
        </w:rPr>
        <w:fldChar w:fldCharType="end"/>
      </w:r>
      <w:r>
        <w:t>节。</w:t>
      </w:r>
    </w:p>
    <w:p w14:paraId="7C4EE14C">
      <w:pPr>
        <w:pStyle w:val="4"/>
        <w:numPr>
          <w:ilvl w:val="1"/>
          <w:numId w:val="5"/>
        </w:numPr>
        <w:spacing w:before="0" w:after="0" w:line="360" w:lineRule="auto"/>
        <w:ind w:left="0" w:firstLine="0"/>
        <w:rPr>
          <w:rFonts w:ascii="Times New Roman" w:hAnsi="Times New Roman" w:eastAsia="宋体"/>
          <w:sz w:val="24"/>
          <w:szCs w:val="24"/>
          <w:lang w:val="zh-TW"/>
        </w:rPr>
      </w:pPr>
      <w:bookmarkStart w:id="419" w:name="_Toc2347"/>
      <w:bookmarkStart w:id="420" w:name="_Toc5433"/>
      <w:bookmarkStart w:id="421" w:name="_Toc183523028"/>
      <w:bookmarkStart w:id="422" w:name="_Toc16944"/>
      <w:r>
        <w:rPr>
          <w:rFonts w:ascii="Times New Roman" w:hAnsi="Times New Roman" w:eastAsia="宋体"/>
          <w:sz w:val="24"/>
          <w:szCs w:val="24"/>
          <w:lang w:val="zh-TW"/>
        </w:rPr>
        <w:t>不良事件和严重不良事件</w:t>
      </w:r>
      <w:bookmarkEnd w:id="419"/>
      <w:bookmarkEnd w:id="420"/>
      <w:bookmarkEnd w:id="421"/>
      <w:bookmarkEnd w:id="422"/>
    </w:p>
    <w:p w14:paraId="79261186">
      <w:pPr>
        <w:pStyle w:val="5"/>
        <w:numPr>
          <w:ilvl w:val="2"/>
          <w:numId w:val="31"/>
        </w:numPr>
        <w:spacing w:before="0" w:after="0" w:line="360" w:lineRule="auto"/>
        <w:jc w:val="both"/>
        <w:rPr>
          <w:sz w:val="24"/>
          <w:szCs w:val="24"/>
          <w:lang w:val="zh-TW"/>
        </w:rPr>
      </w:pPr>
      <w:bookmarkStart w:id="423" w:name="_Toc5848"/>
      <w:bookmarkStart w:id="424" w:name="_Toc183523029"/>
      <w:bookmarkStart w:id="425" w:name="_Toc6347"/>
      <w:bookmarkStart w:id="426" w:name="_Toc4194"/>
      <w:r>
        <w:rPr>
          <w:rFonts w:hint="eastAsia"/>
          <w:sz w:val="24"/>
          <w:szCs w:val="24"/>
        </w:rPr>
        <w:t>不良事件</w:t>
      </w:r>
      <w:r>
        <w:rPr>
          <w:sz w:val="24"/>
          <w:szCs w:val="24"/>
          <w:lang w:val="zh-TW"/>
        </w:rPr>
        <w:t>和</w:t>
      </w:r>
      <w:r>
        <w:rPr>
          <w:rFonts w:hint="eastAsia"/>
          <w:sz w:val="24"/>
          <w:szCs w:val="24"/>
        </w:rPr>
        <w:t>严重不良事件</w:t>
      </w:r>
      <w:r>
        <w:rPr>
          <w:sz w:val="24"/>
          <w:szCs w:val="24"/>
          <w:lang w:val="zh-TW"/>
        </w:rPr>
        <w:t>的定义</w:t>
      </w:r>
      <w:bookmarkEnd w:id="423"/>
      <w:bookmarkEnd w:id="424"/>
      <w:bookmarkEnd w:id="425"/>
      <w:bookmarkEnd w:id="426"/>
    </w:p>
    <w:p w14:paraId="447B37B1">
      <w:pPr>
        <w:pStyle w:val="83"/>
        <w:ind w:firstLine="480"/>
        <w:rPr>
          <w:bCs/>
          <w:color w:val="auto"/>
        </w:rPr>
      </w:pPr>
      <w:r>
        <w:rPr>
          <w:color w:val="auto"/>
          <w:lang w:val="zh-TW"/>
        </w:rPr>
        <w:t>不良事件</w:t>
      </w:r>
      <w:r>
        <w:rPr>
          <w:rFonts w:hint="eastAsia"/>
          <w:color w:val="auto"/>
          <w:lang w:val="zh-TW"/>
        </w:rPr>
        <w:t>（</w:t>
      </w:r>
      <w:r>
        <w:rPr>
          <w:color w:val="auto"/>
          <w:lang w:bidi="ar"/>
        </w:rPr>
        <w:t xml:space="preserve">Adverse Event, </w:t>
      </w:r>
      <w:r>
        <w:rPr>
          <w:color w:val="auto"/>
        </w:rPr>
        <w:t>AE</w:t>
      </w:r>
      <w:r>
        <w:rPr>
          <w:rFonts w:hint="eastAsia"/>
          <w:color w:val="auto"/>
          <w:lang w:val="zh-TW"/>
        </w:rPr>
        <w:t>）</w:t>
      </w:r>
      <w:r>
        <w:rPr>
          <w:rFonts w:hint="eastAsia"/>
          <w:lang w:bidi="ar"/>
        </w:rPr>
        <w:t>指受试者接受试验用药品后出现的所有不良医学事件，可以表现为症状体征、疾病或者实验室检查异常，但不一定与试验用药品有因果关系。</w:t>
      </w:r>
    </w:p>
    <w:p w14:paraId="46145E70">
      <w:pPr>
        <w:pStyle w:val="83"/>
        <w:ind w:firstLine="480"/>
        <w:rPr>
          <w:color w:val="auto"/>
          <w:lang w:val="zh-TW"/>
        </w:rPr>
      </w:pPr>
      <w:r>
        <w:rPr>
          <w:color w:val="auto"/>
          <w:lang w:val="zh-TW"/>
        </w:rPr>
        <w:t>用药前不良事件：自受试者签署ICF至首次使用试验用药品期间，收集与试验流程相关的事件当作AE记录（例如，侵入性操作如采血、影像检查造影剂引起的反应等），其他与试验流程不相关的事件可根据研究者的判断记录为病史。</w:t>
      </w:r>
    </w:p>
    <w:p w14:paraId="1677C010">
      <w:pPr>
        <w:spacing w:before="60" w:after="60" w:line="360" w:lineRule="auto"/>
        <w:ind w:firstLine="424" w:firstLineChars="177"/>
        <w:jc w:val="both"/>
        <w:rPr>
          <w:szCs w:val="24"/>
        </w:rPr>
      </w:pPr>
      <w:r>
        <w:rPr>
          <w:lang w:val="zh-TW" w:eastAsia="zh-TW"/>
        </w:rPr>
        <w:t>严重不良事件</w:t>
      </w:r>
      <w:r>
        <w:rPr>
          <w:rFonts w:hint="eastAsia"/>
          <w:lang w:eastAsia="zh-TW"/>
        </w:rPr>
        <w:t>（</w:t>
      </w:r>
      <w:r>
        <w:rPr>
          <w:rFonts w:eastAsia="PMingLiU"/>
          <w:color w:val="000000"/>
          <w:szCs w:val="24"/>
          <w:lang w:val="zh-TW" w:eastAsia="zh-TW"/>
        </w:rPr>
        <w:t>Serious Adverse Even</w:t>
      </w:r>
      <w:r>
        <w:rPr>
          <w:rFonts w:eastAsia="PMingLiU"/>
          <w:color w:val="000000"/>
          <w:szCs w:val="24"/>
          <w:lang w:eastAsia="zh-TW"/>
        </w:rPr>
        <w:t xml:space="preserve">t, </w:t>
      </w:r>
      <w:r>
        <w:rPr>
          <w:lang w:eastAsia="zh-TW"/>
        </w:rPr>
        <w:t>SAE</w:t>
      </w:r>
      <w:r>
        <w:rPr>
          <w:rFonts w:hint="eastAsia"/>
          <w:lang w:eastAsia="zh-TW"/>
        </w:rPr>
        <w:t>）</w:t>
      </w:r>
      <w:r>
        <w:rPr>
          <w:rFonts w:hint="eastAsia"/>
          <w:szCs w:val="24"/>
          <w:lang w:eastAsia="zh-TW" w:bidi="ar"/>
        </w:rPr>
        <w:t>是指受试者接受试验用药品后出现死亡、危及生命、永久或者严重的残疾或者功能丧失、受试者需要住院治疗或者延长住院时间，以及先天性异常或者出生缺陷等不良医学事件。</w:t>
      </w:r>
      <w:r>
        <w:rPr>
          <w:rFonts w:hint="eastAsia"/>
          <w:szCs w:val="24"/>
          <w:lang w:bidi="ar"/>
        </w:rPr>
        <w:t>指发生在研究任何阶段（即治疗期、安全性随访期）、在使用任何剂量的试验药时出现的不良事件且其符合下列一个或多个标准：</w:t>
      </w:r>
    </w:p>
    <w:p w14:paraId="0B0FE355">
      <w:pPr>
        <w:spacing w:before="60" w:after="60" w:line="360" w:lineRule="auto"/>
        <w:ind w:firstLine="424" w:firstLineChars="177"/>
        <w:jc w:val="both"/>
        <w:rPr>
          <w:szCs w:val="24"/>
        </w:rPr>
      </w:pPr>
      <w:r>
        <w:rPr>
          <w:rFonts w:hint="eastAsia"/>
          <w:szCs w:val="24"/>
          <w:lang w:bidi="ar"/>
        </w:rPr>
        <w:t>严重不良事件指以下情形之一：</w:t>
      </w:r>
    </w:p>
    <w:p w14:paraId="7B90EC39">
      <w:pPr>
        <w:spacing w:before="60" w:after="60" w:line="360" w:lineRule="auto"/>
        <w:ind w:firstLine="424" w:firstLineChars="177"/>
        <w:jc w:val="both"/>
        <w:rPr>
          <w:szCs w:val="24"/>
        </w:rPr>
      </w:pPr>
      <w:r>
        <w:rPr>
          <w:rFonts w:hint="eastAsia"/>
          <w:szCs w:val="24"/>
          <w:lang w:bidi="ar"/>
        </w:rPr>
        <w:t>1. 导致死亡；</w:t>
      </w:r>
    </w:p>
    <w:p w14:paraId="01C33754">
      <w:pPr>
        <w:spacing w:before="60" w:after="60" w:line="360" w:lineRule="auto"/>
        <w:ind w:firstLine="424" w:firstLineChars="177"/>
        <w:jc w:val="both"/>
        <w:rPr>
          <w:szCs w:val="24"/>
        </w:rPr>
      </w:pPr>
      <w:r>
        <w:rPr>
          <w:rFonts w:hint="eastAsia"/>
          <w:szCs w:val="24"/>
          <w:lang w:bidi="ar"/>
        </w:rPr>
        <w:t>2. 危及生命，指严重病人即刻存在死亡的风险，并非是指假设将来发展严重时可能出现死亡；（危及生命是指，在事件发生的情况下患者立即处于死亡风险之中，也就是说，它不包括不良事件假设以更严重形式发生可导致死亡。）</w:t>
      </w:r>
    </w:p>
    <w:p w14:paraId="392E454B">
      <w:pPr>
        <w:spacing w:before="60" w:after="60" w:line="360" w:lineRule="auto"/>
        <w:ind w:firstLine="424" w:firstLineChars="177"/>
        <w:jc w:val="both"/>
        <w:rPr>
          <w:szCs w:val="24"/>
        </w:rPr>
      </w:pPr>
      <w:r>
        <w:rPr>
          <w:rFonts w:hint="eastAsia"/>
          <w:szCs w:val="24"/>
          <w:lang w:bidi="ar"/>
        </w:rPr>
        <w:t>3. 患者需要住院治疗或延长住院时间延长：不良事件导致受试者不得不住院接受治疗或本来已经准备出院但由于发生了不良事件而导致住院时间延长；需明确导致该状况的原因是由于不良事件所致，而非因择期手术、非医疗原因等导致入院；</w:t>
      </w:r>
    </w:p>
    <w:p w14:paraId="3F25156E">
      <w:pPr>
        <w:spacing w:before="60" w:after="60" w:line="360" w:lineRule="auto"/>
        <w:ind w:firstLine="424" w:firstLineChars="177"/>
        <w:jc w:val="both"/>
        <w:rPr>
          <w:szCs w:val="24"/>
        </w:rPr>
      </w:pPr>
      <w:r>
        <w:rPr>
          <w:rFonts w:hint="eastAsia"/>
          <w:szCs w:val="24"/>
          <w:lang w:bidi="ar"/>
        </w:rPr>
        <w:t>4. 导致永久的或严重的残疾或功能丧失；</w:t>
      </w:r>
    </w:p>
    <w:p w14:paraId="0CB3FCDF">
      <w:pPr>
        <w:spacing w:before="60" w:after="60" w:line="360" w:lineRule="auto"/>
        <w:ind w:firstLine="424" w:firstLineChars="177"/>
        <w:jc w:val="both"/>
        <w:rPr>
          <w:szCs w:val="24"/>
        </w:rPr>
      </w:pPr>
      <w:r>
        <w:rPr>
          <w:rFonts w:hint="eastAsia"/>
          <w:szCs w:val="24"/>
          <w:lang w:bidi="ar"/>
        </w:rPr>
        <w:t>5. 致先天性畸形或致出生缺陷。</w:t>
      </w:r>
    </w:p>
    <w:p w14:paraId="6FF8BDAB">
      <w:pPr>
        <w:spacing w:before="60" w:after="60" w:line="360" w:lineRule="auto"/>
        <w:ind w:firstLine="424" w:firstLineChars="177"/>
        <w:jc w:val="both"/>
        <w:rPr>
          <w:szCs w:val="24"/>
        </w:rPr>
      </w:pPr>
      <w:r>
        <w:rPr>
          <w:rFonts w:hint="eastAsia"/>
          <w:szCs w:val="24"/>
          <w:lang w:bidi="ar"/>
        </w:rPr>
        <w:t>6. 其他重要的医学事件：必须运用医学和科学的判断决定是否对其他的情况加速报告，例如重要医学事件，可能不会立即危及生命、或导致死亡、或者要求住院治疗的重要医学事件，但它可危及患者，或者可能需要进行干预，以预防发生严重不良事件定义所述任何一项。这些医学事件通常认为是严重不良事件。重要医学事件的例子包括因过敏性支气管痉挛需要在急诊室或家里进行强化治疗；未导致住院治疗的恶液质或惊厥；以及产生药物依赖或药物滥用。药物变质造成的感染将被视为重要医学事件。</w:t>
      </w:r>
    </w:p>
    <w:p w14:paraId="34912DFA">
      <w:pPr>
        <w:widowControl w:val="0"/>
        <w:adjustRightInd w:val="0"/>
        <w:snapToGrid w:val="0"/>
        <w:spacing w:before="163" w:beforeLines="50" w:after="163" w:afterLines="50" w:line="360" w:lineRule="auto"/>
        <w:jc w:val="both"/>
        <w:rPr>
          <w:lang w:val="da"/>
        </w:rPr>
      </w:pPr>
      <w:bookmarkStart w:id="427" w:name="_Hlk93412656"/>
      <w:r>
        <w:rPr>
          <w:rFonts w:hint="eastAsia"/>
          <w:szCs w:val="22"/>
          <w:lang w:bidi="ar"/>
        </w:rPr>
        <w:t>注：</w:t>
      </w:r>
      <w:r>
        <w:rPr>
          <w:szCs w:val="22"/>
          <w:lang w:bidi="ar"/>
        </w:rPr>
        <w:t>3</w:t>
      </w:r>
      <w:r>
        <w:rPr>
          <w:rFonts w:hint="eastAsia"/>
          <w:szCs w:val="22"/>
          <w:lang w:bidi="ar"/>
        </w:rPr>
        <w:t>中需要住院或住院时间延长不包含以下情况，但这些情况须在病历中有记录：</w:t>
      </w:r>
    </w:p>
    <w:bookmarkEnd w:id="427"/>
    <w:p w14:paraId="409D962E">
      <w:pPr>
        <w:numPr>
          <w:ilvl w:val="0"/>
          <w:numId w:val="32"/>
        </w:numPr>
        <w:adjustRightInd w:val="0"/>
        <w:snapToGrid w:val="0"/>
        <w:spacing w:before="163" w:beforeLines="50" w:after="163" w:afterLines="50" w:line="360" w:lineRule="auto"/>
        <w:ind w:left="240" w:leftChars="100" w:firstLine="0"/>
        <w:jc w:val="both"/>
        <w:rPr>
          <w:lang w:val="da"/>
        </w:rPr>
      </w:pPr>
      <w:bookmarkStart w:id="428" w:name="_Hlk93412680"/>
      <w:r>
        <w:rPr>
          <w:rFonts w:hint="eastAsia"/>
          <w:szCs w:val="22"/>
          <w:lang w:bidi="ar"/>
        </w:rPr>
        <w:t>住院时间不足</w:t>
      </w:r>
      <w:r>
        <w:rPr>
          <w:szCs w:val="22"/>
          <w:lang w:bidi="ar"/>
        </w:rPr>
        <w:t>24</w:t>
      </w:r>
      <w:r>
        <w:rPr>
          <w:rFonts w:hint="eastAsia"/>
          <w:szCs w:val="22"/>
          <w:lang w:bidi="ar"/>
        </w:rPr>
        <w:t>小时；在医院留院观察、在急诊室观察或在门诊治疗均不属于住院。但是，必须给予医学判断，并且有疑问时，应视为严重病例（即怀疑病例符合其他重要医学事件的标准）；</w:t>
      </w:r>
    </w:p>
    <w:p w14:paraId="78972BB0">
      <w:pPr>
        <w:numPr>
          <w:ilvl w:val="0"/>
          <w:numId w:val="32"/>
        </w:numPr>
        <w:adjustRightInd w:val="0"/>
        <w:snapToGrid w:val="0"/>
        <w:spacing w:before="163" w:beforeLines="50" w:after="163" w:afterLines="50" w:line="360" w:lineRule="auto"/>
        <w:ind w:left="240" w:leftChars="100"/>
        <w:jc w:val="both"/>
        <w:rPr>
          <w:lang w:val="da"/>
        </w:rPr>
      </w:pPr>
      <w:r>
        <w:rPr>
          <w:rFonts w:hint="eastAsia"/>
          <w:szCs w:val="22"/>
          <w:lang w:bidi="ar"/>
        </w:rPr>
        <w:t>因医保报销社会原因，无法门诊治疗等医疗程序原因，而非病情需要的住院；</w:t>
      </w:r>
    </w:p>
    <w:p w14:paraId="5A73FBFE">
      <w:pPr>
        <w:numPr>
          <w:ilvl w:val="0"/>
          <w:numId w:val="32"/>
        </w:numPr>
        <w:adjustRightInd w:val="0"/>
        <w:snapToGrid w:val="0"/>
        <w:spacing w:before="163" w:beforeLines="50" w:after="163" w:afterLines="50" w:line="360" w:lineRule="auto"/>
        <w:ind w:left="240" w:leftChars="100"/>
        <w:jc w:val="both"/>
        <w:rPr>
          <w:lang w:val="da"/>
        </w:rPr>
      </w:pPr>
      <w:r>
        <w:rPr>
          <w:rFonts w:hint="eastAsia"/>
          <w:szCs w:val="22"/>
          <w:lang w:bidi="ar"/>
        </w:rPr>
        <w:t>管理原因的住院（如每年例行体检）；</w:t>
      </w:r>
    </w:p>
    <w:p w14:paraId="2E971F42">
      <w:pPr>
        <w:numPr>
          <w:ilvl w:val="0"/>
          <w:numId w:val="32"/>
        </w:numPr>
        <w:adjustRightInd w:val="0"/>
        <w:snapToGrid w:val="0"/>
        <w:spacing w:before="163" w:beforeLines="50" w:after="163" w:afterLines="50" w:line="360" w:lineRule="auto"/>
        <w:ind w:left="240" w:leftChars="100" w:firstLine="0"/>
        <w:jc w:val="both"/>
        <w:rPr>
          <w:lang w:val="da"/>
        </w:rPr>
      </w:pPr>
      <w:r>
        <w:rPr>
          <w:rFonts w:hint="eastAsia"/>
          <w:szCs w:val="22"/>
          <w:lang w:bidi="ar"/>
        </w:rPr>
        <w:t>因原有疾病入院，并没有新的不良反应发生，也没有原疾病的加重（如为了检查试验前至今持续存在的实验室检查异常）；</w:t>
      </w:r>
    </w:p>
    <w:p w14:paraId="7696F499">
      <w:pPr>
        <w:numPr>
          <w:ilvl w:val="0"/>
          <w:numId w:val="32"/>
        </w:numPr>
        <w:adjustRightInd w:val="0"/>
        <w:snapToGrid w:val="0"/>
        <w:spacing w:before="163" w:beforeLines="50" w:after="163" w:afterLines="50" w:line="360" w:lineRule="auto"/>
        <w:ind w:left="240" w:leftChars="100"/>
        <w:jc w:val="both"/>
        <w:rPr>
          <w:lang w:val="da"/>
        </w:rPr>
      </w:pPr>
      <w:r>
        <w:rPr>
          <w:rFonts w:hint="eastAsia"/>
          <w:szCs w:val="22"/>
          <w:lang w:bidi="ar"/>
        </w:rPr>
        <w:t>临床试验期间试验方案规定的住院（如按试验方案的要求进行操作）；</w:t>
      </w:r>
    </w:p>
    <w:p w14:paraId="183298AE">
      <w:pPr>
        <w:numPr>
          <w:ilvl w:val="0"/>
          <w:numId w:val="32"/>
        </w:numPr>
        <w:adjustRightInd w:val="0"/>
        <w:snapToGrid w:val="0"/>
        <w:spacing w:before="163" w:beforeLines="50" w:after="163" w:afterLines="50" w:line="360" w:lineRule="auto"/>
        <w:ind w:left="240" w:leftChars="100"/>
        <w:jc w:val="both"/>
        <w:rPr>
          <w:lang w:val="da"/>
        </w:rPr>
      </w:pPr>
      <w:r>
        <w:rPr>
          <w:rFonts w:hint="eastAsia"/>
          <w:szCs w:val="22"/>
          <w:lang w:bidi="ar"/>
        </w:rPr>
        <w:t>计划在研究过程中住院和</w:t>
      </w:r>
      <w:r>
        <w:rPr>
          <w:szCs w:val="22"/>
          <w:lang w:val="da" w:bidi="ar"/>
        </w:rPr>
        <w:t>/</w:t>
      </w:r>
      <w:r>
        <w:rPr>
          <w:rFonts w:hint="eastAsia"/>
          <w:szCs w:val="22"/>
          <w:lang w:bidi="ar"/>
        </w:rPr>
        <w:t>或进行外科手术的情况（如择期整容手术）；</w:t>
      </w:r>
    </w:p>
    <w:p w14:paraId="681811DE">
      <w:pPr>
        <w:numPr>
          <w:ilvl w:val="0"/>
          <w:numId w:val="32"/>
        </w:numPr>
        <w:adjustRightInd w:val="0"/>
        <w:snapToGrid w:val="0"/>
        <w:spacing w:before="163" w:beforeLines="50" w:after="163" w:afterLines="50" w:line="360" w:lineRule="auto"/>
        <w:ind w:left="240" w:leftChars="100"/>
        <w:jc w:val="both"/>
        <w:rPr>
          <w:lang w:val="da"/>
        </w:rPr>
      </w:pPr>
      <w:r>
        <w:rPr>
          <w:rFonts w:hint="eastAsia"/>
          <w:szCs w:val="22"/>
          <w:lang w:bidi="ar"/>
        </w:rPr>
        <w:t>有害的医疗事件并未发生的情况（如因社会收容或方便病人而收入院）；</w:t>
      </w:r>
    </w:p>
    <w:p w14:paraId="7E725680">
      <w:pPr>
        <w:numPr>
          <w:ilvl w:val="0"/>
          <w:numId w:val="32"/>
        </w:numPr>
        <w:adjustRightInd w:val="0"/>
        <w:snapToGrid w:val="0"/>
        <w:spacing w:before="163" w:beforeLines="50" w:after="163" w:afterLines="50" w:line="360" w:lineRule="auto"/>
        <w:ind w:left="240" w:leftChars="100"/>
        <w:jc w:val="both"/>
        <w:rPr>
          <w:lang w:val="zh-TW"/>
        </w:rPr>
      </w:pPr>
      <w:r>
        <w:rPr>
          <w:rFonts w:hint="eastAsia"/>
          <w:szCs w:val="22"/>
          <w:lang w:bidi="ar"/>
        </w:rPr>
        <w:t>仅因为血液品的使用而入院；</w:t>
      </w:r>
      <w:bookmarkEnd w:id="428"/>
    </w:p>
    <w:p w14:paraId="036D5913">
      <w:pPr>
        <w:pStyle w:val="5"/>
        <w:numPr>
          <w:ilvl w:val="2"/>
          <w:numId w:val="31"/>
        </w:numPr>
        <w:spacing w:before="0" w:after="0" w:line="360" w:lineRule="auto"/>
        <w:ind w:left="0" w:firstLine="0"/>
        <w:jc w:val="both"/>
        <w:rPr>
          <w:sz w:val="24"/>
          <w:szCs w:val="24"/>
          <w:lang w:val="zh-TW"/>
        </w:rPr>
      </w:pPr>
      <w:bookmarkStart w:id="429" w:name="_Toc7799"/>
      <w:bookmarkStart w:id="430" w:name="_Toc183523030"/>
      <w:bookmarkStart w:id="431" w:name="_Toc1468"/>
      <w:bookmarkStart w:id="432" w:name="_Toc10418"/>
      <w:r>
        <w:rPr>
          <w:sz w:val="24"/>
          <w:szCs w:val="24"/>
          <w:lang w:val="zh-TW"/>
        </w:rPr>
        <w:t>收集</w:t>
      </w:r>
      <w:r>
        <w:rPr>
          <w:rFonts w:hint="eastAsia"/>
          <w:sz w:val="24"/>
          <w:szCs w:val="24"/>
        </w:rPr>
        <w:t>不良事件</w:t>
      </w:r>
      <w:r>
        <w:rPr>
          <w:sz w:val="24"/>
          <w:szCs w:val="24"/>
          <w:lang w:val="zh-TW"/>
        </w:rPr>
        <w:t>和</w:t>
      </w:r>
      <w:r>
        <w:rPr>
          <w:rFonts w:hint="eastAsia"/>
          <w:sz w:val="24"/>
          <w:szCs w:val="24"/>
        </w:rPr>
        <w:t>严重不良事件</w:t>
      </w:r>
      <w:r>
        <w:rPr>
          <w:sz w:val="24"/>
          <w:szCs w:val="24"/>
          <w:lang w:val="zh-TW"/>
        </w:rPr>
        <w:t>信息的时间段和频率</w:t>
      </w:r>
      <w:bookmarkEnd w:id="429"/>
      <w:bookmarkEnd w:id="430"/>
      <w:bookmarkEnd w:id="431"/>
      <w:bookmarkEnd w:id="432"/>
    </w:p>
    <w:p w14:paraId="14FEE906">
      <w:pPr>
        <w:pStyle w:val="83"/>
        <w:ind w:firstLine="480" w:firstLineChars="200"/>
        <w:rPr>
          <w:color w:val="auto"/>
          <w:lang w:val="zh-TW"/>
        </w:rPr>
      </w:pPr>
      <w:r>
        <w:rPr>
          <w:color w:val="auto"/>
          <w:lang w:val="zh-TW"/>
        </w:rPr>
        <w:t>本研究应收集受试者签署知情同意书开始至随访期完成安全性检查之间发生的所有不良事件。</w:t>
      </w:r>
    </w:p>
    <w:p w14:paraId="123E4AB9">
      <w:pPr>
        <w:pStyle w:val="5"/>
        <w:numPr>
          <w:ilvl w:val="2"/>
          <w:numId w:val="31"/>
        </w:numPr>
        <w:spacing w:before="0" w:after="0" w:line="360" w:lineRule="auto"/>
        <w:jc w:val="both"/>
        <w:rPr>
          <w:sz w:val="24"/>
          <w:szCs w:val="24"/>
          <w:lang w:val="zh-TW"/>
        </w:rPr>
      </w:pPr>
      <w:bookmarkStart w:id="433" w:name="_Toc183523031"/>
      <w:bookmarkStart w:id="434" w:name="_Toc8984"/>
      <w:bookmarkStart w:id="435" w:name="_Toc3320"/>
      <w:bookmarkStart w:id="436" w:name="_Toc24235"/>
      <w:r>
        <w:rPr>
          <w:rFonts w:hint="eastAsia"/>
          <w:sz w:val="24"/>
          <w:szCs w:val="24"/>
        </w:rPr>
        <w:t>不良事件</w:t>
      </w:r>
      <w:r>
        <w:rPr>
          <w:sz w:val="24"/>
          <w:szCs w:val="24"/>
          <w:lang w:val="zh-TW"/>
        </w:rPr>
        <w:t>和</w:t>
      </w:r>
      <w:r>
        <w:rPr>
          <w:rFonts w:hint="eastAsia"/>
          <w:sz w:val="24"/>
          <w:szCs w:val="24"/>
        </w:rPr>
        <w:t>严重不良事件</w:t>
      </w:r>
      <w:r>
        <w:rPr>
          <w:sz w:val="24"/>
          <w:szCs w:val="24"/>
          <w:lang w:val="zh-TW"/>
        </w:rPr>
        <w:t>的识别</w:t>
      </w:r>
      <w:bookmarkEnd w:id="433"/>
      <w:bookmarkEnd w:id="434"/>
      <w:bookmarkEnd w:id="435"/>
      <w:bookmarkEnd w:id="436"/>
    </w:p>
    <w:p w14:paraId="7AC54FE1">
      <w:pPr>
        <w:pStyle w:val="83"/>
        <w:ind w:firstLine="480"/>
        <w:rPr>
          <w:color w:val="auto"/>
          <w:lang w:val="zh-TW"/>
        </w:rPr>
      </w:pPr>
      <w:r>
        <w:rPr>
          <w:color w:val="auto"/>
          <w:lang w:val="zh-TW"/>
        </w:rPr>
        <w:t>研究者应用简洁的语言报告直接观察到的或者受试者自发报告的所有不良事件。另外，试验开始后需定期向受试者询问不良事件情况。</w:t>
      </w:r>
    </w:p>
    <w:p w14:paraId="7E965F2C">
      <w:pPr>
        <w:pStyle w:val="5"/>
        <w:numPr>
          <w:ilvl w:val="2"/>
          <w:numId w:val="31"/>
        </w:numPr>
        <w:spacing w:before="0" w:after="0" w:line="360" w:lineRule="auto"/>
        <w:ind w:left="0" w:firstLine="0"/>
        <w:jc w:val="both"/>
        <w:rPr>
          <w:sz w:val="24"/>
          <w:szCs w:val="24"/>
          <w:lang w:val="zh-TW"/>
        </w:rPr>
      </w:pPr>
      <w:bookmarkStart w:id="437" w:name="_Toc8555"/>
      <w:bookmarkStart w:id="438" w:name="_Toc11768"/>
      <w:bookmarkStart w:id="439" w:name="_Toc183523032"/>
      <w:bookmarkStart w:id="440" w:name="_Toc16964"/>
      <w:r>
        <w:rPr>
          <w:rFonts w:hint="eastAsia"/>
          <w:sz w:val="24"/>
          <w:szCs w:val="24"/>
        </w:rPr>
        <w:t>不良事件</w:t>
      </w:r>
      <w:r>
        <w:rPr>
          <w:sz w:val="24"/>
          <w:szCs w:val="24"/>
          <w:lang w:val="zh-TW"/>
        </w:rPr>
        <w:t>和</w:t>
      </w:r>
      <w:r>
        <w:rPr>
          <w:rFonts w:hint="eastAsia"/>
          <w:sz w:val="24"/>
          <w:szCs w:val="24"/>
        </w:rPr>
        <w:t>严重不良事件</w:t>
      </w:r>
      <w:r>
        <w:rPr>
          <w:sz w:val="24"/>
          <w:szCs w:val="24"/>
          <w:lang w:val="zh-TW"/>
        </w:rPr>
        <w:t>的记录</w:t>
      </w:r>
      <w:bookmarkEnd w:id="437"/>
      <w:bookmarkEnd w:id="438"/>
      <w:bookmarkEnd w:id="439"/>
      <w:bookmarkEnd w:id="440"/>
    </w:p>
    <w:p w14:paraId="69CE25AD">
      <w:pPr>
        <w:pStyle w:val="83"/>
        <w:tabs>
          <w:tab w:val="left" w:pos="5670"/>
        </w:tabs>
        <w:ind w:firstLine="480"/>
        <w:rPr>
          <w:color w:val="auto"/>
          <w:lang w:val="zh-TW"/>
        </w:rPr>
      </w:pPr>
      <w:r>
        <w:rPr>
          <w:color w:val="auto"/>
          <w:lang w:val="zh-TW"/>
        </w:rPr>
        <w:t>试验期间应如实</w:t>
      </w:r>
      <w:r>
        <w:rPr>
          <w:rFonts w:hint="eastAsia"/>
          <w:color w:val="auto"/>
        </w:rPr>
        <w:t>记录</w:t>
      </w:r>
      <w:r>
        <w:rPr>
          <w:color w:val="auto"/>
          <w:lang w:val="zh-TW"/>
        </w:rPr>
        <w:t>不良事件，包括不良事件的发生时间、严重程度、</w:t>
      </w:r>
      <w:r>
        <w:rPr>
          <w:color w:val="auto"/>
        </w:rPr>
        <w:t>与试验用药品</w:t>
      </w:r>
      <w:r>
        <w:rPr>
          <w:color w:val="auto"/>
          <w:lang w:val="zh-TW"/>
        </w:rPr>
        <w:t>因果关系、结束时间、</w:t>
      </w:r>
      <w:r>
        <w:rPr>
          <w:color w:val="auto"/>
        </w:rPr>
        <w:t>对试验用药品采取的措施、对AE和SAE</w:t>
      </w:r>
      <w:r>
        <w:rPr>
          <w:color w:val="auto"/>
          <w:lang w:val="zh-TW"/>
        </w:rPr>
        <w:t>采取的措施和转归等。不良事件应记录在指定的原始病历</w:t>
      </w:r>
      <w:r>
        <w:rPr>
          <w:rFonts w:hint="eastAsia"/>
          <w:color w:val="auto"/>
        </w:rPr>
        <w:t>和</w:t>
      </w:r>
      <w:r>
        <w:rPr>
          <w:color w:val="auto"/>
        </w:rPr>
        <w:t>eCRF</w:t>
      </w:r>
      <w:r>
        <w:rPr>
          <w:color w:val="auto"/>
          <w:lang w:val="zh-TW"/>
        </w:rPr>
        <w:t>中。</w:t>
      </w:r>
    </w:p>
    <w:p w14:paraId="24884015">
      <w:pPr>
        <w:pStyle w:val="83"/>
        <w:tabs>
          <w:tab w:val="left" w:pos="5670"/>
        </w:tabs>
        <w:ind w:firstLine="480"/>
        <w:rPr>
          <w:rFonts w:eastAsiaTheme="minorEastAsia"/>
          <w:color w:val="auto"/>
          <w:lang w:val="zh-TW"/>
        </w:rPr>
      </w:pPr>
      <w:r>
        <w:rPr>
          <w:rFonts w:eastAsiaTheme="minorEastAsia"/>
          <w:color w:val="auto"/>
          <w:lang w:val="zh-TW"/>
        </w:rPr>
        <w:t>AE</w:t>
      </w:r>
      <w:r>
        <w:rPr>
          <w:rFonts w:hint="eastAsia" w:eastAsiaTheme="minorEastAsia"/>
          <w:color w:val="auto"/>
          <w:lang w:val="zh-TW"/>
        </w:rPr>
        <w:t>的转归具体如下：</w:t>
      </w:r>
    </w:p>
    <w:p w14:paraId="1A0F1E21">
      <w:pPr>
        <w:pStyle w:val="193"/>
        <w:rPr>
          <w:rFonts w:eastAsia="宋体"/>
          <w:lang w:val="en-GB"/>
        </w:rPr>
      </w:pPr>
      <w:r>
        <w:rPr>
          <w:rFonts w:eastAsia="宋体"/>
        </w:rPr>
        <w:t>痊愈</w:t>
      </w:r>
    </w:p>
    <w:p w14:paraId="510389D1">
      <w:pPr>
        <w:pStyle w:val="193"/>
        <w:rPr>
          <w:rFonts w:eastAsia="宋体"/>
          <w:lang w:val="en-GB"/>
        </w:rPr>
      </w:pPr>
      <w:r>
        <w:rPr>
          <w:rFonts w:hint="eastAsia" w:eastAsia="宋体"/>
          <w:lang w:eastAsia="zh-CN"/>
        </w:rPr>
        <w:t>好转</w:t>
      </w:r>
      <w:r>
        <w:rPr>
          <w:rFonts w:eastAsia="宋体"/>
        </w:rPr>
        <w:t>/</w:t>
      </w:r>
      <w:r>
        <w:rPr>
          <w:rFonts w:hint="eastAsia" w:eastAsia="宋体"/>
          <w:lang w:eastAsia="zh-CN"/>
        </w:rPr>
        <w:t>缓解</w:t>
      </w:r>
    </w:p>
    <w:p w14:paraId="0FCAE8C0">
      <w:pPr>
        <w:pStyle w:val="193"/>
        <w:rPr>
          <w:rFonts w:eastAsia="宋体"/>
          <w:lang w:val="en-GB"/>
        </w:rPr>
      </w:pPr>
      <w:r>
        <w:rPr>
          <w:rFonts w:eastAsia="宋体"/>
          <w:lang w:eastAsia="zh-CN"/>
        </w:rPr>
        <w:t>未好转/未缓解/持续</w:t>
      </w:r>
    </w:p>
    <w:p w14:paraId="764FCEB6">
      <w:pPr>
        <w:pStyle w:val="193"/>
        <w:rPr>
          <w:rFonts w:eastAsia="宋体"/>
          <w:lang w:val="en-GB"/>
        </w:rPr>
      </w:pPr>
      <w:r>
        <w:rPr>
          <w:rFonts w:eastAsia="宋体"/>
        </w:rPr>
        <w:t>痊愈伴有后遗症</w:t>
      </w:r>
    </w:p>
    <w:p w14:paraId="6EBA0876">
      <w:pPr>
        <w:pStyle w:val="193"/>
        <w:rPr>
          <w:rFonts w:eastAsia="宋体"/>
          <w:lang w:val="en-GB"/>
        </w:rPr>
      </w:pPr>
      <w:r>
        <w:rPr>
          <w:rFonts w:eastAsia="宋体"/>
        </w:rPr>
        <w:t>致死</w:t>
      </w:r>
    </w:p>
    <w:p w14:paraId="71E389E1">
      <w:pPr>
        <w:pStyle w:val="193"/>
        <w:rPr>
          <w:lang w:val="zh-TW" w:eastAsia="zh-TW"/>
        </w:rPr>
      </w:pPr>
      <w:r>
        <w:rPr>
          <w:rFonts w:eastAsia="宋体"/>
        </w:rPr>
        <w:t>未知</w:t>
      </w:r>
    </w:p>
    <w:p w14:paraId="412D760C">
      <w:pPr>
        <w:pStyle w:val="83"/>
        <w:ind w:firstLine="480"/>
        <w:rPr>
          <w:color w:val="auto"/>
        </w:rPr>
      </w:pPr>
      <w:r>
        <w:rPr>
          <w:color w:val="auto"/>
          <w:lang w:val="zh-TW"/>
        </w:rPr>
        <w:t>临床事件和有临床意义的实验室检查异常均将按照</w:t>
      </w:r>
      <w:r>
        <w:rPr>
          <w:color w:val="auto"/>
        </w:rPr>
        <w:t>NCI-CTCAE 5.0</w:t>
      </w:r>
      <w:r>
        <w:rPr>
          <w:color w:val="auto"/>
          <w:lang w:val="zh-TW"/>
        </w:rPr>
        <w:t>标准进行分级。治疗引发的不良事件将由研究者进行记录，并提醒申办者医学专员注意，申办者医学专员将与研究者进行讨论并决定适当的行动步骤。</w:t>
      </w:r>
    </w:p>
    <w:p w14:paraId="08168733">
      <w:pPr>
        <w:pStyle w:val="3"/>
        <w:spacing w:line="360" w:lineRule="auto"/>
        <w:ind w:firstLine="480" w:firstLineChars="200"/>
        <w:rPr>
          <w:rFonts w:ascii="Times New Roman" w:hAnsi="Times New Roman" w:cs="Times New Roman"/>
          <w:b/>
          <w:bCs/>
          <w:color w:val="auto"/>
          <w:sz w:val="24"/>
          <w:szCs w:val="24"/>
          <w:lang w:val="zh-TW"/>
        </w:rPr>
      </w:pPr>
      <w:r>
        <w:rPr>
          <w:rFonts w:ascii="Times New Roman" w:hAnsi="Times New Roman" w:cs="Times New Roman"/>
          <w:b/>
          <w:bCs/>
          <w:color w:val="auto"/>
          <w:sz w:val="24"/>
          <w:szCs w:val="24"/>
          <w:lang w:val="zh-TW"/>
        </w:rPr>
        <w:t>视为不良事件或严重不良事件的临床实验室检测异常和其他异常情况评估</w:t>
      </w:r>
    </w:p>
    <w:p w14:paraId="634D6506">
      <w:pPr>
        <w:pStyle w:val="83"/>
        <w:ind w:firstLine="480" w:firstLineChars="200"/>
        <w:rPr>
          <w:color w:val="auto"/>
          <w:lang w:val="zh-TW"/>
        </w:rPr>
      </w:pPr>
      <w:r>
        <w:rPr>
          <w:color w:val="auto"/>
          <w:lang w:val="zh-TW"/>
        </w:rPr>
        <w:t>无临床意义的实验室检查异常及其他异常情况评估（如体格检查、12导联心电图检查、生命体征）不作为</w:t>
      </w:r>
      <w:r>
        <w:rPr>
          <w:color w:val="auto"/>
        </w:rPr>
        <w:t>AE</w:t>
      </w:r>
      <w:r>
        <w:rPr>
          <w:color w:val="auto"/>
          <w:lang w:val="zh-TW"/>
        </w:rPr>
        <w:t>或</w:t>
      </w:r>
      <w:r>
        <w:rPr>
          <w:color w:val="auto"/>
        </w:rPr>
        <w:t>SAE</w:t>
      </w:r>
      <w:r>
        <w:rPr>
          <w:color w:val="auto"/>
          <w:lang w:val="zh-TW"/>
        </w:rPr>
        <w:t>来记录。有临床意义的（异常有临床意义）实验室检查异常（如血和尿样本分析）及其他异常情况评估（如体格检查、12导联心电图检查、生命体征），如果符合</w:t>
      </w:r>
      <w:r>
        <w:rPr>
          <w:color w:val="auto"/>
        </w:rPr>
        <w:t>AE</w:t>
      </w:r>
      <w:r>
        <w:rPr>
          <w:color w:val="auto"/>
          <w:lang w:val="zh-TW"/>
        </w:rPr>
        <w:t>或</w:t>
      </w:r>
      <w:r>
        <w:rPr>
          <w:color w:val="auto"/>
        </w:rPr>
        <w:t>SAE</w:t>
      </w:r>
      <w:r>
        <w:rPr>
          <w:color w:val="auto"/>
          <w:lang w:val="zh-TW"/>
        </w:rPr>
        <w:t>定义，则必须作为</w:t>
      </w:r>
      <w:r>
        <w:rPr>
          <w:color w:val="auto"/>
        </w:rPr>
        <w:t>AE</w:t>
      </w:r>
      <w:r>
        <w:rPr>
          <w:color w:val="auto"/>
          <w:lang w:val="zh-TW"/>
        </w:rPr>
        <w:t>或</w:t>
      </w:r>
      <w:r>
        <w:rPr>
          <w:color w:val="auto"/>
        </w:rPr>
        <w:t>SAE</w:t>
      </w:r>
      <w:r>
        <w:rPr>
          <w:color w:val="auto"/>
          <w:lang w:val="zh-TW"/>
        </w:rPr>
        <w:t>进行记录。如果实验室检查异常属于综合征的一部分，则记录综合征或诊断结果（如贫血）而非实验室检测结果（即血红蛋白减少）。</w:t>
      </w:r>
    </w:p>
    <w:p w14:paraId="2B298B8B">
      <w:pPr>
        <w:pStyle w:val="5"/>
        <w:numPr>
          <w:ilvl w:val="2"/>
          <w:numId w:val="31"/>
        </w:numPr>
        <w:spacing w:before="0" w:after="0" w:line="360" w:lineRule="auto"/>
        <w:ind w:left="0" w:firstLine="0"/>
        <w:jc w:val="both"/>
        <w:rPr>
          <w:sz w:val="24"/>
          <w:szCs w:val="24"/>
          <w:lang w:val="zh-TW"/>
        </w:rPr>
      </w:pPr>
      <w:bookmarkStart w:id="441" w:name="_Toc18179"/>
      <w:bookmarkStart w:id="442" w:name="_Toc20368"/>
      <w:bookmarkStart w:id="443" w:name="_Toc183523033"/>
      <w:bookmarkStart w:id="444" w:name="_Toc21400"/>
      <w:r>
        <w:rPr>
          <w:rFonts w:hint="eastAsia"/>
          <w:sz w:val="24"/>
          <w:szCs w:val="24"/>
        </w:rPr>
        <w:t>不良事件</w:t>
      </w:r>
      <w:r>
        <w:rPr>
          <w:sz w:val="24"/>
          <w:szCs w:val="24"/>
          <w:lang w:val="zh-TW"/>
        </w:rPr>
        <w:t>和</w:t>
      </w:r>
      <w:r>
        <w:rPr>
          <w:rFonts w:hint="eastAsia"/>
          <w:sz w:val="24"/>
          <w:szCs w:val="24"/>
        </w:rPr>
        <w:t>严重不良事件</w:t>
      </w:r>
      <w:r>
        <w:rPr>
          <w:sz w:val="24"/>
          <w:szCs w:val="24"/>
          <w:lang w:val="zh-TW"/>
        </w:rPr>
        <w:t>的随访</w:t>
      </w:r>
      <w:bookmarkEnd w:id="441"/>
      <w:bookmarkEnd w:id="442"/>
      <w:bookmarkEnd w:id="443"/>
      <w:bookmarkEnd w:id="444"/>
    </w:p>
    <w:p w14:paraId="73DB30B4">
      <w:pPr>
        <w:spacing w:line="360" w:lineRule="auto"/>
        <w:ind w:firstLine="480" w:firstLineChars="200"/>
        <w:jc w:val="both"/>
        <w:rPr>
          <w:lang w:val="zh-TW"/>
        </w:rPr>
      </w:pPr>
      <w:r>
        <w:rPr>
          <w:lang w:val="zh-TW"/>
        </w:rPr>
        <w:t>如试验期间发生不良事件需进行随访，直至不良事件消失、恢复基线、异常无临床意义、稳定或失访，或能用医学解释不需要继续随访。</w:t>
      </w:r>
    </w:p>
    <w:p w14:paraId="3AE86818">
      <w:pPr>
        <w:pStyle w:val="5"/>
        <w:numPr>
          <w:ilvl w:val="2"/>
          <w:numId w:val="31"/>
        </w:numPr>
        <w:spacing w:before="0" w:after="0" w:line="360" w:lineRule="auto"/>
        <w:ind w:left="0" w:firstLine="0"/>
        <w:jc w:val="both"/>
        <w:rPr>
          <w:sz w:val="24"/>
          <w:szCs w:val="24"/>
          <w:lang w:val="zh-TW"/>
        </w:rPr>
      </w:pPr>
      <w:bookmarkStart w:id="445" w:name="_Toc25826"/>
      <w:bookmarkStart w:id="446" w:name="_Toc17733"/>
      <w:bookmarkStart w:id="447" w:name="_Toc8943"/>
      <w:bookmarkStart w:id="448" w:name="_Toc183523034"/>
      <w:r>
        <w:rPr>
          <w:rFonts w:hint="eastAsia"/>
          <w:sz w:val="24"/>
          <w:szCs w:val="24"/>
        </w:rPr>
        <w:t>严重不良事件</w:t>
      </w:r>
      <w:r>
        <w:rPr>
          <w:sz w:val="24"/>
          <w:szCs w:val="24"/>
          <w:lang w:val="zh-TW"/>
        </w:rPr>
        <w:t>的报告</w:t>
      </w:r>
      <w:bookmarkEnd w:id="445"/>
      <w:bookmarkEnd w:id="446"/>
      <w:bookmarkEnd w:id="447"/>
      <w:bookmarkEnd w:id="448"/>
    </w:p>
    <w:p w14:paraId="00EE408E">
      <w:pPr>
        <w:pStyle w:val="3"/>
        <w:spacing w:line="360" w:lineRule="auto"/>
        <w:ind w:firstLine="480" w:firstLineChars="200"/>
        <w:rPr>
          <w:rFonts w:ascii="Times New Roman" w:hAnsi="Times New Roman" w:cs="Times New Roman"/>
          <w:b/>
          <w:bCs/>
          <w:color w:val="auto"/>
          <w:sz w:val="24"/>
          <w:szCs w:val="24"/>
          <w:lang w:val="zh-TW" w:eastAsia="zh-TW"/>
        </w:rPr>
      </w:pPr>
      <w:r>
        <w:rPr>
          <w:rFonts w:ascii="Times New Roman" w:hAnsi="Times New Roman" w:cs="Times New Roman"/>
          <w:b/>
          <w:bCs/>
          <w:color w:val="auto"/>
          <w:sz w:val="24"/>
          <w:szCs w:val="24"/>
          <w:lang w:val="zh-TW" w:eastAsia="zh-TW"/>
        </w:rPr>
        <w:t>SAE的记录与报告</w:t>
      </w:r>
    </w:p>
    <w:p w14:paraId="4F2F4746">
      <w:pPr>
        <w:pStyle w:val="83"/>
        <w:ind w:firstLine="480" w:firstLineChars="200"/>
        <w:rPr>
          <w:color w:val="auto"/>
        </w:rPr>
      </w:pPr>
      <w:r>
        <w:rPr>
          <w:color w:val="auto"/>
          <w:lang w:val="zh-TW"/>
        </w:rPr>
        <w:t>研究者应当在获知SAE后立即（24 h内）向申办者书面报告所有严重不良事件，随后应当及时提供详尽、书面的随访报告。</w:t>
      </w:r>
      <w:r>
        <w:rPr>
          <w:color w:val="auto"/>
        </w:rPr>
        <w:t>涉及死亡事件的报告，研究者应当向申办者和伦理委员会提供其他所需要的资料，如尸检报告和最终医学报告。</w:t>
      </w:r>
    </w:p>
    <w:p w14:paraId="63CE3167">
      <w:pPr>
        <w:pStyle w:val="3"/>
        <w:spacing w:line="360" w:lineRule="auto"/>
        <w:ind w:firstLine="480" w:firstLineChars="200"/>
        <w:rPr>
          <w:rFonts w:ascii="Times New Roman" w:hAnsi="Times New Roman" w:cs="Times New Roman"/>
          <w:b/>
          <w:bCs/>
          <w:color w:val="auto"/>
          <w:sz w:val="24"/>
          <w:szCs w:val="24"/>
          <w:lang w:val="zh-TW"/>
        </w:rPr>
      </w:pPr>
      <w:r>
        <w:rPr>
          <w:rFonts w:ascii="Times New Roman" w:hAnsi="Times New Roman" w:cs="Times New Roman"/>
          <w:b/>
          <w:bCs/>
          <w:color w:val="auto"/>
          <w:sz w:val="24"/>
          <w:szCs w:val="24"/>
          <w:lang w:val="zh-TW"/>
        </w:rPr>
        <w:t>发生SAE时对受试者的处理</w:t>
      </w:r>
    </w:p>
    <w:p w14:paraId="784A3413">
      <w:pPr>
        <w:pStyle w:val="83"/>
        <w:ind w:firstLine="480" w:firstLineChars="200"/>
        <w:rPr>
          <w:color w:val="auto"/>
          <w:lang w:val="zh-TW"/>
        </w:rPr>
      </w:pPr>
      <w:r>
        <w:rPr>
          <w:color w:val="auto"/>
          <w:lang w:val="zh-TW"/>
        </w:rPr>
        <w:t>发生严重不良事件时，研究者应当立即对受试者采取适宜、积极的抢救、保护措施，并可根据病情决定</w:t>
      </w:r>
      <w:r>
        <w:rPr>
          <w:rFonts w:hint="eastAsia"/>
          <w:color w:val="auto"/>
        </w:rPr>
        <w:t>受试者</w:t>
      </w:r>
      <w:r>
        <w:rPr>
          <w:color w:val="auto"/>
          <w:lang w:val="zh-TW"/>
        </w:rPr>
        <w:t>是否</w:t>
      </w:r>
      <w:r>
        <w:rPr>
          <w:rFonts w:hint="eastAsia"/>
          <w:color w:val="auto"/>
        </w:rPr>
        <w:t>退出</w:t>
      </w:r>
      <w:r>
        <w:rPr>
          <w:color w:val="auto"/>
          <w:lang w:val="zh-TW"/>
        </w:rPr>
        <w:t>研究。</w:t>
      </w:r>
    </w:p>
    <w:p w14:paraId="51BCC02D">
      <w:pPr>
        <w:pStyle w:val="5"/>
        <w:numPr>
          <w:ilvl w:val="2"/>
          <w:numId w:val="31"/>
        </w:numPr>
        <w:spacing w:before="0" w:after="0" w:line="360" w:lineRule="auto"/>
        <w:ind w:left="0" w:firstLine="0"/>
        <w:jc w:val="both"/>
        <w:rPr>
          <w:sz w:val="24"/>
          <w:szCs w:val="24"/>
          <w:lang w:val="zh-TW"/>
        </w:rPr>
      </w:pPr>
      <w:bookmarkStart w:id="449" w:name="_Toc5823"/>
      <w:bookmarkStart w:id="450" w:name="_Toc26796"/>
      <w:bookmarkStart w:id="451" w:name="_Toc28303"/>
      <w:bookmarkStart w:id="452" w:name="_Toc183523035"/>
      <w:r>
        <w:rPr>
          <w:rFonts w:hint="eastAsia"/>
          <w:sz w:val="24"/>
          <w:szCs w:val="24"/>
        </w:rPr>
        <w:t>严重不良事件</w:t>
      </w:r>
      <w:r>
        <w:rPr>
          <w:sz w:val="24"/>
          <w:szCs w:val="24"/>
          <w:lang w:val="zh-TW"/>
        </w:rPr>
        <w:t>的监管报告要求</w:t>
      </w:r>
      <w:bookmarkEnd w:id="449"/>
      <w:bookmarkEnd w:id="450"/>
      <w:bookmarkEnd w:id="451"/>
      <w:bookmarkEnd w:id="452"/>
    </w:p>
    <w:p w14:paraId="5125612D">
      <w:pPr>
        <w:pStyle w:val="83"/>
        <w:ind w:firstLine="480" w:firstLineChars="200"/>
        <w:rPr>
          <w:color w:val="auto"/>
          <w:lang w:val="zh-TW"/>
        </w:rPr>
      </w:pPr>
      <w:r>
        <w:rPr>
          <w:color w:val="auto"/>
        </w:rPr>
        <w:t>申办者收到任何来源的安全性相关信息后，均应当立即分析评估，包括严重性、与试验用药品的相关性以及是否为预期事件等。如判定为可疑且非预期严重不良反应，报告应当按照</w:t>
      </w:r>
      <w:r>
        <w:rPr>
          <w:color w:val="auto"/>
          <w:lang w:val="zh-TW"/>
        </w:rPr>
        <w:t>《药物临床试验期间安全性数据快速报告标准和程序》，</w:t>
      </w:r>
      <w:r>
        <w:rPr>
          <w:color w:val="auto"/>
        </w:rPr>
        <w:t>快速递交给研究者、临床试验机构、伦理委员会、药品监督管理部门和卫生健康主管部门。</w:t>
      </w:r>
    </w:p>
    <w:p w14:paraId="220DEB98">
      <w:pPr>
        <w:pStyle w:val="5"/>
        <w:numPr>
          <w:ilvl w:val="2"/>
          <w:numId w:val="31"/>
        </w:numPr>
        <w:spacing w:before="0" w:after="0" w:line="360" w:lineRule="auto"/>
        <w:ind w:left="0" w:firstLine="0"/>
        <w:jc w:val="both"/>
        <w:rPr>
          <w:sz w:val="24"/>
          <w:szCs w:val="24"/>
          <w:lang w:val="zh-TW"/>
        </w:rPr>
      </w:pPr>
      <w:bookmarkStart w:id="453" w:name="_Toc12261"/>
      <w:bookmarkStart w:id="454" w:name="_Toc30825"/>
      <w:bookmarkStart w:id="455" w:name="_Toc183523036"/>
      <w:bookmarkStart w:id="456" w:name="_Toc6370"/>
      <w:r>
        <w:rPr>
          <w:rFonts w:hint="eastAsia"/>
          <w:sz w:val="24"/>
          <w:szCs w:val="24"/>
        </w:rPr>
        <w:t>可疑且</w:t>
      </w:r>
      <w:r>
        <w:rPr>
          <w:sz w:val="24"/>
          <w:szCs w:val="24"/>
          <w:lang w:val="zh-TW"/>
        </w:rPr>
        <w:t>非预期</w:t>
      </w:r>
      <w:r>
        <w:rPr>
          <w:rFonts w:hint="eastAsia"/>
          <w:sz w:val="24"/>
          <w:szCs w:val="24"/>
        </w:rPr>
        <w:t>严重</w:t>
      </w:r>
      <w:r>
        <w:rPr>
          <w:sz w:val="24"/>
          <w:szCs w:val="24"/>
          <w:lang w:val="zh-TW"/>
        </w:rPr>
        <w:t>不良反应报告</w:t>
      </w:r>
      <w:bookmarkEnd w:id="453"/>
      <w:bookmarkEnd w:id="454"/>
      <w:bookmarkEnd w:id="455"/>
      <w:bookmarkEnd w:id="456"/>
    </w:p>
    <w:p w14:paraId="0B13DD72">
      <w:pPr>
        <w:pStyle w:val="83"/>
        <w:ind w:firstLine="480" w:firstLineChars="200"/>
        <w:rPr>
          <w:color w:val="auto"/>
        </w:rPr>
      </w:pPr>
      <w:bookmarkStart w:id="457" w:name="_Toc123737684"/>
      <w:r>
        <w:rPr>
          <w:color w:val="auto"/>
        </w:rPr>
        <w:t>可疑且非预期严重不良反应</w:t>
      </w:r>
      <w:r>
        <w:rPr>
          <w:rFonts w:hint="eastAsia"/>
          <w:color w:val="auto"/>
        </w:rPr>
        <w:t>（</w:t>
      </w:r>
      <w:r>
        <w:rPr>
          <w:color w:val="auto"/>
        </w:rPr>
        <w:t>SUSAR</w:t>
      </w:r>
      <w:r>
        <w:rPr>
          <w:rFonts w:hint="eastAsia"/>
          <w:color w:val="auto"/>
        </w:rPr>
        <w:t>）</w:t>
      </w:r>
      <w:r>
        <w:rPr>
          <w:color w:val="auto"/>
        </w:rPr>
        <w:t>是指临床表现的性质和严重程度超出了试验用药品研究者手册、已上市药品的说明书或者产品特性摘要等已有资料信息的可疑并且非预期的严重不良反应。</w:t>
      </w:r>
    </w:p>
    <w:p w14:paraId="14230CDF">
      <w:pPr>
        <w:pStyle w:val="83"/>
        <w:ind w:firstLine="480" w:firstLineChars="200"/>
        <w:rPr>
          <w:color w:val="auto"/>
        </w:rPr>
      </w:pPr>
      <w:r>
        <w:rPr>
          <w:rFonts w:hint="eastAsia"/>
          <w:color w:val="auto"/>
        </w:rPr>
        <w:t>申办者收到任何来源的安全性相关信息后，均应当立即分析评估。</w:t>
      </w:r>
      <w:r>
        <w:rPr>
          <w:color w:val="auto"/>
        </w:rPr>
        <w:t>申办者如判定为可疑且非预期严重不良反应，应快速递交给研究者、临床试验机构、伦理委员会、药品监督管理部门和卫生健康主管部门。</w:t>
      </w:r>
      <w:r>
        <w:t>申请人和研究者在不良事件与药物因果关系判断中不能达成一致时，其中任一方判断不能排除与</w:t>
      </w:r>
      <w:r>
        <w:rPr>
          <w:rFonts w:hint="eastAsia"/>
        </w:rPr>
        <w:t>试验用药品</w:t>
      </w:r>
      <w:r>
        <w:t>相关的，也应该进行快速报告</w:t>
      </w:r>
      <w:r>
        <w:rPr>
          <w:rFonts w:hint="eastAsia"/>
        </w:rPr>
        <w:t>。</w:t>
      </w:r>
    </w:p>
    <w:bookmarkEnd w:id="457"/>
    <w:p w14:paraId="1FB1922B">
      <w:pPr>
        <w:pStyle w:val="5"/>
        <w:numPr>
          <w:ilvl w:val="2"/>
          <w:numId w:val="31"/>
        </w:numPr>
        <w:spacing w:before="0" w:after="0" w:line="360" w:lineRule="auto"/>
        <w:ind w:left="0" w:firstLine="0"/>
        <w:jc w:val="both"/>
        <w:rPr>
          <w:sz w:val="24"/>
          <w:szCs w:val="24"/>
          <w:lang w:val="zh-TW"/>
        </w:rPr>
      </w:pPr>
      <w:bookmarkStart w:id="458" w:name="_Toc24730"/>
      <w:bookmarkStart w:id="459" w:name="_Toc28150"/>
      <w:bookmarkStart w:id="460" w:name="_Toc183523037"/>
      <w:bookmarkStart w:id="461" w:name="_Toc24309"/>
      <w:r>
        <w:rPr>
          <w:sz w:val="24"/>
          <w:szCs w:val="24"/>
          <w:lang w:val="zh-TW"/>
        </w:rPr>
        <w:t>特别关注的不良事件</w:t>
      </w:r>
      <w:bookmarkEnd w:id="458"/>
      <w:bookmarkEnd w:id="459"/>
      <w:bookmarkEnd w:id="460"/>
      <w:bookmarkEnd w:id="461"/>
    </w:p>
    <w:p w14:paraId="7A413636">
      <w:pPr>
        <w:pStyle w:val="83"/>
        <w:ind w:firstLine="480" w:firstLineChars="200"/>
        <w:rPr>
          <w:color w:val="auto"/>
          <w:lang w:val="zh-TW" w:eastAsia="zh-TW"/>
        </w:rPr>
      </w:pPr>
      <w:r>
        <w:rPr>
          <w:color w:val="auto"/>
          <w:lang w:val="zh-TW" w:eastAsia="zh-TW"/>
        </w:rPr>
        <w:t>本研究暂无AESI。</w:t>
      </w:r>
    </w:p>
    <w:p w14:paraId="32C9B778">
      <w:pPr>
        <w:pStyle w:val="5"/>
        <w:numPr>
          <w:ilvl w:val="2"/>
          <w:numId w:val="31"/>
        </w:numPr>
        <w:spacing w:before="0" w:after="0" w:line="360" w:lineRule="auto"/>
        <w:ind w:left="0" w:firstLine="0"/>
        <w:jc w:val="both"/>
        <w:rPr>
          <w:sz w:val="24"/>
          <w:szCs w:val="24"/>
          <w:lang w:val="zh-TW"/>
        </w:rPr>
      </w:pPr>
      <w:bookmarkStart w:id="462" w:name="_Toc183523038"/>
      <w:bookmarkStart w:id="463" w:name="_Toc26537"/>
      <w:bookmarkStart w:id="464" w:name="_Toc24261"/>
      <w:bookmarkStart w:id="465" w:name="_Toc6522"/>
      <w:r>
        <w:rPr>
          <w:sz w:val="24"/>
          <w:szCs w:val="24"/>
          <w:lang w:val="zh-TW"/>
        </w:rPr>
        <w:t>不符合</w:t>
      </w:r>
      <w:r>
        <w:rPr>
          <w:rFonts w:hint="eastAsia"/>
          <w:sz w:val="24"/>
          <w:szCs w:val="24"/>
        </w:rPr>
        <w:t>不良事件</w:t>
      </w:r>
      <w:r>
        <w:rPr>
          <w:sz w:val="24"/>
          <w:szCs w:val="24"/>
          <w:lang w:val="zh-TW"/>
        </w:rPr>
        <w:t>或</w:t>
      </w:r>
      <w:r>
        <w:rPr>
          <w:rFonts w:hint="eastAsia"/>
          <w:sz w:val="24"/>
          <w:szCs w:val="24"/>
        </w:rPr>
        <w:t>严重不良事件</w:t>
      </w:r>
      <w:r>
        <w:rPr>
          <w:sz w:val="24"/>
          <w:szCs w:val="24"/>
          <w:lang w:val="zh-TW"/>
        </w:rPr>
        <w:t>标准的疾病相关事件或结局</w:t>
      </w:r>
      <w:bookmarkEnd w:id="462"/>
      <w:bookmarkEnd w:id="463"/>
      <w:bookmarkEnd w:id="464"/>
      <w:bookmarkEnd w:id="465"/>
    </w:p>
    <w:p w14:paraId="7F904830">
      <w:pPr>
        <w:pStyle w:val="83"/>
        <w:ind w:firstLine="480" w:firstLineChars="200"/>
        <w:rPr>
          <w:color w:val="auto"/>
        </w:rPr>
      </w:pPr>
      <w:bookmarkStart w:id="466" w:name="_Toc106375108"/>
      <w:r>
        <w:rPr>
          <w:color w:val="auto"/>
        </w:rPr>
        <w:t>AE不包括：</w:t>
      </w:r>
    </w:p>
    <w:p w14:paraId="5D2E5238">
      <w:pPr>
        <w:pStyle w:val="122"/>
        <w:numPr>
          <w:ilvl w:val="0"/>
          <w:numId w:val="33"/>
        </w:numPr>
        <w:spacing w:line="360" w:lineRule="auto"/>
        <w:ind w:firstLineChars="0"/>
        <w:jc w:val="both"/>
      </w:pPr>
      <w:r>
        <w:t>内科或外科操作不应采集为AE术语（例如：手术、内窥镜检查、拔牙、输液），而导致这些操作的疾病应作为AE报告；</w:t>
      </w:r>
    </w:p>
    <w:p w14:paraId="5515270D">
      <w:pPr>
        <w:pStyle w:val="122"/>
        <w:numPr>
          <w:ilvl w:val="0"/>
          <w:numId w:val="33"/>
        </w:numPr>
        <w:spacing w:line="360" w:lineRule="auto"/>
        <w:ind w:firstLineChars="0"/>
        <w:jc w:val="both"/>
      </w:pPr>
      <w:r>
        <w:t>在研究治疗开始前已经存在或被检测出但未出现加重的既存疾病或情况，包括实验室检查的异常结果；</w:t>
      </w:r>
    </w:p>
    <w:p w14:paraId="27880F77">
      <w:pPr>
        <w:pStyle w:val="122"/>
        <w:numPr>
          <w:ilvl w:val="0"/>
          <w:numId w:val="33"/>
        </w:numPr>
        <w:spacing w:line="360" w:lineRule="auto"/>
        <w:ind w:firstLineChars="0"/>
        <w:jc w:val="both"/>
      </w:pPr>
      <w:r>
        <w:t>未发生不利医学事件的情况（例如，因择期的美容手术而住院、因社会原因和/或为方便照顾而入院）；</w:t>
      </w:r>
    </w:p>
    <w:p w14:paraId="29C617BB">
      <w:pPr>
        <w:pStyle w:val="122"/>
        <w:numPr>
          <w:ilvl w:val="0"/>
          <w:numId w:val="33"/>
        </w:numPr>
        <w:spacing w:line="360" w:lineRule="auto"/>
        <w:ind w:firstLineChars="0"/>
        <w:jc w:val="both"/>
      </w:pPr>
      <w:r>
        <w:t>临床实验室检查异常和其它异常：不应将疾病诊断伴随的有临床意义的异常、实验室发现或其他异常评估（除非研究者判定患者比预期情况更加严重）或在试验用药品给药之前存在或检查到的，且在试验用药品给药后未加重的异常报告为AE。</w:t>
      </w:r>
    </w:p>
    <w:p w14:paraId="2F89300F">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467" w:name="_Toc28669"/>
      <w:bookmarkStart w:id="468" w:name="_Toc183523039"/>
      <w:bookmarkStart w:id="469" w:name="_Toc7692"/>
      <w:bookmarkStart w:id="470" w:name="_Toc6307"/>
      <w:r>
        <w:rPr>
          <w:rFonts w:ascii="Times New Roman" w:hAnsi="Times New Roman" w:eastAsia="宋体"/>
          <w:sz w:val="24"/>
          <w:szCs w:val="24"/>
          <w:lang w:val="zh-TW" w:eastAsia="zh-TW"/>
        </w:rPr>
        <w:t>妊娠和产后信息</w:t>
      </w:r>
      <w:bookmarkEnd w:id="466"/>
      <w:bookmarkEnd w:id="467"/>
      <w:bookmarkEnd w:id="468"/>
      <w:bookmarkEnd w:id="469"/>
      <w:bookmarkEnd w:id="470"/>
    </w:p>
    <w:p w14:paraId="3D058218">
      <w:pPr>
        <w:pStyle w:val="5"/>
        <w:numPr>
          <w:ilvl w:val="2"/>
          <w:numId w:val="34"/>
        </w:numPr>
        <w:spacing w:before="0" w:after="0" w:line="360" w:lineRule="auto"/>
        <w:ind w:left="0" w:firstLine="0"/>
        <w:jc w:val="both"/>
        <w:rPr>
          <w:sz w:val="24"/>
          <w:szCs w:val="24"/>
          <w:lang w:val="zh-TW"/>
        </w:rPr>
      </w:pPr>
      <w:bookmarkStart w:id="471" w:name="_Toc14560"/>
      <w:bookmarkStart w:id="472" w:name="_Toc20085"/>
      <w:bookmarkStart w:id="473" w:name="_Toc183523040"/>
      <w:bookmarkStart w:id="474" w:name="_Toc28888"/>
      <w:r>
        <w:rPr>
          <w:sz w:val="24"/>
          <w:szCs w:val="24"/>
          <w:lang w:val="zh-TW"/>
        </w:rPr>
        <w:t>试验期间妊娠的参与者</w:t>
      </w:r>
      <w:bookmarkEnd w:id="471"/>
      <w:bookmarkEnd w:id="472"/>
      <w:bookmarkEnd w:id="473"/>
      <w:bookmarkEnd w:id="474"/>
    </w:p>
    <w:p w14:paraId="175CB9F9">
      <w:pPr>
        <w:pStyle w:val="83"/>
        <w:ind w:firstLine="480" w:firstLineChars="200"/>
        <w:rPr>
          <w:color w:val="auto"/>
          <w:lang w:val="zh-TW"/>
        </w:rPr>
      </w:pPr>
      <w:r>
        <w:rPr>
          <w:color w:val="auto"/>
          <w:lang w:val="zh-TW"/>
        </w:rPr>
        <w:t>本试验纳入的受试者为男性受试者。</w:t>
      </w:r>
    </w:p>
    <w:p w14:paraId="5B574478">
      <w:pPr>
        <w:pStyle w:val="5"/>
        <w:numPr>
          <w:ilvl w:val="2"/>
          <w:numId w:val="34"/>
        </w:numPr>
        <w:spacing w:before="0" w:after="0" w:line="360" w:lineRule="auto"/>
        <w:ind w:left="0" w:firstLine="0"/>
        <w:jc w:val="both"/>
        <w:rPr>
          <w:sz w:val="24"/>
          <w:szCs w:val="24"/>
          <w:lang w:val="zh-TW"/>
        </w:rPr>
      </w:pPr>
      <w:bookmarkStart w:id="475" w:name="_Toc3160"/>
      <w:bookmarkStart w:id="476" w:name="_Toc183523041"/>
      <w:bookmarkStart w:id="477" w:name="_Toc5821"/>
      <w:bookmarkStart w:id="478" w:name="_Toc19305"/>
      <w:r>
        <w:rPr>
          <w:sz w:val="24"/>
          <w:szCs w:val="24"/>
          <w:lang w:val="zh-TW"/>
        </w:rPr>
        <w:t>伴侣妊娠的参与者</w:t>
      </w:r>
      <w:bookmarkEnd w:id="475"/>
      <w:bookmarkEnd w:id="476"/>
      <w:bookmarkEnd w:id="477"/>
      <w:bookmarkEnd w:id="478"/>
    </w:p>
    <w:p w14:paraId="3DEAA695">
      <w:pPr>
        <w:pStyle w:val="83"/>
        <w:ind w:firstLine="480" w:firstLineChars="200"/>
        <w:rPr>
          <w:color w:val="auto"/>
          <w:lang w:val="zh-TW"/>
        </w:rPr>
      </w:pPr>
      <w:r>
        <w:rPr>
          <w:color w:val="auto"/>
          <w:lang w:val="zh-TW"/>
        </w:rPr>
        <w:t>任何参加试验的受试者的伴侣，如果在受试者接受试验用药品开始至给药后3个月内怀孕或被发现怀孕，研究者必须</w:t>
      </w:r>
      <w:r>
        <w:rPr>
          <w:rFonts w:hint="eastAsia"/>
          <w:color w:val="auto"/>
        </w:rPr>
        <w:t>在获知的</w:t>
      </w:r>
      <w:r>
        <w:rPr>
          <w:color w:val="auto"/>
        </w:rPr>
        <w:t>24 h</w:t>
      </w:r>
      <w:r>
        <w:rPr>
          <w:rFonts w:hint="eastAsia"/>
          <w:color w:val="auto"/>
        </w:rPr>
        <w:t>内</w:t>
      </w:r>
      <w:r>
        <w:rPr>
          <w:color w:val="auto"/>
          <w:lang w:val="zh-TW"/>
        </w:rPr>
        <w:t>将此信息填入妊娠事件表并提交给申办者。</w:t>
      </w:r>
    </w:p>
    <w:p w14:paraId="6E0566B0">
      <w:pPr>
        <w:pStyle w:val="83"/>
        <w:ind w:firstLine="480" w:firstLineChars="200"/>
        <w:rPr>
          <w:color w:val="auto"/>
          <w:lang w:val="zh-TW"/>
        </w:rPr>
      </w:pPr>
      <w:r>
        <w:rPr>
          <w:color w:val="auto"/>
          <w:lang w:val="zh-TW"/>
        </w:rPr>
        <w:t>如果妊娠的结果符合严重不良事件的标准，如自然流产（包括难免流产和稽留流产）、死产、新生儿死亡或先天性畸形（包括流产胎儿、死产或新生儿死亡），研究者应按严重不良事件的报告程序进行报告。</w:t>
      </w:r>
    </w:p>
    <w:p w14:paraId="60414F7E">
      <w:pPr>
        <w:pStyle w:val="83"/>
        <w:ind w:firstLine="480" w:firstLineChars="200"/>
        <w:rPr>
          <w:color w:val="auto"/>
          <w:lang w:val="zh-TW"/>
        </w:rPr>
      </w:pPr>
      <w:r>
        <w:rPr>
          <w:color w:val="auto"/>
          <w:lang w:val="zh-TW"/>
        </w:rPr>
        <w:t>所有在出生一个月内发生的新生儿死亡，不管死因如何，都应作为严重不良事件报告。另外，对于任何出生一个月后的婴儿死亡，只要研究者认为该死亡可能与试验用药品有关，也应报告。</w:t>
      </w:r>
    </w:p>
    <w:p w14:paraId="449381CB">
      <w:pPr>
        <w:pStyle w:val="4"/>
        <w:numPr>
          <w:ilvl w:val="1"/>
          <w:numId w:val="5"/>
        </w:numPr>
        <w:spacing w:before="0" w:after="0" w:line="360" w:lineRule="auto"/>
        <w:ind w:left="0" w:firstLine="0"/>
        <w:rPr>
          <w:rFonts w:ascii="Times New Roman" w:hAnsi="Times New Roman" w:eastAsia="宋体"/>
          <w:sz w:val="24"/>
          <w:szCs w:val="24"/>
          <w:lang w:val="zh-TW"/>
        </w:rPr>
      </w:pPr>
      <w:bookmarkStart w:id="479" w:name="_Toc6582"/>
      <w:bookmarkStart w:id="480" w:name="_Toc183523042"/>
      <w:bookmarkStart w:id="481" w:name="_Toc12327"/>
      <w:bookmarkStart w:id="482" w:name="_Toc19525"/>
      <w:r>
        <w:rPr>
          <w:rFonts w:ascii="Times New Roman" w:hAnsi="Times New Roman" w:eastAsia="宋体"/>
          <w:sz w:val="24"/>
          <w:szCs w:val="24"/>
          <w:lang w:val="zh-TW" w:eastAsia="zh-TW"/>
        </w:rPr>
        <w:t>诊断效能</w:t>
      </w:r>
      <w:r>
        <w:rPr>
          <w:rFonts w:ascii="Times New Roman" w:hAnsi="Times New Roman" w:eastAsia="宋体"/>
          <w:sz w:val="24"/>
          <w:szCs w:val="24"/>
        </w:rPr>
        <w:t>评价指标</w:t>
      </w:r>
      <w:bookmarkEnd w:id="479"/>
      <w:bookmarkEnd w:id="480"/>
      <w:bookmarkEnd w:id="481"/>
      <w:bookmarkEnd w:id="482"/>
    </w:p>
    <w:p w14:paraId="69E72D99">
      <w:pPr>
        <w:pStyle w:val="165"/>
        <w:ind w:firstLine="420" w:firstLineChars="175"/>
        <w:rPr>
          <w:rFonts w:cs="Times New Roman"/>
          <w:lang w:eastAsia="zh-TW"/>
        </w:rPr>
      </w:pPr>
      <w:r>
        <w:rPr>
          <w:rFonts w:cs="Times New Roman"/>
          <w:lang w:eastAsia="zh-TW"/>
        </w:rPr>
        <w:t>阳性预测值（Positive predictive value，PPV），指INR101注射液PET/CT影像诊断结果判定为阳性者中，真实性标准确定为阳性</w:t>
      </w:r>
      <w:r>
        <w:rPr>
          <w:rFonts w:hint="eastAsia" w:cs="Times New Roman"/>
          <w:lang w:eastAsia="zh-TW"/>
        </w:rPr>
        <w:t>受试</w:t>
      </w:r>
      <w:r>
        <w:rPr>
          <w:rFonts w:cs="Times New Roman"/>
          <w:lang w:eastAsia="zh-TW"/>
        </w:rPr>
        <w:t>者所占的比例。</w:t>
      </w:r>
    </w:p>
    <w:p w14:paraId="64CD3327">
      <w:pPr>
        <w:pStyle w:val="165"/>
        <w:ind w:firstLine="420" w:firstLineChars="175"/>
        <w:rPr>
          <w:rFonts w:cs="Times New Roman"/>
        </w:rPr>
      </w:pPr>
      <w:r>
        <w:rPr>
          <w:rFonts w:cs="Times New Roman"/>
        </w:rPr>
        <w:t>正确检出率（Correct Detection Rate，CDR），指所有接受INR101注射液PET/CT检查受试者中，通过SoT标准验证的至少存在一个PET真阳性病灶受试者</w:t>
      </w:r>
      <w:r>
        <w:rPr>
          <w:rFonts w:hint="eastAsia" w:cs="Times New Roman"/>
        </w:rPr>
        <w:t>所占</w:t>
      </w:r>
      <w:r>
        <w:rPr>
          <w:rFonts w:cs="Times New Roman"/>
        </w:rPr>
        <w:t>的比例。</w:t>
      </w:r>
    </w:p>
    <w:p w14:paraId="2F304093">
      <w:pPr>
        <w:pStyle w:val="165"/>
        <w:ind w:firstLine="420" w:firstLineChars="175"/>
        <w:rPr>
          <w:rFonts w:cs="Times New Roman"/>
        </w:rPr>
      </w:pPr>
      <w:r>
        <w:rPr>
          <w:rFonts w:cs="Times New Roman"/>
        </w:rPr>
        <w:t>正确定位率（Correct Localization Rate，CLR），指INR101注射液PET/CT影像诊断结果判定为阳性者中，通过SoT标准验证的至少存在一个PET 真阳性病灶受试者</w:t>
      </w:r>
      <w:r>
        <w:rPr>
          <w:rFonts w:hint="eastAsia" w:cs="Times New Roman"/>
        </w:rPr>
        <w:t>所占</w:t>
      </w:r>
      <w:r>
        <w:rPr>
          <w:rFonts w:cs="Times New Roman"/>
        </w:rPr>
        <w:t>的比例。</w:t>
      </w:r>
    </w:p>
    <w:p w14:paraId="692A2656">
      <w:pPr>
        <w:pStyle w:val="165"/>
        <w:ind w:firstLine="420" w:firstLineChars="175"/>
        <w:rPr>
          <w:rFonts w:cs="Times New Roman"/>
        </w:rPr>
      </w:pPr>
      <w:r>
        <w:rPr>
          <w:rFonts w:cs="Times New Roman"/>
        </w:rPr>
        <w:t>检出率（Detection Rate，DR），指所有接受INR101注射液PET/CT检查受试者中，PET/CT影像诊断结果为阳性的受试者</w:t>
      </w:r>
      <w:r>
        <w:rPr>
          <w:rFonts w:hint="eastAsia" w:cs="Times New Roman"/>
        </w:rPr>
        <w:t>所占</w:t>
      </w:r>
      <w:r>
        <w:rPr>
          <w:rFonts w:cs="Times New Roman"/>
        </w:rPr>
        <w:t>的比例。</w:t>
      </w:r>
    </w:p>
    <w:p w14:paraId="110D9068">
      <w:pPr>
        <w:pStyle w:val="165"/>
        <w:ind w:firstLine="420" w:firstLineChars="175"/>
        <w:rPr>
          <w:rFonts w:cs="Times New Roman"/>
        </w:rPr>
      </w:pPr>
      <w:r>
        <w:rPr>
          <w:rFonts w:cs="Times New Roman"/>
        </w:rPr>
        <w:t>阅片人</w:t>
      </w:r>
      <w:r>
        <w:rPr>
          <w:rFonts w:hint="eastAsia" w:cs="Times New Roman"/>
        </w:rPr>
        <w:t>组</w:t>
      </w:r>
      <w:r>
        <w:rPr>
          <w:rFonts w:cs="Times New Roman"/>
        </w:rPr>
        <w:t xml:space="preserve">间一致性：评价不同阅片人盲态判读相同影像的一致性。 </w:t>
      </w:r>
    </w:p>
    <w:p w14:paraId="50698D1E">
      <w:pPr>
        <w:pStyle w:val="165"/>
        <w:ind w:firstLine="420" w:firstLineChars="0"/>
        <w:rPr>
          <w:rFonts w:cs="Times New Roman"/>
        </w:rPr>
      </w:pPr>
      <w:r>
        <w:rPr>
          <w:rFonts w:cs="Times New Roman"/>
        </w:rPr>
        <w:t>阅片人</w:t>
      </w:r>
      <w:r>
        <w:rPr>
          <w:rFonts w:hint="eastAsia" w:cs="Times New Roman"/>
        </w:rPr>
        <w:t>组</w:t>
      </w:r>
      <w:r>
        <w:rPr>
          <w:rFonts w:cs="Times New Roman"/>
        </w:rPr>
        <w:t>内一致性：在入组完成后至少 4 周，随机选取</w:t>
      </w:r>
      <w:r>
        <w:rPr>
          <w:rFonts w:hint="eastAsia" w:cs="Times New Roman"/>
        </w:rPr>
        <w:t>20%</w:t>
      </w:r>
      <w:r>
        <w:rPr>
          <w:rFonts w:cs="Times New Roman"/>
        </w:rPr>
        <w:t>受试者的PET/CT 检查图像，将图像重新提交给同一个阅片人进行第二次盲态阅片，评价同一个阅片人不同时间两次盲态阅片结果的一致性。</w:t>
      </w:r>
    </w:p>
    <w:p w14:paraId="7C579F99">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483" w:name="_Toc62032314"/>
      <w:bookmarkEnd w:id="483"/>
      <w:bookmarkStart w:id="484" w:name="_Toc61962281"/>
      <w:bookmarkEnd w:id="484"/>
      <w:bookmarkStart w:id="485" w:name="_Toc62032190"/>
      <w:bookmarkEnd w:id="485"/>
      <w:bookmarkStart w:id="486" w:name="_Toc10993"/>
      <w:bookmarkStart w:id="487" w:name="_Toc183523043"/>
      <w:bookmarkStart w:id="488" w:name="_Toc29248"/>
      <w:bookmarkStart w:id="489" w:name="_Toc14984"/>
      <w:r>
        <w:rPr>
          <w:rFonts w:ascii="Times New Roman" w:hAnsi="Times New Roman" w:eastAsia="宋体"/>
          <w:sz w:val="24"/>
          <w:szCs w:val="24"/>
          <w:lang w:val="zh-TW" w:eastAsia="zh-TW"/>
        </w:rPr>
        <w:t>遗传学</w:t>
      </w:r>
      <w:bookmarkEnd w:id="486"/>
      <w:bookmarkEnd w:id="487"/>
      <w:bookmarkEnd w:id="488"/>
      <w:bookmarkEnd w:id="489"/>
    </w:p>
    <w:p w14:paraId="48929968">
      <w:pPr>
        <w:spacing w:line="360" w:lineRule="auto"/>
        <w:ind w:firstLine="420"/>
        <w:rPr>
          <w:lang w:val="zh-TW" w:eastAsia="zh-TW"/>
        </w:rPr>
      </w:pPr>
      <w:r>
        <w:rPr>
          <w:lang w:val="zh-TW" w:eastAsia="zh-TW"/>
        </w:rPr>
        <w:t>不适用。</w:t>
      </w:r>
    </w:p>
    <w:p w14:paraId="3B14091E">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490" w:name="_Toc183523044"/>
      <w:bookmarkStart w:id="491" w:name="_Toc20290"/>
      <w:bookmarkStart w:id="492" w:name="_Toc2886"/>
      <w:bookmarkStart w:id="493" w:name="_Toc17906"/>
      <w:r>
        <w:rPr>
          <w:rFonts w:ascii="Times New Roman" w:hAnsi="Times New Roman" w:eastAsia="宋体"/>
          <w:sz w:val="24"/>
          <w:szCs w:val="24"/>
          <w:lang w:val="zh-TW" w:eastAsia="zh-TW"/>
        </w:rPr>
        <w:t>生物标志物</w:t>
      </w:r>
      <w:bookmarkEnd w:id="490"/>
      <w:bookmarkEnd w:id="491"/>
      <w:bookmarkEnd w:id="492"/>
      <w:bookmarkEnd w:id="493"/>
    </w:p>
    <w:p w14:paraId="0AAE91AD">
      <w:pPr>
        <w:spacing w:line="360" w:lineRule="auto"/>
        <w:ind w:firstLine="420"/>
        <w:jc w:val="both"/>
      </w:pPr>
      <w:r>
        <w:t>不适用。</w:t>
      </w:r>
    </w:p>
    <w:p w14:paraId="66176227">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494" w:name="_Toc136866866"/>
      <w:bookmarkEnd w:id="494"/>
      <w:bookmarkStart w:id="495" w:name="_Toc11817"/>
      <w:bookmarkStart w:id="496" w:name="_Toc28120"/>
      <w:bookmarkStart w:id="497" w:name="_Toc183523045"/>
      <w:bookmarkStart w:id="498" w:name="_Toc7277"/>
      <w:r>
        <w:rPr>
          <w:rFonts w:ascii="Times New Roman" w:hAnsi="Times New Roman" w:eastAsia="宋体"/>
          <w:sz w:val="24"/>
          <w:szCs w:val="24"/>
          <w:lang w:val="zh-TW" w:eastAsia="zh-TW"/>
        </w:rPr>
        <w:t>免疫原性评估</w:t>
      </w:r>
      <w:bookmarkEnd w:id="495"/>
      <w:bookmarkEnd w:id="496"/>
      <w:bookmarkEnd w:id="497"/>
      <w:bookmarkEnd w:id="498"/>
    </w:p>
    <w:p w14:paraId="2A1D56E0">
      <w:pPr>
        <w:spacing w:line="360" w:lineRule="auto"/>
        <w:ind w:firstLine="420"/>
        <w:rPr>
          <w:lang w:val="zh-TW" w:eastAsia="zh-TW"/>
        </w:rPr>
      </w:pPr>
      <w:r>
        <w:rPr>
          <w:lang w:val="zh-TW" w:eastAsia="zh-TW"/>
        </w:rPr>
        <w:t>不适用。</w:t>
      </w:r>
    </w:p>
    <w:p w14:paraId="429A87A5">
      <w:pPr>
        <w:pStyle w:val="4"/>
        <w:numPr>
          <w:ilvl w:val="1"/>
          <w:numId w:val="5"/>
        </w:numPr>
        <w:spacing w:before="0" w:after="0" w:line="360" w:lineRule="auto"/>
        <w:ind w:left="0" w:firstLine="0"/>
        <w:rPr>
          <w:rFonts w:ascii="Times New Roman" w:hAnsi="Times New Roman" w:eastAsia="宋体"/>
          <w:sz w:val="24"/>
          <w:szCs w:val="24"/>
          <w:lang w:val="zh-TW"/>
        </w:rPr>
      </w:pPr>
      <w:bookmarkStart w:id="499" w:name="_Toc7273"/>
      <w:bookmarkStart w:id="500" w:name="_Toc3847"/>
      <w:bookmarkStart w:id="501" w:name="_Toc183523046"/>
      <w:bookmarkStart w:id="502" w:name="_Toc24081"/>
      <w:r>
        <w:rPr>
          <w:rFonts w:ascii="Times New Roman" w:hAnsi="Times New Roman" w:eastAsia="宋体"/>
          <w:sz w:val="24"/>
          <w:szCs w:val="24"/>
          <w:lang w:val="zh-TW"/>
        </w:rPr>
        <w:t>医疗资料利用和健康经济学</w:t>
      </w:r>
      <w:bookmarkEnd w:id="499"/>
      <w:bookmarkEnd w:id="500"/>
      <w:bookmarkEnd w:id="501"/>
      <w:bookmarkEnd w:id="502"/>
    </w:p>
    <w:p w14:paraId="3D52AE97">
      <w:pPr>
        <w:spacing w:line="360" w:lineRule="auto"/>
        <w:ind w:firstLine="420"/>
        <w:rPr>
          <w:lang w:val="zh-TW" w:eastAsia="zh-TW"/>
        </w:rPr>
      </w:pPr>
      <w:r>
        <w:rPr>
          <w:lang w:val="zh-TW" w:eastAsia="zh-TW"/>
        </w:rPr>
        <w:t>不适用。</w:t>
      </w:r>
    </w:p>
    <w:bookmarkEnd w:id="380"/>
    <w:bookmarkEnd w:id="381"/>
    <w:p w14:paraId="2800B50B">
      <w:pPr>
        <w:pStyle w:val="2"/>
        <w:numPr>
          <w:ilvl w:val="0"/>
          <w:numId w:val="5"/>
        </w:numPr>
        <w:ind w:left="0" w:firstLine="0"/>
        <w:rPr>
          <w:rFonts w:ascii="Times New Roman" w:hAnsi="Times New Roman"/>
          <w:color w:val="auto"/>
          <w:szCs w:val="24"/>
        </w:rPr>
      </w:pPr>
      <w:bookmarkStart w:id="503" w:name="_Toc60667185"/>
      <w:bookmarkEnd w:id="503"/>
      <w:bookmarkStart w:id="504" w:name="_Toc65831949"/>
      <w:bookmarkEnd w:id="504"/>
      <w:bookmarkStart w:id="505" w:name="_Toc65833743"/>
      <w:bookmarkEnd w:id="505"/>
      <w:bookmarkStart w:id="506" w:name="_Toc65833740"/>
      <w:bookmarkEnd w:id="506"/>
      <w:bookmarkStart w:id="507" w:name="_Toc65831811"/>
      <w:bookmarkEnd w:id="507"/>
      <w:bookmarkStart w:id="508" w:name="_Toc65833726"/>
      <w:bookmarkEnd w:id="508"/>
      <w:bookmarkStart w:id="509" w:name="_Toc65833718"/>
      <w:bookmarkEnd w:id="509"/>
      <w:bookmarkStart w:id="510" w:name="_Toc65833865"/>
      <w:bookmarkEnd w:id="510"/>
      <w:bookmarkStart w:id="511" w:name="_Toc65831967"/>
      <w:bookmarkEnd w:id="511"/>
      <w:bookmarkStart w:id="512" w:name="_Toc65831952"/>
      <w:bookmarkEnd w:id="512"/>
      <w:bookmarkStart w:id="513" w:name="_Toc497398095"/>
      <w:bookmarkEnd w:id="513"/>
      <w:bookmarkStart w:id="514" w:name="_Toc65831808"/>
      <w:bookmarkEnd w:id="514"/>
      <w:bookmarkStart w:id="515" w:name="_Toc60667200"/>
      <w:bookmarkEnd w:id="515"/>
      <w:bookmarkStart w:id="516" w:name="_Toc65831809"/>
      <w:bookmarkEnd w:id="516"/>
      <w:bookmarkStart w:id="517" w:name="_Toc60667184"/>
      <w:bookmarkEnd w:id="517"/>
      <w:bookmarkStart w:id="518" w:name="_Toc65831816"/>
      <w:bookmarkEnd w:id="518"/>
      <w:bookmarkStart w:id="519" w:name="_Toc65831964"/>
      <w:bookmarkEnd w:id="519"/>
      <w:bookmarkStart w:id="520" w:name="_Toc65833730"/>
      <w:bookmarkEnd w:id="520"/>
      <w:bookmarkStart w:id="521" w:name="_Toc65833864"/>
      <w:bookmarkEnd w:id="521"/>
      <w:bookmarkStart w:id="522" w:name="_Toc65833715"/>
      <w:bookmarkEnd w:id="522"/>
      <w:bookmarkStart w:id="523" w:name="_Toc65833724"/>
      <w:bookmarkEnd w:id="523"/>
      <w:bookmarkStart w:id="524" w:name="_Toc65833723"/>
      <w:bookmarkEnd w:id="524"/>
      <w:bookmarkStart w:id="525" w:name="_Toc60671855"/>
      <w:bookmarkEnd w:id="525"/>
      <w:bookmarkStart w:id="526" w:name="_Toc60671840"/>
      <w:bookmarkEnd w:id="526"/>
      <w:bookmarkStart w:id="527" w:name="_Toc65833720"/>
      <w:bookmarkEnd w:id="527"/>
      <w:bookmarkStart w:id="528" w:name="_Toc65831802"/>
      <w:bookmarkEnd w:id="528"/>
      <w:bookmarkStart w:id="529" w:name="_Toc65831830"/>
      <w:bookmarkEnd w:id="529"/>
      <w:bookmarkStart w:id="530" w:name="_Toc65831812"/>
      <w:bookmarkEnd w:id="530"/>
      <w:bookmarkStart w:id="531" w:name="_Toc65833741"/>
      <w:bookmarkEnd w:id="531"/>
      <w:bookmarkStart w:id="532" w:name="_Toc65831826"/>
      <w:bookmarkEnd w:id="532"/>
      <w:bookmarkStart w:id="533" w:name="_Toc60667215"/>
      <w:bookmarkEnd w:id="533"/>
      <w:bookmarkStart w:id="534" w:name="_Toc65831815"/>
      <w:bookmarkEnd w:id="534"/>
      <w:bookmarkStart w:id="535" w:name="_Toc65833725"/>
      <w:bookmarkEnd w:id="535"/>
      <w:bookmarkStart w:id="536" w:name="_Toc497398096"/>
      <w:bookmarkEnd w:id="536"/>
      <w:bookmarkStart w:id="537" w:name="_Toc65833862"/>
      <w:bookmarkEnd w:id="537"/>
      <w:bookmarkStart w:id="538" w:name="_Toc65833729"/>
      <w:bookmarkEnd w:id="538"/>
      <w:bookmarkStart w:id="539" w:name="_Toc65831950"/>
      <w:bookmarkEnd w:id="539"/>
      <w:bookmarkStart w:id="540" w:name="_Toc65833727"/>
      <w:bookmarkEnd w:id="540"/>
      <w:bookmarkStart w:id="541" w:name="_Toc65831821"/>
      <w:bookmarkEnd w:id="541"/>
      <w:bookmarkStart w:id="542" w:name="_Toc60671869"/>
      <w:bookmarkEnd w:id="542"/>
      <w:bookmarkStart w:id="543" w:name="_Toc65833716"/>
      <w:bookmarkEnd w:id="543"/>
      <w:bookmarkStart w:id="544" w:name="_Toc65831968"/>
      <w:bookmarkEnd w:id="544"/>
      <w:bookmarkStart w:id="545" w:name="_Toc65831814"/>
      <w:bookmarkEnd w:id="545"/>
      <w:bookmarkStart w:id="546" w:name="_Toc65831817"/>
      <w:bookmarkEnd w:id="546"/>
      <w:bookmarkStart w:id="547" w:name="_Toc65833717"/>
      <w:bookmarkEnd w:id="547"/>
      <w:bookmarkStart w:id="548" w:name="_Toc65833732"/>
      <w:bookmarkEnd w:id="548"/>
      <w:bookmarkStart w:id="549" w:name="_Toc65833877"/>
      <w:bookmarkEnd w:id="549"/>
      <w:bookmarkStart w:id="550" w:name="_Toc65831806"/>
      <w:bookmarkEnd w:id="550"/>
      <w:bookmarkStart w:id="551" w:name="_Toc65833742"/>
      <w:bookmarkEnd w:id="551"/>
      <w:bookmarkStart w:id="552" w:name="_Toc65833866"/>
      <w:bookmarkEnd w:id="552"/>
      <w:bookmarkStart w:id="553" w:name="_Toc65831825"/>
      <w:bookmarkEnd w:id="553"/>
      <w:bookmarkStart w:id="554" w:name="_Toc65831807"/>
      <w:bookmarkEnd w:id="554"/>
      <w:bookmarkStart w:id="555" w:name="_Toc65833733"/>
      <w:bookmarkEnd w:id="555"/>
      <w:bookmarkStart w:id="556" w:name="_Toc65831810"/>
      <w:bookmarkEnd w:id="556"/>
      <w:bookmarkStart w:id="557" w:name="_Toc65831966"/>
      <w:bookmarkEnd w:id="557"/>
      <w:bookmarkStart w:id="558" w:name="_Toc60671838"/>
      <w:bookmarkEnd w:id="558"/>
      <w:bookmarkStart w:id="559" w:name="_Toc65833739"/>
      <w:bookmarkEnd w:id="559"/>
      <w:bookmarkStart w:id="560" w:name="_Toc65831827"/>
      <w:bookmarkEnd w:id="560"/>
      <w:bookmarkStart w:id="561" w:name="_Toc60671839"/>
      <w:bookmarkEnd w:id="561"/>
      <w:bookmarkStart w:id="562" w:name="_Toc65831805"/>
      <w:bookmarkEnd w:id="562"/>
      <w:bookmarkStart w:id="563" w:name="_Toc60671836"/>
      <w:bookmarkEnd w:id="563"/>
      <w:bookmarkStart w:id="564" w:name="_Toc65833728"/>
      <w:bookmarkEnd w:id="564"/>
      <w:bookmarkStart w:id="565" w:name="_Toc65831819"/>
      <w:bookmarkEnd w:id="565"/>
      <w:bookmarkStart w:id="566" w:name="_Toc60667201"/>
      <w:bookmarkEnd w:id="566"/>
      <w:bookmarkStart w:id="567" w:name="_Toc65833738"/>
      <w:bookmarkEnd w:id="567"/>
      <w:bookmarkStart w:id="568" w:name="_Toc65831818"/>
      <w:bookmarkEnd w:id="568"/>
      <w:bookmarkStart w:id="569" w:name="_Toc65831823"/>
      <w:bookmarkEnd w:id="569"/>
      <w:bookmarkStart w:id="570" w:name="_Toc65833863"/>
      <w:bookmarkEnd w:id="570"/>
      <w:bookmarkStart w:id="571" w:name="_Toc65831951"/>
      <w:bookmarkEnd w:id="571"/>
      <w:bookmarkStart w:id="572" w:name="_Toc65831963"/>
      <w:bookmarkEnd w:id="572"/>
      <w:bookmarkStart w:id="573" w:name="_Toc65833719"/>
      <w:bookmarkEnd w:id="573"/>
      <w:bookmarkStart w:id="574" w:name="_Toc65833737"/>
      <w:bookmarkEnd w:id="574"/>
      <w:bookmarkStart w:id="575" w:name="_Toc65833734"/>
      <w:bookmarkEnd w:id="575"/>
      <w:bookmarkStart w:id="576" w:name="_Toc65833721"/>
      <w:bookmarkEnd w:id="576"/>
      <w:bookmarkStart w:id="577" w:name="_Toc60667186"/>
      <w:bookmarkEnd w:id="577"/>
      <w:bookmarkStart w:id="578" w:name="_Toc65831813"/>
      <w:bookmarkEnd w:id="578"/>
      <w:bookmarkStart w:id="579" w:name="_Toc60667182"/>
      <w:bookmarkEnd w:id="579"/>
      <w:bookmarkStart w:id="580" w:name="_Toc65833876"/>
      <w:bookmarkEnd w:id="580"/>
      <w:bookmarkStart w:id="581" w:name="_Toc65833878"/>
      <w:bookmarkEnd w:id="581"/>
      <w:bookmarkStart w:id="582" w:name="_Toc65831828"/>
      <w:bookmarkEnd w:id="582"/>
      <w:bookmarkStart w:id="583" w:name="_Toc65831829"/>
      <w:bookmarkEnd w:id="583"/>
      <w:bookmarkStart w:id="584" w:name="_Toc65831803"/>
      <w:bookmarkEnd w:id="584"/>
      <w:bookmarkStart w:id="585" w:name="_Toc65831969"/>
      <w:bookmarkEnd w:id="585"/>
      <w:bookmarkStart w:id="586" w:name="_Toc65833880"/>
      <w:bookmarkEnd w:id="586"/>
      <w:bookmarkStart w:id="587" w:name="_Toc65831953"/>
      <w:bookmarkEnd w:id="587"/>
      <w:bookmarkStart w:id="588" w:name="_Toc65833731"/>
      <w:bookmarkEnd w:id="588"/>
      <w:bookmarkStart w:id="589" w:name="_Toc60667183"/>
      <w:bookmarkEnd w:id="589"/>
      <w:bookmarkStart w:id="590" w:name="_Toc60671835"/>
      <w:bookmarkEnd w:id="590"/>
      <w:bookmarkStart w:id="591" w:name="_Toc65831820"/>
      <w:bookmarkEnd w:id="591"/>
      <w:bookmarkStart w:id="592" w:name="_Toc65831822"/>
      <w:bookmarkEnd w:id="592"/>
      <w:bookmarkStart w:id="593" w:name="_Toc60667181"/>
      <w:bookmarkEnd w:id="593"/>
      <w:bookmarkStart w:id="594" w:name="_Toc65833722"/>
      <w:bookmarkEnd w:id="594"/>
      <w:bookmarkStart w:id="595" w:name="_Toc65831804"/>
      <w:bookmarkEnd w:id="595"/>
      <w:bookmarkStart w:id="596" w:name="_Toc65833881"/>
      <w:bookmarkEnd w:id="596"/>
      <w:bookmarkStart w:id="597" w:name="_Toc65831965"/>
      <w:bookmarkEnd w:id="597"/>
      <w:bookmarkStart w:id="598" w:name="_Toc65833735"/>
      <w:bookmarkEnd w:id="598"/>
      <w:bookmarkStart w:id="599" w:name="_Toc60671854"/>
      <w:bookmarkEnd w:id="599"/>
      <w:bookmarkStart w:id="600" w:name="_Toc65831824"/>
      <w:bookmarkEnd w:id="600"/>
      <w:bookmarkStart w:id="601" w:name="_Toc65833882"/>
      <w:bookmarkEnd w:id="601"/>
      <w:bookmarkStart w:id="602" w:name="_Toc60671837"/>
      <w:bookmarkEnd w:id="602"/>
      <w:bookmarkStart w:id="603" w:name="_Toc65833736"/>
      <w:bookmarkEnd w:id="603"/>
      <w:bookmarkStart w:id="604" w:name="_Toc65833879"/>
      <w:bookmarkEnd w:id="604"/>
      <w:bookmarkStart w:id="605" w:name="_Toc106375109"/>
      <w:bookmarkStart w:id="606" w:name="_Toc31783"/>
      <w:bookmarkStart w:id="607" w:name="_Toc183523047"/>
      <w:bookmarkStart w:id="608" w:name="_Toc12384"/>
      <w:bookmarkStart w:id="609" w:name="_Toc4173"/>
      <w:bookmarkStart w:id="610" w:name="_Toc475469817"/>
      <w:bookmarkStart w:id="611" w:name="_Toc450811957"/>
      <w:r>
        <w:rPr>
          <w:rFonts w:ascii="Times New Roman" w:hAnsi="Times New Roman"/>
          <w:color w:val="auto"/>
          <w:szCs w:val="24"/>
        </w:rPr>
        <w:t>统计</w:t>
      </w:r>
      <w:bookmarkEnd w:id="605"/>
      <w:r>
        <w:rPr>
          <w:rFonts w:ascii="Times New Roman" w:hAnsi="Times New Roman"/>
          <w:color w:val="auto"/>
          <w:szCs w:val="24"/>
        </w:rPr>
        <w:t>学考虑</w:t>
      </w:r>
      <w:bookmarkEnd w:id="606"/>
      <w:bookmarkEnd w:id="607"/>
      <w:bookmarkEnd w:id="608"/>
      <w:bookmarkEnd w:id="609"/>
    </w:p>
    <w:p w14:paraId="3E2E26D6">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612" w:name="_Toc65831975"/>
      <w:bookmarkEnd w:id="612"/>
      <w:bookmarkStart w:id="613" w:name="_Toc65833887"/>
      <w:bookmarkEnd w:id="613"/>
      <w:bookmarkStart w:id="614" w:name="_Toc65833888"/>
      <w:bookmarkEnd w:id="614"/>
      <w:bookmarkStart w:id="615" w:name="_Toc65831974"/>
      <w:bookmarkEnd w:id="615"/>
      <w:bookmarkStart w:id="616" w:name="_Toc7571"/>
      <w:bookmarkStart w:id="617" w:name="_Toc183523048"/>
      <w:bookmarkStart w:id="618" w:name="_Toc7724"/>
      <w:bookmarkStart w:id="619" w:name="_Toc24458"/>
      <w:bookmarkStart w:id="620" w:name="_Toc106375110"/>
      <w:r>
        <w:rPr>
          <w:rFonts w:ascii="Times New Roman" w:hAnsi="Times New Roman" w:eastAsia="宋体"/>
          <w:sz w:val="24"/>
          <w:szCs w:val="24"/>
          <w:lang w:val="zh-TW" w:eastAsia="zh-TW"/>
        </w:rPr>
        <w:t>分析集</w:t>
      </w:r>
      <w:bookmarkEnd w:id="616"/>
      <w:bookmarkEnd w:id="617"/>
      <w:bookmarkEnd w:id="618"/>
      <w:bookmarkEnd w:id="619"/>
      <w:bookmarkEnd w:id="620"/>
    </w:p>
    <w:p w14:paraId="0B94B04B">
      <w:pPr>
        <w:pStyle w:val="89"/>
        <w:tabs>
          <w:tab w:val="left" w:pos="309"/>
        </w:tabs>
        <w:adjustRightInd w:val="0"/>
        <w:spacing w:line="360" w:lineRule="auto"/>
        <w:ind w:firstLine="0"/>
        <w:contextualSpacing/>
        <w:rPr>
          <w:rFonts w:hAnsi="Times New Roman" w:eastAsia="宋体" w:cs="Times New Roman"/>
          <w:bCs/>
        </w:rPr>
      </w:pPr>
      <w:r>
        <w:rPr>
          <w:rFonts w:hAnsi="Times New Roman" w:eastAsia="宋体" w:cs="Times New Roman"/>
          <w:b/>
          <w:iCs/>
        </w:rPr>
        <w:tab/>
      </w:r>
      <w:r>
        <w:rPr>
          <w:rFonts w:hAnsi="Times New Roman" w:eastAsia="宋体" w:cs="Times New Roman"/>
          <w:b/>
          <w:iCs/>
        </w:rPr>
        <w:t>安全性分析集（SS）</w:t>
      </w:r>
      <w:r>
        <w:rPr>
          <w:rFonts w:hAnsi="Times New Roman" w:eastAsia="宋体" w:cs="Times New Roman"/>
          <w:b/>
        </w:rPr>
        <w:t>：</w:t>
      </w:r>
      <w:r>
        <w:rPr>
          <w:rFonts w:hAnsi="Times New Roman" w:eastAsia="宋体" w:cs="Times New Roman"/>
          <w:bCs/>
        </w:rPr>
        <w:t>所有接受INR101注射液PET/CT成像且至少有一次安全性数据记录的受试者将被纳入安全性分析集。SS将用于安全性分析。</w:t>
      </w:r>
    </w:p>
    <w:p w14:paraId="623BEAD6">
      <w:pPr>
        <w:pStyle w:val="89"/>
        <w:tabs>
          <w:tab w:val="left" w:pos="309"/>
        </w:tabs>
        <w:adjustRightInd w:val="0"/>
        <w:spacing w:line="360" w:lineRule="auto"/>
        <w:ind w:firstLine="0"/>
        <w:contextualSpacing/>
        <w:rPr>
          <w:rFonts w:hAnsi="Times New Roman" w:eastAsia="宋体" w:cs="Times New Roman"/>
          <w:bCs/>
        </w:rPr>
      </w:pPr>
      <w:r>
        <w:rPr>
          <w:rFonts w:hAnsi="Times New Roman" w:eastAsia="宋体" w:cs="Times New Roman"/>
          <w:b/>
          <w:iCs/>
        </w:rPr>
        <w:tab/>
      </w:r>
      <w:r>
        <w:rPr>
          <w:rFonts w:hAnsi="Times New Roman" w:eastAsia="宋体" w:cs="Times New Roman"/>
          <w:b/>
          <w:iCs/>
        </w:rPr>
        <w:t>全分析集（FAS）</w:t>
      </w:r>
      <w:r>
        <w:rPr>
          <w:rFonts w:hAnsi="Times New Roman" w:eastAsia="宋体" w:cs="Times New Roman"/>
          <w:b/>
        </w:rPr>
        <w:t>：</w:t>
      </w:r>
      <w:r>
        <w:rPr>
          <w:rFonts w:hint="eastAsia" w:hAnsi="Times New Roman" w:eastAsia="宋体" w:cs="Times New Roman"/>
          <w:b/>
        </w:rPr>
        <w:t>按</w:t>
      </w:r>
      <w:r>
        <w:rPr>
          <w:rFonts w:hAnsi="Times New Roman" w:eastAsia="宋体" w:cs="Times New Roman"/>
          <w:bCs/>
        </w:rPr>
        <w:t>照意向性治疗的基本原则，将所有入组并接受INR101注射液PET/CT成像、且具有</w:t>
      </w:r>
      <w:r>
        <w:rPr>
          <w:rFonts w:hAnsi="Times New Roman" w:eastAsia="宋体" w:cs="Times New Roman"/>
          <w:lang w:bidi="ar"/>
        </w:rPr>
        <w:t xml:space="preserve">INR101 </w:t>
      </w:r>
      <w:r>
        <w:rPr>
          <w:rFonts w:hAnsi="Times New Roman" w:eastAsia="宋体" w:cs="Times New Roman"/>
        </w:rPr>
        <w:t>PET/CT影像</w:t>
      </w:r>
      <w:r>
        <w:rPr>
          <w:rFonts w:hAnsi="Times New Roman" w:eastAsia="宋体" w:cs="Times New Roman"/>
          <w:bCs/>
        </w:rPr>
        <w:t>结果的受试者所构成的数据集。FAS将用于基线特征、给药剂量以及诊断效能等方面的分析。</w:t>
      </w:r>
    </w:p>
    <w:p w14:paraId="2FACF96C">
      <w:pPr>
        <w:pStyle w:val="89"/>
        <w:tabs>
          <w:tab w:val="left" w:pos="309"/>
        </w:tabs>
        <w:adjustRightInd w:val="0"/>
        <w:spacing w:line="360" w:lineRule="auto"/>
        <w:ind w:firstLine="0"/>
        <w:contextualSpacing/>
        <w:rPr>
          <w:rFonts w:hAnsi="Times New Roman" w:eastAsia="宋体" w:cs="Times New Roman"/>
          <w:b/>
        </w:rPr>
      </w:pPr>
      <w:r>
        <w:rPr>
          <w:rFonts w:hAnsi="Times New Roman" w:eastAsia="宋体" w:cs="Times New Roman"/>
          <w:b/>
          <w:iCs/>
        </w:rPr>
        <w:tab/>
      </w:r>
      <w:r>
        <w:rPr>
          <w:rFonts w:hAnsi="Times New Roman" w:eastAsia="宋体" w:cs="Times New Roman"/>
          <w:b/>
          <w:iCs/>
        </w:rPr>
        <w:t>符合方案集（PPS）</w:t>
      </w:r>
      <w:r>
        <w:rPr>
          <w:rFonts w:hAnsi="Times New Roman" w:eastAsia="宋体" w:cs="Times New Roman"/>
          <w:b/>
        </w:rPr>
        <w:t>：</w:t>
      </w:r>
      <w:r>
        <w:rPr>
          <w:rFonts w:hAnsi="Times New Roman" w:eastAsia="宋体" w:cs="Times New Roman"/>
          <w:bCs/>
        </w:rPr>
        <w:t>是全分析集（FAS）的子集，包括按照入选排除标准筛选入组、接受INR101注射液PET/CT成像获得相应的诊断，且未发生影响主要终点指标评估的重大方案偏离的受试者。PPS将用于诊断效能方面的分析。</w:t>
      </w:r>
    </w:p>
    <w:p w14:paraId="19E96A5F">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621" w:name="_Toc32165"/>
      <w:bookmarkStart w:id="622" w:name="_Toc31892"/>
      <w:bookmarkStart w:id="623" w:name="_Toc183523049"/>
      <w:bookmarkStart w:id="624" w:name="_Toc6203"/>
      <w:r>
        <w:rPr>
          <w:rFonts w:ascii="Times New Roman" w:hAnsi="Times New Roman" w:eastAsia="宋体"/>
          <w:sz w:val="24"/>
          <w:szCs w:val="24"/>
          <w:lang w:val="zh-TW" w:eastAsia="zh-TW"/>
        </w:rPr>
        <w:t>统计分析</w:t>
      </w:r>
      <w:bookmarkEnd w:id="621"/>
      <w:bookmarkEnd w:id="622"/>
      <w:bookmarkEnd w:id="623"/>
      <w:bookmarkEnd w:id="624"/>
    </w:p>
    <w:p w14:paraId="2AA27297">
      <w:pPr>
        <w:pStyle w:val="83"/>
        <w:ind w:firstLine="480" w:firstLineChars="200"/>
        <w:rPr>
          <w:color w:val="auto"/>
          <w:kern w:val="0"/>
          <w:lang w:val="en-GB"/>
        </w:rPr>
      </w:pPr>
      <w:r>
        <w:rPr>
          <w:lang w:val="zh-TW"/>
        </w:rPr>
        <w:t>一般原则</w:t>
      </w:r>
      <w:bookmarkStart w:id="625" w:name="_Toc62032331"/>
      <w:bookmarkEnd w:id="625"/>
      <w:bookmarkStart w:id="626" w:name="_Toc62032209"/>
      <w:bookmarkEnd w:id="626"/>
      <w:bookmarkStart w:id="627" w:name="_Toc62032338"/>
      <w:bookmarkEnd w:id="627"/>
      <w:bookmarkStart w:id="628" w:name="_Toc62032211"/>
      <w:bookmarkEnd w:id="628"/>
      <w:bookmarkStart w:id="629" w:name="_Toc62032335"/>
      <w:bookmarkEnd w:id="629"/>
      <w:bookmarkStart w:id="630" w:name="_Toc62032208"/>
      <w:bookmarkEnd w:id="630"/>
      <w:bookmarkStart w:id="631" w:name="_Toc62032336"/>
      <w:bookmarkEnd w:id="631"/>
      <w:bookmarkStart w:id="632" w:name="_Toc62032210"/>
      <w:bookmarkEnd w:id="632"/>
      <w:bookmarkStart w:id="633" w:name="_Toc65831986"/>
      <w:bookmarkEnd w:id="633"/>
      <w:bookmarkStart w:id="634" w:name="_Toc62032212"/>
      <w:bookmarkEnd w:id="634"/>
      <w:bookmarkStart w:id="635" w:name="_Toc65833899"/>
      <w:bookmarkEnd w:id="635"/>
      <w:bookmarkStart w:id="636" w:name="_Toc62032337"/>
      <w:bookmarkEnd w:id="636"/>
      <w:bookmarkStart w:id="637" w:name="_Toc62032334"/>
      <w:bookmarkEnd w:id="637"/>
      <w:bookmarkStart w:id="638" w:name="_Toc62032213"/>
      <w:bookmarkEnd w:id="638"/>
      <w:bookmarkStart w:id="639" w:name="_Toc62032207"/>
      <w:bookmarkEnd w:id="639"/>
      <w:bookmarkStart w:id="640" w:name="_Toc62032214"/>
      <w:bookmarkEnd w:id="640"/>
      <w:bookmarkStart w:id="641" w:name="_Toc62032332"/>
      <w:bookmarkEnd w:id="641"/>
      <w:bookmarkStart w:id="642" w:name="_Toc62032333"/>
      <w:bookmarkEnd w:id="642"/>
      <w:r>
        <w:rPr>
          <w:rFonts w:hint="eastAsia"/>
          <w:lang w:val="zh-TW"/>
        </w:rPr>
        <w:t>：</w:t>
      </w:r>
      <w:r>
        <w:rPr>
          <w:color w:val="auto"/>
          <w:kern w:val="0"/>
          <w:lang w:val="en-GB"/>
        </w:rPr>
        <w:t>由于本研究为与真实性标准进行比较的诊断性研究的临床试验，未设立平行对照，一般资料和指标评估以统计描述为主要报告构成部分，主要有效性指标采用与目标值进行比较的假设检验。所有的统计检验均采用双侧检验，P值小于或等于0.05将被认为所检验的差别有统计意义（特别说明的除外）。</w:t>
      </w:r>
    </w:p>
    <w:p w14:paraId="3512C78C">
      <w:pPr>
        <w:pStyle w:val="83"/>
        <w:ind w:firstLine="480" w:firstLineChars="200"/>
        <w:rPr>
          <w:color w:val="auto"/>
          <w:kern w:val="0"/>
          <w:lang w:val="en-GB"/>
        </w:rPr>
      </w:pPr>
      <w:r>
        <w:rPr>
          <w:color w:val="auto"/>
          <w:kern w:val="0"/>
          <w:lang w:val="en-GB"/>
        </w:rPr>
        <w:t>定量指标的描述将计算例数、均数（标准差），中位数（最小值，最大值）等。定性指标的描述用各类的频数及百分数。</w:t>
      </w:r>
    </w:p>
    <w:p w14:paraId="2C7E24A5">
      <w:pPr>
        <w:pStyle w:val="5"/>
        <w:numPr>
          <w:ilvl w:val="2"/>
          <w:numId w:val="35"/>
        </w:numPr>
        <w:tabs>
          <w:tab w:val="left" w:pos="360"/>
        </w:tabs>
        <w:spacing w:before="0" w:after="0" w:line="360" w:lineRule="auto"/>
        <w:ind w:left="0" w:firstLine="0"/>
        <w:jc w:val="both"/>
        <w:rPr>
          <w:sz w:val="24"/>
          <w:szCs w:val="24"/>
          <w:lang w:val="zh-TW" w:eastAsia="zh-TW"/>
        </w:rPr>
      </w:pPr>
      <w:bookmarkStart w:id="643" w:name="_Toc14694"/>
      <w:bookmarkStart w:id="644" w:name="_Toc21933"/>
      <w:bookmarkStart w:id="645" w:name="_Toc183523050"/>
      <w:bookmarkStart w:id="646" w:name="_Toc13008"/>
      <w:r>
        <w:rPr>
          <w:sz w:val="24"/>
          <w:szCs w:val="24"/>
          <w:lang w:val="zh-TW" w:eastAsia="zh-TW"/>
        </w:rPr>
        <w:t>受试者分布分析</w:t>
      </w:r>
      <w:bookmarkEnd w:id="643"/>
      <w:bookmarkEnd w:id="644"/>
      <w:bookmarkEnd w:id="645"/>
      <w:bookmarkEnd w:id="646"/>
    </w:p>
    <w:p w14:paraId="7E509F29">
      <w:pPr>
        <w:pStyle w:val="83"/>
        <w:ind w:firstLine="480" w:firstLineChars="200"/>
        <w:rPr>
          <w:lang w:val="zh-TW"/>
        </w:rPr>
      </w:pPr>
      <w:r>
        <w:rPr>
          <w:lang w:val="zh-TW"/>
        </w:rPr>
        <w:t>描述性汇总各中心及总人群进入研究的受试者分布情况，包括从受试者筛选到研究完成的全过程。基于所有筛选的人群计算筛选成功及筛选失败的例数和百分比，接受试验用药品单次注射的例数和百分比，退出研究的例数和百分比等。列表列出筛选失败受试者、脱落受试者与未纳入分析集受试者的信息及其原因。</w:t>
      </w:r>
    </w:p>
    <w:p w14:paraId="75F6E433">
      <w:pPr>
        <w:pStyle w:val="5"/>
        <w:numPr>
          <w:ilvl w:val="2"/>
          <w:numId w:val="35"/>
        </w:numPr>
        <w:tabs>
          <w:tab w:val="left" w:pos="360"/>
        </w:tabs>
        <w:spacing w:before="0" w:after="0" w:line="360" w:lineRule="auto"/>
        <w:ind w:left="0" w:firstLine="0"/>
        <w:jc w:val="both"/>
        <w:rPr>
          <w:sz w:val="24"/>
          <w:szCs w:val="24"/>
          <w:lang w:val="zh-TW"/>
        </w:rPr>
      </w:pPr>
      <w:bookmarkStart w:id="647" w:name="_Toc30345"/>
      <w:bookmarkStart w:id="648" w:name="_Toc183523051"/>
      <w:bookmarkStart w:id="649" w:name="_Toc28156"/>
      <w:bookmarkStart w:id="650" w:name="_Toc27274"/>
      <w:r>
        <w:rPr>
          <w:sz w:val="24"/>
          <w:szCs w:val="24"/>
          <w:lang w:val="zh-TW"/>
        </w:rPr>
        <w:t>人口学资料和基线特征分析</w:t>
      </w:r>
      <w:bookmarkEnd w:id="647"/>
      <w:bookmarkEnd w:id="648"/>
      <w:bookmarkEnd w:id="649"/>
      <w:bookmarkEnd w:id="650"/>
    </w:p>
    <w:p w14:paraId="1B9D5F8E">
      <w:pPr>
        <w:pStyle w:val="83"/>
        <w:ind w:firstLine="480" w:firstLineChars="200"/>
        <w:rPr>
          <w:lang w:val="zh-TW"/>
        </w:rPr>
      </w:pPr>
      <w:r>
        <w:rPr>
          <w:lang w:val="zh-TW"/>
        </w:rPr>
        <w:t>基于全分析集对人口学（年龄、性别等）和疾病情况等基线资料根据数据性质进行统计学描述分析。连续变量计算其例数、均值、标准差、中位数、最小值和最大值。计数和等级资料计算频数及构成比。</w:t>
      </w:r>
    </w:p>
    <w:p w14:paraId="7F679B21">
      <w:pPr>
        <w:pStyle w:val="5"/>
        <w:numPr>
          <w:ilvl w:val="2"/>
          <w:numId w:val="35"/>
        </w:numPr>
        <w:tabs>
          <w:tab w:val="left" w:pos="360"/>
        </w:tabs>
        <w:spacing w:before="0" w:after="0" w:line="360" w:lineRule="auto"/>
        <w:ind w:left="0" w:firstLine="0"/>
        <w:jc w:val="both"/>
        <w:rPr>
          <w:sz w:val="24"/>
          <w:szCs w:val="24"/>
          <w:lang w:val="zh-TW" w:eastAsia="zh-TW"/>
        </w:rPr>
      </w:pPr>
      <w:bookmarkStart w:id="651" w:name="_Toc9228"/>
      <w:bookmarkStart w:id="652" w:name="_Toc27682"/>
      <w:bookmarkStart w:id="653" w:name="_Toc30209"/>
      <w:bookmarkStart w:id="654" w:name="_Toc183523052"/>
      <w:r>
        <w:rPr>
          <w:sz w:val="24"/>
          <w:szCs w:val="24"/>
          <w:lang w:val="zh-TW" w:eastAsia="zh-TW"/>
        </w:rPr>
        <w:t>药物暴露和依从性分析</w:t>
      </w:r>
      <w:bookmarkEnd w:id="651"/>
      <w:bookmarkEnd w:id="652"/>
      <w:bookmarkEnd w:id="653"/>
      <w:bookmarkEnd w:id="654"/>
    </w:p>
    <w:p w14:paraId="44B74B4E">
      <w:pPr>
        <w:pStyle w:val="83"/>
        <w:ind w:firstLine="480" w:firstLineChars="200"/>
        <w:rPr>
          <w:lang w:val="zh-TW"/>
        </w:rPr>
      </w:pPr>
      <w:r>
        <w:rPr>
          <w:lang w:val="zh-TW"/>
        </w:rPr>
        <w:t>基于安全性分析集对给药量情况进行统计学描述，同时按照＜80%、80-120%和＞120%定性描述研究药物的依从性情况；统计描述研究过程中合并用药和非药物治疗的使用情况。清单列出受试者研究药物暴露及合并用药和非药物治疗的具体信息。</w:t>
      </w:r>
    </w:p>
    <w:p w14:paraId="46D0D52A">
      <w:pPr>
        <w:pStyle w:val="5"/>
        <w:numPr>
          <w:ilvl w:val="2"/>
          <w:numId w:val="35"/>
        </w:numPr>
        <w:spacing w:before="0" w:after="0" w:line="360" w:lineRule="auto"/>
        <w:ind w:left="0" w:firstLine="0"/>
        <w:jc w:val="both"/>
        <w:rPr>
          <w:sz w:val="24"/>
          <w:szCs w:val="24"/>
          <w:lang w:val="zh-TW" w:eastAsia="zh-TW"/>
        </w:rPr>
      </w:pPr>
      <w:bookmarkStart w:id="655" w:name="_Toc65831989"/>
      <w:bookmarkEnd w:id="655"/>
      <w:bookmarkStart w:id="656" w:name="_Toc65831988"/>
      <w:bookmarkEnd w:id="656"/>
      <w:bookmarkStart w:id="657" w:name="_Toc65833901"/>
      <w:bookmarkEnd w:id="657"/>
      <w:bookmarkStart w:id="658" w:name="_Toc65833902"/>
      <w:bookmarkEnd w:id="658"/>
      <w:bookmarkStart w:id="659" w:name="_Toc25502"/>
      <w:bookmarkStart w:id="660" w:name="_Toc22575"/>
      <w:bookmarkStart w:id="661" w:name="_Toc13795"/>
      <w:bookmarkStart w:id="662" w:name="_Toc183523053"/>
      <w:r>
        <w:rPr>
          <w:sz w:val="24"/>
          <w:szCs w:val="24"/>
          <w:lang w:val="zh-TW" w:eastAsia="zh-TW"/>
        </w:rPr>
        <w:t>有效性分析</w:t>
      </w:r>
      <w:bookmarkEnd w:id="659"/>
      <w:bookmarkEnd w:id="660"/>
      <w:bookmarkEnd w:id="661"/>
      <w:bookmarkEnd w:id="662"/>
    </w:p>
    <w:p w14:paraId="548E8054">
      <w:pPr>
        <w:pStyle w:val="37"/>
        <w:spacing w:before="0" w:beforeAutospacing="0" w:after="0" w:afterAutospacing="0" w:line="360" w:lineRule="auto"/>
        <w:jc w:val="both"/>
        <w:rPr>
          <w:rFonts w:ascii="Times New Roman" w:hAnsi="Times New Roman"/>
          <w:b/>
          <w:bCs/>
          <w:sz w:val="24"/>
          <w:szCs w:val="24"/>
        </w:rPr>
      </w:pPr>
      <w:r>
        <w:rPr>
          <w:rFonts w:ascii="Times New Roman" w:hAnsi="Times New Roman"/>
          <w:b/>
          <w:bCs/>
          <w:sz w:val="24"/>
          <w:szCs w:val="24"/>
        </w:rPr>
        <w:t>主要估计目标分析：</w:t>
      </w:r>
    </w:p>
    <w:p w14:paraId="79DDE8B5">
      <w:pPr>
        <w:pStyle w:val="83"/>
        <w:ind w:firstLine="480" w:firstLineChars="200"/>
        <w:rPr>
          <w:lang w:val="zh-TW"/>
        </w:rPr>
      </w:pPr>
      <w:r>
        <w:rPr>
          <w:lang w:val="zh-TW"/>
        </w:rPr>
        <w:t>根据独立影像判读的INR101注射液PET/CT成像结果（阳性或阴性）和</w:t>
      </w:r>
      <w:r>
        <w:rPr>
          <w:rFonts w:hint="eastAsia"/>
        </w:rPr>
        <w:t>复合真实标准</w:t>
      </w:r>
      <w:r>
        <w:rPr>
          <w:lang w:val="zh-TW"/>
        </w:rPr>
        <w:t>结果（阳性或阴性）对转移情况构建如下诊断结果判定表格，基于此表格进行分析。</w:t>
      </w:r>
    </w:p>
    <w:tbl>
      <w:tblPr>
        <w:tblStyle w:val="18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5"/>
        <w:gridCol w:w="5168"/>
        <w:gridCol w:w="1881"/>
      </w:tblGrid>
      <w:tr w14:paraId="0704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5" w:type="pct"/>
          </w:tcPr>
          <w:p w14:paraId="513571EC">
            <w:pPr>
              <w:jc w:val="center"/>
              <w:rPr>
                <w:b/>
                <w:color w:val="000000"/>
                <w:kern w:val="0"/>
                <w:sz w:val="21"/>
                <w:szCs w:val="21"/>
              </w:rPr>
            </w:pPr>
            <w:bookmarkStart w:id="663" w:name="_Hlk179623661"/>
            <w:r>
              <w:rPr>
                <w:b/>
                <w:color w:val="000000"/>
                <w:kern w:val="0"/>
                <w:sz w:val="21"/>
                <w:szCs w:val="21"/>
              </w:rPr>
              <w:t>INR101注射液 PET/CT成像结果</w:t>
            </w:r>
            <w:bookmarkEnd w:id="663"/>
          </w:p>
        </w:tc>
        <w:tc>
          <w:tcPr>
            <w:tcW w:w="2702" w:type="pct"/>
          </w:tcPr>
          <w:p w14:paraId="0A60427B">
            <w:pPr>
              <w:jc w:val="center"/>
              <w:rPr>
                <w:b/>
                <w:color w:val="000000"/>
                <w:kern w:val="0"/>
                <w:sz w:val="21"/>
                <w:szCs w:val="21"/>
              </w:rPr>
            </w:pPr>
            <w:r>
              <w:rPr>
                <w:b/>
                <w:color w:val="000000"/>
                <w:kern w:val="0"/>
                <w:sz w:val="21"/>
                <w:szCs w:val="21"/>
              </w:rPr>
              <w:t>真实性标准</w:t>
            </w:r>
          </w:p>
        </w:tc>
        <w:tc>
          <w:tcPr>
            <w:tcW w:w="983" w:type="pct"/>
          </w:tcPr>
          <w:p w14:paraId="29E310B2">
            <w:pPr>
              <w:jc w:val="center"/>
              <w:rPr>
                <w:b/>
                <w:color w:val="000000"/>
                <w:kern w:val="0"/>
                <w:sz w:val="21"/>
                <w:szCs w:val="21"/>
              </w:rPr>
            </w:pPr>
            <w:r>
              <w:rPr>
                <w:b/>
                <w:color w:val="000000"/>
                <w:kern w:val="0"/>
                <w:sz w:val="21"/>
                <w:szCs w:val="21"/>
              </w:rPr>
              <w:t>判断结果</w:t>
            </w:r>
          </w:p>
        </w:tc>
      </w:tr>
      <w:tr w14:paraId="350B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5" w:type="pct"/>
          </w:tcPr>
          <w:p w14:paraId="4C71A4CB">
            <w:pPr>
              <w:jc w:val="center"/>
              <w:rPr>
                <w:color w:val="000000"/>
                <w:kern w:val="0"/>
                <w:sz w:val="21"/>
                <w:szCs w:val="21"/>
              </w:rPr>
            </w:pPr>
            <w:r>
              <w:rPr>
                <w:color w:val="000000"/>
                <w:kern w:val="0"/>
                <w:sz w:val="21"/>
                <w:szCs w:val="21"/>
              </w:rPr>
              <w:t>阳性</w:t>
            </w:r>
          </w:p>
        </w:tc>
        <w:tc>
          <w:tcPr>
            <w:tcW w:w="2702" w:type="pct"/>
          </w:tcPr>
          <w:p w14:paraId="3ECBE161">
            <w:pPr>
              <w:jc w:val="center"/>
              <w:rPr>
                <w:color w:val="000000"/>
                <w:kern w:val="0"/>
                <w:sz w:val="21"/>
                <w:szCs w:val="21"/>
              </w:rPr>
            </w:pPr>
            <w:r>
              <w:rPr>
                <w:color w:val="000000"/>
                <w:kern w:val="0"/>
                <w:sz w:val="21"/>
                <w:szCs w:val="21"/>
              </w:rPr>
              <w:t>阳性，且至少有一个病灶对应部位与真实性标准对应匹配一致</w:t>
            </w:r>
          </w:p>
        </w:tc>
        <w:tc>
          <w:tcPr>
            <w:tcW w:w="983" w:type="pct"/>
          </w:tcPr>
          <w:p w14:paraId="2E9213B7">
            <w:pPr>
              <w:jc w:val="center"/>
              <w:rPr>
                <w:color w:val="000000"/>
                <w:kern w:val="0"/>
                <w:sz w:val="21"/>
                <w:szCs w:val="21"/>
              </w:rPr>
            </w:pPr>
            <w:r>
              <w:rPr>
                <w:color w:val="000000"/>
                <w:kern w:val="0"/>
                <w:sz w:val="21"/>
                <w:szCs w:val="21"/>
              </w:rPr>
              <w:t>真阳性</w:t>
            </w:r>
            <w:r>
              <w:rPr>
                <w:rFonts w:hint="eastAsia"/>
                <w:color w:val="000000"/>
                <w:kern w:val="0"/>
                <w:sz w:val="21"/>
                <w:szCs w:val="21"/>
              </w:rPr>
              <w:t>r</w:t>
            </w:r>
            <w:r>
              <w:rPr>
                <w:color w:val="000000"/>
                <w:kern w:val="0"/>
                <w:sz w:val="21"/>
                <w:szCs w:val="21"/>
              </w:rPr>
              <w:t>TP</w:t>
            </w:r>
          </w:p>
        </w:tc>
      </w:tr>
      <w:tr w14:paraId="01E1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5" w:type="pct"/>
          </w:tcPr>
          <w:p w14:paraId="07C8409F">
            <w:pPr>
              <w:jc w:val="center"/>
              <w:rPr>
                <w:color w:val="000000"/>
                <w:kern w:val="0"/>
                <w:sz w:val="21"/>
                <w:szCs w:val="21"/>
              </w:rPr>
            </w:pPr>
            <w:r>
              <w:rPr>
                <w:color w:val="000000"/>
                <w:kern w:val="0"/>
                <w:sz w:val="21"/>
                <w:szCs w:val="21"/>
              </w:rPr>
              <w:t>阳性</w:t>
            </w:r>
          </w:p>
        </w:tc>
        <w:tc>
          <w:tcPr>
            <w:tcW w:w="2702" w:type="pct"/>
          </w:tcPr>
          <w:p w14:paraId="2863CA89">
            <w:pPr>
              <w:jc w:val="center"/>
              <w:rPr>
                <w:color w:val="000000"/>
                <w:kern w:val="0"/>
                <w:sz w:val="21"/>
                <w:szCs w:val="21"/>
              </w:rPr>
            </w:pPr>
            <w:r>
              <w:rPr>
                <w:color w:val="000000"/>
                <w:kern w:val="0"/>
                <w:sz w:val="21"/>
                <w:szCs w:val="21"/>
              </w:rPr>
              <w:t>阳性，不考虑与真实性标准相对应匹配的具体病灶</w:t>
            </w:r>
          </w:p>
        </w:tc>
        <w:tc>
          <w:tcPr>
            <w:tcW w:w="983" w:type="pct"/>
          </w:tcPr>
          <w:p w14:paraId="175DBB25">
            <w:pPr>
              <w:jc w:val="center"/>
              <w:rPr>
                <w:color w:val="000000"/>
                <w:kern w:val="0"/>
                <w:sz w:val="21"/>
                <w:szCs w:val="21"/>
              </w:rPr>
            </w:pPr>
            <w:r>
              <w:rPr>
                <w:color w:val="000000"/>
                <w:kern w:val="0"/>
                <w:sz w:val="21"/>
                <w:szCs w:val="21"/>
              </w:rPr>
              <w:t>真阳性TP</w:t>
            </w:r>
          </w:p>
        </w:tc>
      </w:tr>
      <w:tr w14:paraId="79278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5" w:type="pct"/>
          </w:tcPr>
          <w:p w14:paraId="382C90B7">
            <w:pPr>
              <w:jc w:val="center"/>
              <w:rPr>
                <w:color w:val="000000"/>
                <w:kern w:val="0"/>
                <w:sz w:val="21"/>
                <w:szCs w:val="21"/>
              </w:rPr>
            </w:pPr>
            <w:r>
              <w:rPr>
                <w:color w:val="000000"/>
                <w:kern w:val="0"/>
                <w:sz w:val="21"/>
                <w:szCs w:val="21"/>
              </w:rPr>
              <w:t>阳性</w:t>
            </w:r>
          </w:p>
        </w:tc>
        <w:tc>
          <w:tcPr>
            <w:tcW w:w="2702" w:type="pct"/>
          </w:tcPr>
          <w:p w14:paraId="20B886BD">
            <w:pPr>
              <w:jc w:val="center"/>
              <w:rPr>
                <w:color w:val="000000"/>
                <w:kern w:val="0"/>
                <w:sz w:val="21"/>
                <w:szCs w:val="21"/>
              </w:rPr>
            </w:pPr>
            <w:r>
              <w:rPr>
                <w:color w:val="000000"/>
                <w:kern w:val="0"/>
                <w:sz w:val="21"/>
                <w:szCs w:val="21"/>
              </w:rPr>
              <w:t>阴性</w:t>
            </w:r>
          </w:p>
        </w:tc>
        <w:tc>
          <w:tcPr>
            <w:tcW w:w="983" w:type="pct"/>
          </w:tcPr>
          <w:p w14:paraId="6215CB5D">
            <w:pPr>
              <w:jc w:val="center"/>
              <w:rPr>
                <w:color w:val="000000"/>
                <w:kern w:val="0"/>
                <w:sz w:val="21"/>
                <w:szCs w:val="21"/>
              </w:rPr>
            </w:pPr>
            <w:r>
              <w:rPr>
                <w:color w:val="000000"/>
                <w:kern w:val="0"/>
                <w:sz w:val="21"/>
                <w:szCs w:val="21"/>
              </w:rPr>
              <w:t>假阳性FP</w:t>
            </w:r>
          </w:p>
        </w:tc>
      </w:tr>
      <w:tr w14:paraId="08A5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315" w:type="pct"/>
          </w:tcPr>
          <w:p w14:paraId="7D3E0D75">
            <w:pPr>
              <w:jc w:val="center"/>
              <w:rPr>
                <w:color w:val="000000"/>
                <w:kern w:val="0"/>
                <w:sz w:val="21"/>
                <w:szCs w:val="21"/>
              </w:rPr>
            </w:pPr>
            <w:r>
              <w:rPr>
                <w:color w:val="000000"/>
                <w:kern w:val="0"/>
                <w:sz w:val="21"/>
                <w:szCs w:val="21"/>
              </w:rPr>
              <w:t>阴性</w:t>
            </w:r>
          </w:p>
        </w:tc>
        <w:tc>
          <w:tcPr>
            <w:tcW w:w="2702" w:type="pct"/>
          </w:tcPr>
          <w:p w14:paraId="50973737">
            <w:pPr>
              <w:jc w:val="center"/>
              <w:rPr>
                <w:color w:val="000000"/>
                <w:kern w:val="0"/>
                <w:sz w:val="21"/>
                <w:szCs w:val="21"/>
              </w:rPr>
            </w:pPr>
            <w:r>
              <w:rPr>
                <w:color w:val="000000"/>
                <w:kern w:val="0"/>
                <w:sz w:val="21"/>
                <w:szCs w:val="21"/>
              </w:rPr>
              <w:t>-</w:t>
            </w:r>
          </w:p>
        </w:tc>
        <w:tc>
          <w:tcPr>
            <w:tcW w:w="983" w:type="pct"/>
          </w:tcPr>
          <w:p w14:paraId="542E209B">
            <w:pPr>
              <w:jc w:val="center"/>
              <w:rPr>
                <w:color w:val="000000"/>
                <w:kern w:val="0"/>
                <w:sz w:val="21"/>
                <w:szCs w:val="21"/>
              </w:rPr>
            </w:pPr>
            <w:r>
              <w:rPr>
                <w:color w:val="000000"/>
                <w:kern w:val="0"/>
                <w:sz w:val="21"/>
                <w:szCs w:val="21"/>
              </w:rPr>
              <w:t>-</w:t>
            </w:r>
          </w:p>
        </w:tc>
      </w:tr>
      <w:tr w14:paraId="4811B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5" w:type="pct"/>
          </w:tcPr>
          <w:p w14:paraId="593079A3">
            <w:pPr>
              <w:jc w:val="center"/>
              <w:rPr>
                <w:color w:val="000000"/>
                <w:kern w:val="0"/>
                <w:sz w:val="21"/>
                <w:szCs w:val="21"/>
              </w:rPr>
            </w:pPr>
            <w:r>
              <w:rPr>
                <w:color w:val="000000"/>
                <w:kern w:val="0"/>
                <w:sz w:val="21"/>
                <w:szCs w:val="21"/>
              </w:rPr>
              <w:t>阴性</w:t>
            </w:r>
          </w:p>
        </w:tc>
        <w:tc>
          <w:tcPr>
            <w:tcW w:w="2702" w:type="pct"/>
          </w:tcPr>
          <w:p w14:paraId="33B74F03">
            <w:pPr>
              <w:jc w:val="center"/>
              <w:rPr>
                <w:color w:val="000000"/>
                <w:kern w:val="0"/>
                <w:sz w:val="21"/>
                <w:szCs w:val="21"/>
              </w:rPr>
            </w:pPr>
            <w:r>
              <w:rPr>
                <w:color w:val="000000"/>
                <w:kern w:val="0"/>
                <w:sz w:val="21"/>
                <w:szCs w:val="21"/>
              </w:rPr>
              <w:t>-</w:t>
            </w:r>
          </w:p>
        </w:tc>
        <w:tc>
          <w:tcPr>
            <w:tcW w:w="983" w:type="pct"/>
          </w:tcPr>
          <w:p w14:paraId="1A5EF60A">
            <w:pPr>
              <w:jc w:val="center"/>
              <w:rPr>
                <w:color w:val="000000"/>
                <w:kern w:val="0"/>
                <w:sz w:val="21"/>
                <w:szCs w:val="21"/>
              </w:rPr>
            </w:pPr>
            <w:r>
              <w:rPr>
                <w:color w:val="000000"/>
                <w:kern w:val="0"/>
                <w:sz w:val="21"/>
                <w:szCs w:val="21"/>
              </w:rPr>
              <w:t>-</w:t>
            </w:r>
          </w:p>
        </w:tc>
      </w:tr>
    </w:tbl>
    <w:p w14:paraId="69A19B2C">
      <w:pPr>
        <w:pStyle w:val="83"/>
        <w:spacing w:line="240" w:lineRule="auto"/>
        <w:ind w:firstLine="0"/>
        <w:rPr>
          <w:sz w:val="21"/>
          <w:szCs w:val="21"/>
          <w:lang w:val="zh-TW"/>
        </w:rPr>
      </w:pPr>
      <w:r>
        <w:rPr>
          <w:sz w:val="21"/>
          <w:szCs w:val="21"/>
          <w:lang w:val="zh-TW"/>
        </w:rPr>
        <w:t>注：只针对INR101注射液 PET/CT成像阳性的受试者进行复</w:t>
      </w:r>
      <w:r>
        <w:rPr>
          <w:sz w:val="21"/>
          <w:szCs w:val="21"/>
        </w:rPr>
        <w:t>合</w:t>
      </w:r>
      <w:r>
        <w:rPr>
          <w:sz w:val="21"/>
          <w:szCs w:val="21"/>
          <w:lang w:val="zh-TW"/>
        </w:rPr>
        <w:t>标准的真实性判定。</w:t>
      </w:r>
    </w:p>
    <w:p w14:paraId="77CAD07B">
      <w:pPr>
        <w:spacing w:line="360" w:lineRule="auto"/>
        <w:ind w:firstLine="480" w:firstLineChars="200"/>
        <w:jc w:val="both"/>
        <w:rPr>
          <w:color w:val="000000"/>
          <w:szCs w:val="24"/>
        </w:rPr>
      </w:pPr>
      <w:r>
        <w:rPr>
          <w:color w:val="000000"/>
          <w:szCs w:val="24"/>
        </w:rPr>
        <w:t>基于上述汇总表格和公式计算</w:t>
      </w:r>
      <w:r>
        <w:rPr>
          <w:color w:val="000000"/>
          <w:kern w:val="0"/>
          <w:szCs w:val="24"/>
        </w:rPr>
        <w:t>个体</w:t>
      </w:r>
      <w:r>
        <w:rPr>
          <w:color w:val="000000"/>
          <w:szCs w:val="24"/>
        </w:rPr>
        <w:t>水平INR101注射液PET/CT成像相对于真实标准的阳性预测值（PPV）</w:t>
      </w:r>
    </w:p>
    <w:p w14:paraId="3AACF54C">
      <w:pPr>
        <w:pStyle w:val="89"/>
        <w:numPr>
          <w:ilvl w:val="0"/>
          <w:numId w:val="36"/>
        </w:numPr>
        <w:tabs>
          <w:tab w:val="left" w:pos="309"/>
        </w:tabs>
        <w:adjustRightInd w:val="0"/>
        <w:snapToGrid w:val="0"/>
        <w:spacing w:line="360" w:lineRule="auto"/>
        <w:ind w:left="987"/>
        <w:contextualSpacing/>
        <w:rPr>
          <w:rFonts w:hAnsi="Times New Roman" w:eastAsia="宋体" w:cs="Times New Roman"/>
        </w:rPr>
      </w:pPr>
      <w:r>
        <w:rPr>
          <w:rFonts w:hAnsi="Times New Roman" w:eastAsia="宋体" w:cs="Times New Roman"/>
        </w:rPr>
        <w:t>阳性预测值（PPV）= TP/（TP+FP）</w:t>
      </w:r>
    </w:p>
    <w:p w14:paraId="184B2CC5">
      <w:pPr>
        <w:spacing w:line="360" w:lineRule="auto"/>
        <w:ind w:firstLine="480" w:firstLineChars="200"/>
        <w:jc w:val="both"/>
        <w:rPr>
          <w:color w:val="000000"/>
          <w:szCs w:val="24"/>
        </w:rPr>
      </w:pPr>
      <w:r>
        <w:rPr>
          <w:color w:val="000000"/>
          <w:szCs w:val="24"/>
        </w:rPr>
        <w:t>（1）主要评估指标和分析人群：</w:t>
      </w:r>
    </w:p>
    <w:p w14:paraId="170131F9">
      <w:pPr>
        <w:spacing w:line="360" w:lineRule="auto"/>
        <w:ind w:firstLine="480" w:firstLineChars="200"/>
        <w:jc w:val="both"/>
        <w:rPr>
          <w:color w:val="000000"/>
          <w:szCs w:val="24"/>
        </w:rPr>
      </w:pPr>
      <w:r>
        <w:rPr>
          <w:bCs/>
        </w:rPr>
        <w:t>参照意向性治疗的基本原则，FAS集中入组并接受INR101注射液PET/CT成像获得</w:t>
      </w:r>
      <w:r>
        <w:t>影像</w:t>
      </w:r>
      <w:r>
        <w:rPr>
          <w:bCs/>
        </w:rPr>
        <w:t>结果且INR101注射液PET/CT成像阳性的受试者人群为主要估计目标的分析人群。</w:t>
      </w:r>
    </w:p>
    <w:p w14:paraId="23E6DDF9">
      <w:pPr>
        <w:spacing w:line="360" w:lineRule="auto"/>
        <w:ind w:firstLine="480" w:firstLineChars="200"/>
        <w:jc w:val="both"/>
        <w:rPr>
          <w:color w:val="000000"/>
          <w:szCs w:val="24"/>
        </w:rPr>
      </w:pPr>
      <w:r>
        <w:rPr>
          <w:color w:val="000000"/>
          <w:szCs w:val="24"/>
        </w:rPr>
        <w:t>基于此分析人群，计算</w:t>
      </w:r>
      <w:r>
        <w:rPr>
          <w:color w:val="000000"/>
          <w:kern w:val="0"/>
          <w:szCs w:val="24"/>
        </w:rPr>
        <w:t>个体</w:t>
      </w:r>
      <w:r>
        <w:rPr>
          <w:color w:val="000000"/>
          <w:szCs w:val="24"/>
        </w:rPr>
        <w:t>水平INR101注射液 PET/CT成像相对于真实标准的阳性预测值（PPV）。研究假设如下：</w:t>
      </w:r>
    </w:p>
    <w:p w14:paraId="6ADE5BFE">
      <w:pPr>
        <w:adjustRightInd w:val="0"/>
        <w:spacing w:line="360" w:lineRule="auto"/>
        <w:ind w:left="1418"/>
        <w:jc w:val="both"/>
      </w:pPr>
      <w:r>
        <w:rPr>
          <w:lang w:bidi="ar"/>
        </w:rPr>
        <w:t>H</w:t>
      </w:r>
      <w:r>
        <w:rPr>
          <w:vertAlign w:val="subscript"/>
          <w:lang w:bidi="ar"/>
        </w:rPr>
        <w:t>0</w:t>
      </w:r>
      <w:r>
        <w:rPr>
          <w:lang w:bidi="ar"/>
        </w:rPr>
        <w:t>：PPV≤60%</w:t>
      </w:r>
    </w:p>
    <w:p w14:paraId="6F7C0480">
      <w:pPr>
        <w:adjustRightInd w:val="0"/>
        <w:spacing w:line="360" w:lineRule="auto"/>
        <w:ind w:left="1418"/>
        <w:jc w:val="both"/>
      </w:pPr>
      <w:r>
        <w:rPr>
          <w:lang w:bidi="ar"/>
        </w:rPr>
        <w:t>H</w:t>
      </w:r>
      <w:r>
        <w:rPr>
          <w:vertAlign w:val="subscript"/>
          <w:lang w:bidi="ar"/>
        </w:rPr>
        <w:t>1</w:t>
      </w:r>
      <w:r>
        <w:rPr>
          <w:lang w:bidi="ar"/>
        </w:rPr>
        <w:t>：PPV＞60%</w:t>
      </w:r>
    </w:p>
    <w:p w14:paraId="03C58BA1">
      <w:pPr>
        <w:pStyle w:val="83"/>
        <w:ind w:firstLine="480" w:firstLineChars="200"/>
        <w:rPr>
          <w:lang w:val="zh-TW"/>
        </w:rPr>
      </w:pPr>
      <w:r>
        <w:rPr>
          <w:lang w:val="zh-TW"/>
        </w:rPr>
        <w:t>（2）主要评估指标的统计分析</w:t>
      </w:r>
    </w:p>
    <w:p w14:paraId="4C8A4CF8">
      <w:pPr>
        <w:pStyle w:val="83"/>
        <w:ind w:firstLine="480" w:firstLineChars="200"/>
        <w:rPr>
          <w:lang w:val="zh-TW"/>
        </w:rPr>
      </w:pPr>
      <w:r>
        <w:rPr>
          <w:lang w:val="zh-TW"/>
        </w:rPr>
        <w:t>基于受试者水平，以复合诊断结论为真实性诊断标准，计算</w:t>
      </w:r>
      <w:r>
        <w:rPr>
          <w:kern w:val="0"/>
        </w:rPr>
        <w:t>个体</w:t>
      </w:r>
      <w:r>
        <w:t>水平INR101注射液PET/CT成像相对于真实标准的阳性预测值（PPV）</w:t>
      </w:r>
      <w:r>
        <w:rPr>
          <w:lang w:val="zh-TW"/>
        </w:rPr>
        <w:t>。除点估计值之外，同时采用二项分布近似正态的方法或Clopper Pearson法计算灵敏度和特异度双侧95%置信区间，并计算与目标值进行统计学比较的假设检验结果。若双侧95%置信区间下限超过目标值</w:t>
      </w:r>
      <w:r>
        <w:t>6</w:t>
      </w:r>
      <w:r>
        <w:rPr>
          <w:lang w:val="zh-TW"/>
        </w:rPr>
        <w:t>0%，说明INR101注射液PET/CT成像对前列腺癌根治治疗后疑似复发的阳性预测值的目标值假设成立，满足统计学要求。</w:t>
      </w:r>
    </w:p>
    <w:p w14:paraId="70B7A9BF">
      <w:pPr>
        <w:spacing w:line="360" w:lineRule="auto"/>
        <w:ind w:firstLine="480" w:firstLineChars="200"/>
        <w:jc w:val="both"/>
        <w:rPr>
          <w:lang w:val="zh-TW"/>
        </w:rPr>
      </w:pPr>
      <w:r>
        <w:rPr>
          <w:lang w:val="zh-TW"/>
        </w:rPr>
        <w:t>研究中对</w:t>
      </w:r>
      <w:r>
        <w:t>因任何原因导致未获得INR101注射液PET/CT影像结果或INR101注射液PET/CT在根治性治疗后前列腺癌患者中未发现可疑病灶（即INR101 PET/CT成像为阴性）</w:t>
      </w:r>
      <w:r>
        <w:rPr>
          <w:lang w:val="zh-TW"/>
        </w:rPr>
        <w:t>的伴发事件采用主层策略，主分析针对</w:t>
      </w:r>
      <w:r>
        <w:t>INR101 PET/CT影像结果为阳性</w:t>
      </w:r>
      <w:r>
        <w:rPr>
          <w:lang w:val="zh-TW"/>
        </w:rPr>
        <w:t>的人群进行；对</w:t>
      </w:r>
      <w:r>
        <w:t>INR101 PET/CT影像结果为阳性但因任何原因导致最终未获得真实性标准的诊断结果的伴发事件采用主层策略，主分析时针对INR101 PET/CT影像结果为阳性且同时获得了真实性标准的患者进行</w:t>
      </w:r>
      <w:r>
        <w:rPr>
          <w:lang w:val="zh-TW"/>
        </w:rPr>
        <w:t>。</w:t>
      </w:r>
    </w:p>
    <w:p w14:paraId="50F7F48E">
      <w:pPr>
        <w:pStyle w:val="83"/>
        <w:ind w:firstLine="480" w:firstLineChars="200"/>
        <w:rPr>
          <w:lang w:val="zh-TW"/>
        </w:rPr>
      </w:pPr>
      <w:r>
        <w:rPr>
          <w:lang w:val="zh-TW"/>
        </w:rPr>
        <w:t>（3）亚组分析</w:t>
      </w:r>
    </w:p>
    <w:p w14:paraId="536DC247">
      <w:pPr>
        <w:pStyle w:val="83"/>
        <w:ind w:firstLine="480" w:firstLineChars="200"/>
        <w:rPr>
          <w:lang w:val="zh-TW"/>
        </w:rPr>
      </w:pPr>
      <w:r>
        <w:rPr>
          <w:lang w:val="zh-TW"/>
        </w:rPr>
        <w:t>对INR101注射液PET/CT成像在常规影像检查阴性组人群中、</w:t>
      </w:r>
      <w:r>
        <w:t>不同基线PSA水平人群（0.2~0.5、0.5~1、1~2、2~5、≥5 ng/ml）中</w:t>
      </w:r>
      <w:r>
        <w:rPr>
          <w:lang w:val="zh-TW"/>
        </w:rPr>
        <w:t>的</w:t>
      </w:r>
      <w:r>
        <w:t>阳性预测值（PPV）</w:t>
      </w:r>
      <w:r>
        <w:rPr>
          <w:lang w:val="zh-TW"/>
        </w:rPr>
        <w:t>进行亚组分析。</w:t>
      </w:r>
    </w:p>
    <w:p w14:paraId="34C2FDB4">
      <w:pPr>
        <w:pStyle w:val="83"/>
        <w:ind w:firstLine="480" w:firstLineChars="200"/>
        <w:rPr>
          <w:lang w:val="zh-TW"/>
        </w:rPr>
      </w:pPr>
      <w:r>
        <w:rPr>
          <w:lang w:val="zh-TW"/>
        </w:rPr>
        <w:t>（4）敏感性分析和补充分析</w:t>
      </w:r>
    </w:p>
    <w:p w14:paraId="378BA90D">
      <w:pPr>
        <w:pStyle w:val="83"/>
        <w:ind w:firstLine="480" w:firstLineChars="200"/>
        <w:rPr>
          <w:lang w:val="zh-TW"/>
        </w:rPr>
      </w:pPr>
      <w:r>
        <w:rPr>
          <w:lang w:val="zh-TW"/>
        </w:rPr>
        <w:t>针对符合方案集中目标人群的分析，作为主要评估指标的补充分析结果。</w:t>
      </w:r>
    </w:p>
    <w:p w14:paraId="03E11638">
      <w:pPr>
        <w:pStyle w:val="83"/>
        <w:ind w:firstLine="480" w:firstLineChars="200"/>
        <w:rPr>
          <w:lang w:val="zh-TW"/>
        </w:rPr>
      </w:pPr>
      <w:r>
        <w:rPr>
          <w:lang w:val="zh-TW"/>
        </w:rPr>
        <w:t>其他可能的敏感性分析和补充分析结果（如适用）必要时参考统计分析计划。</w:t>
      </w:r>
    </w:p>
    <w:p w14:paraId="6D1E0230">
      <w:pPr>
        <w:spacing w:line="360" w:lineRule="auto"/>
        <w:jc w:val="both"/>
        <w:rPr>
          <w:b/>
          <w:bCs/>
          <w:color w:val="000000"/>
          <w:szCs w:val="24"/>
        </w:rPr>
      </w:pPr>
      <w:r>
        <w:rPr>
          <w:b/>
          <w:bCs/>
          <w:color w:val="000000"/>
          <w:szCs w:val="24"/>
        </w:rPr>
        <w:t>其他次要终点分析：</w:t>
      </w:r>
    </w:p>
    <w:p w14:paraId="3346CCD8">
      <w:pPr>
        <w:numPr>
          <w:ilvl w:val="0"/>
          <w:numId w:val="8"/>
        </w:numPr>
        <w:spacing w:line="360" w:lineRule="auto"/>
        <w:ind w:left="0" w:firstLine="0"/>
        <w:jc w:val="both"/>
        <w:rPr>
          <w:color w:val="000000"/>
        </w:rPr>
      </w:pPr>
      <w:r>
        <w:rPr>
          <w:color w:val="000000"/>
          <w:szCs w:val="24"/>
        </w:rPr>
        <w:t>采用与主要终点分析相同的方法计算个体水平</w:t>
      </w:r>
      <w:r>
        <w:rPr>
          <w:szCs w:val="22"/>
        </w:rPr>
        <w:t>INR101注射液PET/CT</w:t>
      </w:r>
      <w:r>
        <w:t>成像相对于真实标准的</w:t>
      </w:r>
      <w:r>
        <w:rPr>
          <w:color w:val="000000"/>
          <w:szCs w:val="24"/>
        </w:rPr>
        <w:t>正确检出率（CDR）、正确定位率（CLR）；</w:t>
      </w:r>
    </w:p>
    <w:p w14:paraId="3E2D5967">
      <w:pPr>
        <w:numPr>
          <w:ilvl w:val="0"/>
          <w:numId w:val="8"/>
        </w:numPr>
        <w:spacing w:line="360" w:lineRule="auto"/>
        <w:ind w:left="0" w:firstLine="0"/>
        <w:jc w:val="both"/>
        <w:rPr>
          <w:color w:val="000000"/>
        </w:rPr>
      </w:pPr>
      <w:r>
        <w:rPr>
          <w:color w:val="000000"/>
          <w:szCs w:val="24"/>
        </w:rPr>
        <w:t>采用与主要终点分析相同的方法计算区域（前列腺、</w:t>
      </w:r>
      <w:r>
        <w:rPr>
          <w:rFonts w:hint="eastAsia"/>
          <w:color w:val="000000"/>
          <w:szCs w:val="24"/>
        </w:rPr>
        <w:t>盆腔</w:t>
      </w:r>
      <w:r>
        <w:rPr>
          <w:color w:val="000000"/>
          <w:szCs w:val="24"/>
        </w:rPr>
        <w:t>淋巴结</w:t>
      </w:r>
      <w:r>
        <w:rPr>
          <w:rFonts w:hint="eastAsia"/>
          <w:color w:val="000000"/>
          <w:szCs w:val="24"/>
        </w:rPr>
        <w:t>、盆腔外淋巴结</w:t>
      </w:r>
      <w:r>
        <w:rPr>
          <w:color w:val="000000"/>
          <w:szCs w:val="24"/>
        </w:rPr>
        <w:t>、内脏/软组织、骨）水平</w:t>
      </w:r>
      <w:r>
        <w:rPr>
          <w:color w:val="000000"/>
          <w:lang w:bidi="ar"/>
        </w:rPr>
        <w:t>INR101 PET/CT成像的阳性预测值（PPV）</w:t>
      </w:r>
    </w:p>
    <w:p w14:paraId="6CCBA393">
      <w:pPr>
        <w:numPr>
          <w:ilvl w:val="0"/>
          <w:numId w:val="8"/>
        </w:numPr>
        <w:spacing w:line="360" w:lineRule="auto"/>
        <w:ind w:left="0" w:firstLine="0"/>
        <w:jc w:val="both"/>
        <w:rPr>
          <w:color w:val="000000"/>
        </w:rPr>
      </w:pPr>
      <w:r>
        <w:rPr>
          <w:color w:val="000000"/>
        </w:rPr>
        <w:t>在基线常规影像阴性组中，计算受试者水平INR101 PET/CT成像的检出率（DR）、相对于真实标准的正确检出率（CDR）</w:t>
      </w:r>
      <w:r>
        <w:rPr>
          <w:rFonts w:hint="eastAsia"/>
          <w:color w:val="000000"/>
        </w:rPr>
        <w:t>及阳性预测值（</w:t>
      </w:r>
      <w:r>
        <w:rPr>
          <w:color w:val="000000"/>
        </w:rPr>
        <w:t>PPV</w:t>
      </w:r>
      <w:r>
        <w:rPr>
          <w:rFonts w:hint="eastAsia"/>
          <w:color w:val="000000"/>
        </w:rPr>
        <w:t>）</w:t>
      </w:r>
      <w:r>
        <w:rPr>
          <w:color w:val="000000"/>
        </w:rPr>
        <w:t>。</w:t>
      </w:r>
    </w:p>
    <w:p w14:paraId="5B4F3277">
      <w:pPr>
        <w:spacing w:line="360" w:lineRule="auto"/>
        <w:ind w:firstLine="420" w:firstLineChars="200"/>
        <w:jc w:val="both"/>
        <w:rPr>
          <w:color w:val="000000"/>
          <w:sz w:val="21"/>
          <w:szCs w:val="21"/>
        </w:rPr>
      </w:pPr>
      <w:r>
        <w:rPr>
          <w:color w:val="000000"/>
          <w:sz w:val="21"/>
          <w:szCs w:val="21"/>
        </w:rPr>
        <w:t>DR=</w:t>
      </w:r>
      <w:r>
        <w:rPr>
          <w:sz w:val="21"/>
          <w:szCs w:val="21"/>
        </w:rPr>
        <w:t>INR101 PET/CT成像阳性患者数/接受INR101 PET/CT成像的所有患者数×100%</w:t>
      </w:r>
    </w:p>
    <w:p w14:paraId="084FE703">
      <w:pPr>
        <w:spacing w:line="360" w:lineRule="auto"/>
        <w:ind w:firstLine="420" w:firstLineChars="200"/>
        <w:jc w:val="both"/>
        <w:rPr>
          <w:rStyle w:val="51"/>
          <w:kern w:val="0"/>
        </w:rPr>
      </w:pPr>
      <w:r>
        <w:rPr>
          <w:color w:val="000000"/>
          <w:sz w:val="21"/>
          <w:szCs w:val="21"/>
        </w:rPr>
        <w:t>CDR=</w:t>
      </w:r>
      <w:r>
        <w:rPr>
          <w:sz w:val="21"/>
          <w:szCs w:val="21"/>
        </w:rPr>
        <w:t>INR101 PET/CT成像阳性且至少有一个病灶对应部位与真实性标准对应匹配一致的患者数/接受INR101 PET/CT成像的所有患者数×100%</w:t>
      </w:r>
    </w:p>
    <w:p w14:paraId="7C5E0127">
      <w:pPr>
        <w:numPr>
          <w:ilvl w:val="255"/>
          <w:numId w:val="0"/>
        </w:numPr>
        <w:spacing w:line="360" w:lineRule="auto"/>
        <w:ind w:firstLine="420" w:firstLineChars="200"/>
        <w:jc w:val="both"/>
        <w:rPr>
          <w:color w:val="000000"/>
        </w:rPr>
      </w:pPr>
      <w:r>
        <w:rPr>
          <w:rStyle w:val="51"/>
          <w:kern w:val="0"/>
        </w:rPr>
        <w:t>CLR=</w:t>
      </w:r>
      <w:r>
        <w:rPr>
          <w:sz w:val="21"/>
          <w:szCs w:val="21"/>
        </w:rPr>
        <w:t>INR101 PET/CT成像阳性且至少有一个病灶对应部位与真实性标准对应匹配一致的患者数/INR101 PET/CT成像阳性患者数×100%</w:t>
      </w:r>
    </w:p>
    <w:p w14:paraId="3D5F35AC">
      <w:pPr>
        <w:numPr>
          <w:ilvl w:val="0"/>
          <w:numId w:val="8"/>
        </w:numPr>
        <w:spacing w:line="360" w:lineRule="auto"/>
        <w:ind w:left="0" w:firstLine="0"/>
        <w:jc w:val="both"/>
        <w:rPr>
          <w:color w:val="000000"/>
        </w:rPr>
      </w:pPr>
      <w:r>
        <w:rPr>
          <w:color w:val="000000"/>
        </w:rPr>
        <w:t>评估阅片人内和阅片人间对PET/CT图像诊断的一致性，分别计算阅片人自身和不同阅片人之间阅片结果的一致性系数及相应的95%置信区间。</w:t>
      </w:r>
    </w:p>
    <w:p w14:paraId="089ACEBF">
      <w:pPr>
        <w:spacing w:line="360" w:lineRule="auto"/>
        <w:jc w:val="both"/>
        <w:rPr>
          <w:b/>
          <w:bCs/>
          <w:color w:val="000000"/>
          <w:szCs w:val="24"/>
        </w:rPr>
      </w:pPr>
      <w:r>
        <w:rPr>
          <w:b/>
          <w:bCs/>
          <w:color w:val="000000"/>
          <w:szCs w:val="24"/>
        </w:rPr>
        <w:t>缺失数据处理：</w:t>
      </w:r>
    </w:p>
    <w:p w14:paraId="35FA1EE6">
      <w:pPr>
        <w:spacing w:line="360" w:lineRule="auto"/>
        <w:ind w:firstLine="480" w:firstLineChars="200"/>
        <w:rPr>
          <w:bCs/>
          <w:color w:val="000000"/>
          <w:szCs w:val="24"/>
        </w:rPr>
      </w:pPr>
      <w:r>
        <w:rPr>
          <w:lang w:val="zh-TW"/>
        </w:rPr>
        <w:t>可分析人群理论上均可同时获得INR101 PET/CT成像结果（“待评价方法”）和复合诊断结果（“真实性诊断标准”），可直接进行相关诊断指标的计算和分析。</w:t>
      </w:r>
      <w:r>
        <w:rPr>
          <w:rFonts w:hint="eastAsia" w:ascii="宋体" w:hAnsi="宋体" w:cs="宋体"/>
          <w:szCs w:val="24"/>
          <w:lang w:bidi="ar"/>
        </w:rPr>
        <w:t>其他次要指标和安全性指标的缺失数据不做填补处理。</w:t>
      </w:r>
    </w:p>
    <w:p w14:paraId="57802928">
      <w:pPr>
        <w:pStyle w:val="5"/>
        <w:numPr>
          <w:ilvl w:val="2"/>
          <w:numId w:val="35"/>
        </w:numPr>
        <w:spacing w:before="0" w:after="0" w:line="360" w:lineRule="auto"/>
        <w:ind w:left="0" w:firstLine="0"/>
        <w:jc w:val="both"/>
        <w:rPr>
          <w:sz w:val="24"/>
          <w:szCs w:val="24"/>
          <w:lang w:val="zh-TW" w:eastAsia="zh-TW"/>
        </w:rPr>
      </w:pPr>
      <w:bookmarkStart w:id="664" w:name="_Toc25744"/>
      <w:bookmarkStart w:id="665" w:name="_Toc21144"/>
      <w:bookmarkStart w:id="666" w:name="_Toc32497"/>
      <w:bookmarkStart w:id="667" w:name="_Toc183523054"/>
      <w:r>
        <w:rPr>
          <w:sz w:val="24"/>
          <w:szCs w:val="24"/>
          <w:lang w:val="zh-TW" w:eastAsia="zh-TW"/>
        </w:rPr>
        <w:t>安全性分析</w:t>
      </w:r>
      <w:bookmarkEnd w:id="664"/>
      <w:bookmarkEnd w:id="665"/>
      <w:bookmarkEnd w:id="666"/>
      <w:bookmarkEnd w:id="667"/>
    </w:p>
    <w:p w14:paraId="6AB7C7EF">
      <w:pPr>
        <w:pStyle w:val="89"/>
        <w:tabs>
          <w:tab w:val="left" w:pos="309"/>
        </w:tabs>
        <w:adjustRightInd w:val="0"/>
        <w:spacing w:line="360" w:lineRule="auto"/>
        <w:ind w:firstLine="480" w:firstLineChars="200"/>
        <w:contextualSpacing/>
        <w:rPr>
          <w:rFonts w:hAnsi="Times New Roman" w:eastAsia="宋体" w:cs="Times New Roman"/>
          <w:b/>
        </w:rPr>
      </w:pPr>
      <w:r>
        <w:rPr>
          <w:rFonts w:hAnsi="Times New Roman" w:eastAsia="宋体" w:cs="Times New Roman"/>
          <w:b/>
        </w:rPr>
        <w:t>不良事件：</w:t>
      </w:r>
    </w:p>
    <w:p w14:paraId="277E04F3">
      <w:pPr>
        <w:pStyle w:val="89"/>
        <w:tabs>
          <w:tab w:val="left" w:pos="309"/>
        </w:tabs>
        <w:adjustRightInd w:val="0"/>
        <w:spacing w:line="360" w:lineRule="auto"/>
        <w:ind w:firstLine="480" w:firstLineChars="200"/>
        <w:contextualSpacing/>
        <w:rPr>
          <w:rFonts w:hAnsi="Times New Roman" w:eastAsia="宋体" w:cs="Times New Roman"/>
        </w:rPr>
      </w:pPr>
      <w:r>
        <w:rPr>
          <w:rFonts w:hAnsi="Times New Roman" w:eastAsia="宋体" w:cs="Times New Roman"/>
        </w:rPr>
        <w:t>使用</w:t>
      </w:r>
      <w:r>
        <w:rPr>
          <w:rFonts w:hint="eastAsia" w:hAnsi="Times New Roman" w:eastAsia="宋体" w:cs="Times New Roman"/>
        </w:rPr>
        <w:t>最新版</w:t>
      </w:r>
      <w:r>
        <w:rPr>
          <w:rFonts w:hAnsi="Times New Roman" w:eastAsia="宋体" w:cs="Times New Roman"/>
        </w:rPr>
        <w:t>国际医学用语词典（MedDRA）编码不良事件。按系统器官分类（SOC）和首选术语（PT）总结不良事件、不良反应以及严重不良事件和严重不良反应等的发生例次、例数和发生率。</w:t>
      </w:r>
    </w:p>
    <w:p w14:paraId="2890B20D">
      <w:pPr>
        <w:pStyle w:val="89"/>
        <w:tabs>
          <w:tab w:val="left" w:pos="309"/>
        </w:tabs>
        <w:adjustRightInd w:val="0"/>
        <w:spacing w:line="360" w:lineRule="auto"/>
        <w:ind w:firstLine="480" w:firstLineChars="200"/>
        <w:contextualSpacing/>
        <w:rPr>
          <w:rFonts w:hAnsi="Times New Roman" w:eastAsia="宋体" w:cs="Times New Roman"/>
        </w:rPr>
      </w:pPr>
      <w:r>
        <w:rPr>
          <w:rFonts w:hAnsi="Times New Roman" w:eastAsia="宋体" w:cs="Times New Roman"/>
        </w:rPr>
        <w:t>全部不良事件的详情将以列表形式列出，包括不良事件名称、发生时间、结束时间、严重程度、是否为严重不良事件、是否导致退出研究、是否导致死亡、与试验用药品相关性、采取措施、转归等。</w:t>
      </w:r>
    </w:p>
    <w:p w14:paraId="520B530B">
      <w:pPr>
        <w:pStyle w:val="89"/>
        <w:tabs>
          <w:tab w:val="left" w:pos="309"/>
        </w:tabs>
        <w:adjustRightInd w:val="0"/>
        <w:spacing w:line="360" w:lineRule="auto"/>
        <w:ind w:firstLine="480" w:firstLineChars="200"/>
        <w:contextualSpacing/>
        <w:rPr>
          <w:rFonts w:hAnsi="Times New Roman" w:eastAsia="宋体" w:cs="Times New Roman"/>
        </w:rPr>
      </w:pPr>
      <w:r>
        <w:rPr>
          <w:rFonts w:hint="eastAsia" w:ascii="宋体" w:hAnsi="宋体" w:eastAsia="宋体" w:cs="宋体"/>
          <w:bCs/>
        </w:rPr>
        <w:t>汇总所有</w:t>
      </w:r>
      <w:r>
        <w:rPr>
          <w:rFonts w:hAnsi="Times New Roman" w:cs="Times New Roman"/>
          <w:bCs/>
        </w:rPr>
        <w:t xml:space="preserve">AE </w:t>
      </w:r>
      <w:r>
        <w:rPr>
          <w:rFonts w:hint="eastAsia" w:ascii="宋体" w:hAnsi="宋体" w:eastAsia="宋体" w:cs="宋体"/>
          <w:bCs/>
        </w:rPr>
        <w:t>、</w:t>
      </w:r>
      <w:r>
        <w:rPr>
          <w:rFonts w:hAnsi="Times New Roman" w:cs="Times New Roman"/>
          <w:bCs/>
        </w:rPr>
        <w:t>3</w:t>
      </w:r>
      <w:r>
        <w:rPr>
          <w:rFonts w:hint="eastAsia" w:ascii="宋体" w:hAnsi="宋体" w:eastAsia="宋体" w:cs="宋体"/>
          <w:bCs/>
        </w:rPr>
        <w:t>级及以上</w:t>
      </w:r>
      <w:r>
        <w:rPr>
          <w:rFonts w:hAnsi="Times New Roman" w:cs="Times New Roman"/>
          <w:bCs/>
        </w:rPr>
        <w:t>AE</w:t>
      </w:r>
      <w:r>
        <w:rPr>
          <w:rFonts w:hint="eastAsia" w:ascii="宋体" w:hAnsi="宋体" w:eastAsia="宋体" w:cs="宋体"/>
          <w:bCs/>
        </w:rPr>
        <w:t>、</w:t>
      </w:r>
      <w:r>
        <w:rPr>
          <w:rFonts w:hAnsi="Times New Roman" w:cs="Times New Roman"/>
          <w:bCs/>
        </w:rPr>
        <w:t>SAE</w:t>
      </w:r>
      <w:r>
        <w:rPr>
          <w:rFonts w:hint="eastAsia" w:ascii="宋体" w:hAnsi="宋体" w:eastAsia="宋体" w:cs="宋体"/>
          <w:bCs/>
        </w:rPr>
        <w:t>、导致暂停试验用药品</w:t>
      </w:r>
      <w:r>
        <w:rPr>
          <w:rFonts w:hAnsi="Times New Roman" w:cs="Times New Roman"/>
          <w:bCs/>
        </w:rPr>
        <w:t>AE</w:t>
      </w:r>
      <w:r>
        <w:rPr>
          <w:rFonts w:hint="eastAsia" w:ascii="宋体" w:hAnsi="宋体" w:eastAsia="宋体" w:cs="宋体"/>
          <w:bCs/>
        </w:rPr>
        <w:t>、导致退出试验</w:t>
      </w:r>
      <w:r>
        <w:rPr>
          <w:rFonts w:hAnsi="Times New Roman" w:cs="Times New Roman"/>
          <w:bCs/>
        </w:rPr>
        <w:t>AE</w:t>
      </w:r>
      <w:r>
        <w:rPr>
          <w:rFonts w:hint="eastAsia" w:ascii="宋体" w:hAnsi="宋体" w:eastAsia="宋体" w:cs="宋体"/>
          <w:bCs/>
        </w:rPr>
        <w:t>的发生例次、例数和发生率。将肯定有关、很可能有关、可能有关均列为药物不良反应（</w:t>
      </w:r>
      <w:r>
        <w:rPr>
          <w:rFonts w:hAnsi="Times New Roman" w:cs="Times New Roman"/>
          <w:bCs/>
        </w:rPr>
        <w:t>ADR</w:t>
      </w:r>
      <w:r>
        <w:rPr>
          <w:rFonts w:hint="eastAsia" w:ascii="宋体" w:hAnsi="宋体" w:eastAsia="宋体" w:cs="宋体"/>
          <w:bCs/>
        </w:rPr>
        <w:t>），汇总所有不良反应、</w:t>
      </w:r>
      <w:r>
        <w:rPr>
          <w:rFonts w:hAnsi="Times New Roman" w:cs="Times New Roman"/>
          <w:bCs/>
        </w:rPr>
        <w:t>3</w:t>
      </w:r>
      <w:r>
        <w:rPr>
          <w:rFonts w:hint="eastAsia" w:ascii="宋体" w:hAnsi="宋体" w:eastAsia="宋体" w:cs="宋体"/>
          <w:bCs/>
        </w:rPr>
        <w:t>级及以上不良反应、严重不良反应、导致退出试验不良反应的发生例次、例数和发生率。对编码后的</w:t>
      </w:r>
      <w:r>
        <w:rPr>
          <w:rFonts w:hAnsi="Times New Roman" w:cs="Times New Roman"/>
          <w:bCs/>
        </w:rPr>
        <w:t>AE/ADR</w:t>
      </w:r>
      <w:r>
        <w:rPr>
          <w:rFonts w:hint="eastAsia" w:ascii="宋体" w:hAnsi="宋体" w:eastAsia="宋体" w:cs="宋体"/>
          <w:bCs/>
        </w:rPr>
        <w:t>，按</w:t>
      </w:r>
      <w:r>
        <w:rPr>
          <w:rFonts w:hAnsi="Times New Roman" w:cs="Times New Roman"/>
          <w:bCs/>
        </w:rPr>
        <w:t>SOC</w:t>
      </w:r>
      <w:r>
        <w:rPr>
          <w:rFonts w:hint="eastAsia" w:ascii="宋体" w:hAnsi="宋体" w:eastAsia="宋体" w:cs="宋体"/>
          <w:bCs/>
        </w:rPr>
        <w:t>和</w:t>
      </w:r>
      <w:r>
        <w:rPr>
          <w:rFonts w:hAnsi="Times New Roman" w:cs="Times New Roman"/>
          <w:bCs/>
        </w:rPr>
        <w:t>PT</w:t>
      </w:r>
      <w:r>
        <w:rPr>
          <w:rFonts w:hint="eastAsia" w:ascii="宋体" w:hAnsi="宋体" w:eastAsia="宋体" w:cs="宋体"/>
          <w:bCs/>
        </w:rPr>
        <w:t>汇总各系统的发生例次、例数和发生率。列出全部不良事件与严重不良事件、不良反应的清单。</w:t>
      </w:r>
    </w:p>
    <w:p w14:paraId="177DC14A">
      <w:pPr>
        <w:pStyle w:val="89"/>
        <w:tabs>
          <w:tab w:val="left" w:pos="309"/>
        </w:tabs>
        <w:adjustRightInd w:val="0"/>
        <w:spacing w:line="360" w:lineRule="auto"/>
        <w:ind w:firstLine="480" w:firstLineChars="200"/>
        <w:contextualSpacing/>
        <w:rPr>
          <w:rFonts w:hAnsi="Times New Roman" w:eastAsia="宋体" w:cs="Times New Roman"/>
          <w:b/>
        </w:rPr>
      </w:pPr>
      <w:r>
        <w:rPr>
          <w:rFonts w:hAnsi="Times New Roman" w:eastAsia="宋体" w:cs="Times New Roman"/>
          <w:b/>
        </w:rPr>
        <w:t>实验室检查：</w:t>
      </w:r>
    </w:p>
    <w:p w14:paraId="4E6CE3C3">
      <w:pPr>
        <w:pStyle w:val="89"/>
        <w:tabs>
          <w:tab w:val="left" w:pos="309"/>
        </w:tabs>
        <w:adjustRightInd w:val="0"/>
        <w:spacing w:line="360" w:lineRule="auto"/>
        <w:ind w:firstLine="480" w:firstLineChars="200"/>
        <w:contextualSpacing/>
        <w:rPr>
          <w:rFonts w:hAnsi="Times New Roman" w:eastAsia="宋体" w:cs="Times New Roman"/>
        </w:rPr>
      </w:pPr>
      <w:r>
        <w:rPr>
          <w:rFonts w:hAnsi="Times New Roman" w:eastAsia="宋体" w:cs="Times New Roman"/>
        </w:rPr>
        <w:t>以交叉表形式汇总分析给药前后实验室检查临床意义的变化。</w:t>
      </w:r>
    </w:p>
    <w:p w14:paraId="426A8C4D">
      <w:pPr>
        <w:pStyle w:val="89"/>
        <w:tabs>
          <w:tab w:val="left" w:pos="309"/>
        </w:tabs>
        <w:adjustRightInd w:val="0"/>
        <w:spacing w:line="360" w:lineRule="auto"/>
        <w:ind w:firstLine="480" w:firstLineChars="200"/>
        <w:contextualSpacing/>
        <w:rPr>
          <w:rFonts w:hAnsi="Times New Roman" w:eastAsia="宋体" w:cs="Times New Roman"/>
        </w:rPr>
      </w:pPr>
      <w:r>
        <w:rPr>
          <w:rFonts w:hAnsi="Times New Roman" w:eastAsia="宋体" w:cs="Times New Roman"/>
        </w:rPr>
        <w:t>列出实验室检查异常</w:t>
      </w:r>
      <w:r>
        <w:rPr>
          <w:rFonts w:hint="eastAsia" w:hAnsi="Times New Roman" w:eastAsia="宋体" w:cs="Times New Roman"/>
        </w:rPr>
        <w:t>受试者</w:t>
      </w:r>
      <w:r>
        <w:rPr>
          <w:rFonts w:hAnsi="Times New Roman" w:eastAsia="宋体" w:cs="Times New Roman"/>
        </w:rPr>
        <w:t>的详细信息。</w:t>
      </w:r>
    </w:p>
    <w:p w14:paraId="0C95455C">
      <w:pPr>
        <w:pStyle w:val="89"/>
        <w:tabs>
          <w:tab w:val="left" w:pos="309"/>
        </w:tabs>
        <w:adjustRightInd w:val="0"/>
        <w:spacing w:line="360" w:lineRule="auto"/>
        <w:ind w:firstLine="480" w:firstLineChars="200"/>
        <w:contextualSpacing/>
        <w:rPr>
          <w:rFonts w:hAnsi="Times New Roman" w:eastAsia="宋体" w:cs="Times New Roman"/>
          <w:b/>
        </w:rPr>
      </w:pPr>
      <w:r>
        <w:rPr>
          <w:rFonts w:hAnsi="Times New Roman" w:eastAsia="宋体" w:cs="Times New Roman"/>
          <w:b/>
        </w:rPr>
        <w:t>12导联心电图：</w:t>
      </w:r>
    </w:p>
    <w:p w14:paraId="559296AA">
      <w:pPr>
        <w:pStyle w:val="89"/>
        <w:tabs>
          <w:tab w:val="left" w:pos="309"/>
        </w:tabs>
        <w:adjustRightInd w:val="0"/>
        <w:spacing w:line="360" w:lineRule="auto"/>
        <w:ind w:firstLine="480" w:firstLineChars="200"/>
        <w:contextualSpacing/>
        <w:rPr>
          <w:rFonts w:hAnsi="Times New Roman" w:eastAsia="宋体" w:cs="Times New Roman"/>
        </w:rPr>
      </w:pPr>
      <w:r>
        <w:rPr>
          <w:rFonts w:hAnsi="Times New Roman" w:eastAsia="宋体" w:cs="Times New Roman"/>
        </w:rPr>
        <w:t>参考一般原则描述各访视心电图及相对基线的变化情况。以交叉表形式汇总分析给药前后心电图临床意义的变化。</w:t>
      </w:r>
    </w:p>
    <w:p w14:paraId="73AAD318">
      <w:pPr>
        <w:pStyle w:val="89"/>
        <w:tabs>
          <w:tab w:val="left" w:pos="309"/>
        </w:tabs>
        <w:adjustRightInd w:val="0"/>
        <w:spacing w:line="360" w:lineRule="auto"/>
        <w:ind w:firstLine="480" w:firstLineChars="200"/>
        <w:contextualSpacing/>
        <w:rPr>
          <w:rFonts w:hAnsi="Times New Roman" w:eastAsia="宋体" w:cs="Times New Roman"/>
        </w:rPr>
      </w:pPr>
      <w:r>
        <w:rPr>
          <w:rFonts w:hAnsi="Times New Roman" w:eastAsia="宋体" w:cs="Times New Roman"/>
        </w:rPr>
        <w:t>列出心电图检查异常</w:t>
      </w:r>
      <w:r>
        <w:rPr>
          <w:rFonts w:hint="eastAsia" w:hAnsi="Times New Roman" w:eastAsia="宋体" w:cs="Times New Roman"/>
        </w:rPr>
        <w:t>受试者</w:t>
      </w:r>
      <w:r>
        <w:rPr>
          <w:rFonts w:hAnsi="Times New Roman" w:eastAsia="宋体" w:cs="Times New Roman"/>
        </w:rPr>
        <w:t>的详细信息。</w:t>
      </w:r>
    </w:p>
    <w:p w14:paraId="7B7129AA">
      <w:pPr>
        <w:pStyle w:val="89"/>
        <w:tabs>
          <w:tab w:val="left" w:pos="309"/>
        </w:tabs>
        <w:adjustRightInd w:val="0"/>
        <w:spacing w:line="360" w:lineRule="auto"/>
        <w:ind w:firstLine="480" w:firstLineChars="200"/>
        <w:contextualSpacing/>
        <w:rPr>
          <w:rFonts w:hAnsi="Times New Roman" w:eastAsia="宋体" w:cs="Times New Roman"/>
          <w:b/>
        </w:rPr>
      </w:pPr>
      <w:r>
        <w:rPr>
          <w:rFonts w:hAnsi="Times New Roman" w:eastAsia="宋体" w:cs="Times New Roman"/>
          <w:b/>
        </w:rPr>
        <w:t>生命体征：</w:t>
      </w:r>
    </w:p>
    <w:p w14:paraId="3F5858F7">
      <w:pPr>
        <w:pStyle w:val="89"/>
        <w:tabs>
          <w:tab w:val="left" w:pos="309"/>
        </w:tabs>
        <w:adjustRightInd w:val="0"/>
        <w:spacing w:line="360" w:lineRule="auto"/>
        <w:ind w:firstLine="480" w:firstLineChars="200"/>
        <w:contextualSpacing/>
        <w:rPr>
          <w:rFonts w:hAnsi="Times New Roman" w:eastAsia="宋体" w:cs="Times New Roman"/>
        </w:rPr>
      </w:pPr>
      <w:r>
        <w:rPr>
          <w:rFonts w:hAnsi="Times New Roman" w:eastAsia="宋体" w:cs="Times New Roman"/>
        </w:rPr>
        <w:t>参考一般原则描述各访视各生命体征指标的测量值及相对基线的变化情况。</w:t>
      </w:r>
    </w:p>
    <w:p w14:paraId="3B59DF76">
      <w:pPr>
        <w:pStyle w:val="89"/>
        <w:tabs>
          <w:tab w:val="left" w:pos="309"/>
        </w:tabs>
        <w:adjustRightInd w:val="0"/>
        <w:spacing w:line="360" w:lineRule="auto"/>
        <w:ind w:firstLine="480" w:firstLineChars="200"/>
        <w:contextualSpacing/>
        <w:rPr>
          <w:rFonts w:hAnsi="Times New Roman" w:eastAsia="宋体" w:cs="Times New Roman"/>
        </w:rPr>
      </w:pPr>
      <w:r>
        <w:rPr>
          <w:rFonts w:hAnsi="Times New Roman" w:eastAsia="宋体" w:cs="Times New Roman"/>
        </w:rPr>
        <w:t>以交叉表形式汇总分析给药前后生命体征临床意义的变化。</w:t>
      </w:r>
    </w:p>
    <w:p w14:paraId="01DE82A5">
      <w:pPr>
        <w:pStyle w:val="89"/>
        <w:tabs>
          <w:tab w:val="left" w:pos="309"/>
        </w:tabs>
        <w:adjustRightInd w:val="0"/>
        <w:spacing w:line="360" w:lineRule="auto"/>
        <w:ind w:firstLine="480" w:firstLineChars="200"/>
        <w:contextualSpacing/>
        <w:rPr>
          <w:rFonts w:hAnsi="Times New Roman" w:eastAsia="宋体" w:cs="Times New Roman"/>
        </w:rPr>
      </w:pPr>
      <w:r>
        <w:rPr>
          <w:rFonts w:hAnsi="Times New Roman" w:eastAsia="宋体" w:cs="Times New Roman"/>
        </w:rPr>
        <w:t>列出生命体征异常</w:t>
      </w:r>
      <w:r>
        <w:rPr>
          <w:rFonts w:hint="eastAsia" w:hAnsi="Times New Roman" w:eastAsia="宋体" w:cs="Times New Roman"/>
        </w:rPr>
        <w:t>受试者</w:t>
      </w:r>
      <w:r>
        <w:rPr>
          <w:rFonts w:hAnsi="Times New Roman" w:eastAsia="宋体" w:cs="Times New Roman"/>
        </w:rPr>
        <w:t>的详细信息。</w:t>
      </w:r>
    </w:p>
    <w:p w14:paraId="5046A013">
      <w:pPr>
        <w:pStyle w:val="89"/>
        <w:tabs>
          <w:tab w:val="left" w:pos="309"/>
        </w:tabs>
        <w:adjustRightInd w:val="0"/>
        <w:spacing w:line="360" w:lineRule="auto"/>
        <w:ind w:firstLine="480" w:firstLineChars="200"/>
        <w:contextualSpacing/>
        <w:rPr>
          <w:rFonts w:hAnsi="Times New Roman" w:eastAsia="宋体" w:cs="Times New Roman"/>
          <w:b/>
          <w:bCs/>
        </w:rPr>
      </w:pPr>
      <w:r>
        <w:rPr>
          <w:rFonts w:hAnsi="Times New Roman" w:eastAsia="宋体" w:cs="Times New Roman"/>
          <w:b/>
          <w:bCs/>
        </w:rPr>
        <w:t>体格检查：</w:t>
      </w:r>
    </w:p>
    <w:p w14:paraId="4077D238">
      <w:pPr>
        <w:pStyle w:val="89"/>
        <w:tabs>
          <w:tab w:val="left" w:pos="309"/>
        </w:tabs>
        <w:adjustRightInd w:val="0"/>
        <w:spacing w:line="360" w:lineRule="auto"/>
        <w:ind w:firstLine="480" w:firstLineChars="200"/>
        <w:contextualSpacing/>
        <w:rPr>
          <w:rFonts w:hAnsi="Times New Roman" w:eastAsia="宋体" w:cs="Times New Roman"/>
        </w:rPr>
      </w:pPr>
      <w:r>
        <w:rPr>
          <w:rFonts w:hAnsi="Times New Roman" w:eastAsia="宋体" w:cs="Times New Roman"/>
        </w:rPr>
        <w:t>以交叉表形式汇总分析给药前后体格检查的临床意义的变化。</w:t>
      </w:r>
    </w:p>
    <w:p w14:paraId="4FC88C9A">
      <w:pPr>
        <w:spacing w:line="360" w:lineRule="auto"/>
        <w:ind w:firstLine="480" w:firstLineChars="200"/>
        <w:jc w:val="both"/>
      </w:pPr>
      <w:r>
        <w:t>列出体格检查异常</w:t>
      </w:r>
      <w:r>
        <w:rPr>
          <w:rFonts w:hint="eastAsia"/>
        </w:rPr>
        <w:t>受试者</w:t>
      </w:r>
      <w:r>
        <w:t>的详细信息。</w:t>
      </w:r>
    </w:p>
    <w:p w14:paraId="5BC6DD1D">
      <w:pPr>
        <w:spacing w:line="360" w:lineRule="auto"/>
        <w:ind w:firstLine="480" w:firstLineChars="200"/>
        <w:rPr>
          <w:lang w:val="zh-TW"/>
        </w:rPr>
      </w:pPr>
      <w:r>
        <w:t>各部分具体分析内容和详细统计分析方法可以参见SAP。</w:t>
      </w:r>
    </w:p>
    <w:p w14:paraId="771D9452">
      <w:pPr>
        <w:pStyle w:val="5"/>
        <w:numPr>
          <w:ilvl w:val="2"/>
          <w:numId w:val="35"/>
        </w:numPr>
        <w:spacing w:before="0" w:after="0" w:line="360" w:lineRule="auto"/>
        <w:ind w:left="0" w:firstLine="0"/>
        <w:jc w:val="both"/>
        <w:rPr>
          <w:sz w:val="24"/>
          <w:szCs w:val="24"/>
          <w:lang w:val="zh-TW" w:eastAsia="zh-TW"/>
        </w:rPr>
      </w:pPr>
      <w:bookmarkStart w:id="668" w:name="_Toc183523055"/>
      <w:bookmarkStart w:id="669" w:name="_Toc7643"/>
      <w:bookmarkStart w:id="670" w:name="_Toc13301"/>
      <w:bookmarkStart w:id="671" w:name="_Toc5531"/>
      <w:r>
        <w:rPr>
          <w:sz w:val="24"/>
          <w:szCs w:val="24"/>
          <w:lang w:val="zh-TW" w:eastAsia="zh-TW"/>
        </w:rPr>
        <w:t>期中分析</w:t>
      </w:r>
      <w:bookmarkEnd w:id="668"/>
      <w:bookmarkEnd w:id="669"/>
      <w:bookmarkEnd w:id="670"/>
      <w:bookmarkEnd w:id="671"/>
    </w:p>
    <w:p w14:paraId="44D0187B">
      <w:pPr>
        <w:spacing w:line="360" w:lineRule="auto"/>
        <w:ind w:firstLine="480" w:firstLineChars="200"/>
        <w:rPr>
          <w:lang w:val="zh-TW" w:eastAsia="zh-TW"/>
        </w:rPr>
      </w:pPr>
      <w:r>
        <w:rPr>
          <w:lang w:val="zh-TW" w:eastAsia="zh-TW"/>
        </w:rPr>
        <w:t>不适用。</w:t>
      </w:r>
    </w:p>
    <w:p w14:paraId="7E4808E9">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672" w:name="_Toc29562"/>
      <w:bookmarkStart w:id="673" w:name="_Toc183523056"/>
      <w:bookmarkStart w:id="674" w:name="_Toc30152"/>
      <w:bookmarkStart w:id="675" w:name="_Toc29859"/>
      <w:r>
        <w:rPr>
          <w:rFonts w:ascii="Times New Roman" w:hAnsi="Times New Roman" w:eastAsia="宋体"/>
          <w:sz w:val="24"/>
          <w:szCs w:val="24"/>
          <w:lang w:val="zh-TW" w:eastAsia="zh-TW"/>
        </w:rPr>
        <w:t>样本量确定</w:t>
      </w:r>
      <w:bookmarkEnd w:id="672"/>
      <w:bookmarkEnd w:id="673"/>
      <w:bookmarkEnd w:id="674"/>
      <w:bookmarkEnd w:id="675"/>
    </w:p>
    <w:p w14:paraId="2C8AD7DE">
      <w:pPr>
        <w:pStyle w:val="3"/>
        <w:tabs>
          <w:tab w:val="left" w:pos="0"/>
          <w:tab w:val="left" w:pos="909"/>
        </w:tabs>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lang w:eastAsia="zh-TW"/>
        </w:rPr>
        <w:t>具体样本量见第</w:t>
      </w:r>
      <w:r>
        <w:rPr>
          <w:rFonts w:ascii="Times New Roman" w:hAnsi="Times New Roman" w:cs="Times New Roman"/>
          <w:color w:val="0000FF"/>
          <w:sz w:val="24"/>
          <w:szCs w:val="24"/>
        </w:rPr>
        <w:fldChar w:fldCharType="begin"/>
      </w:r>
      <w:r>
        <w:rPr>
          <w:rFonts w:ascii="Times New Roman" w:hAnsi="Times New Roman" w:cs="Times New Roman"/>
          <w:color w:val="auto"/>
          <w:sz w:val="24"/>
          <w:szCs w:val="24"/>
          <w:lang w:eastAsia="zh-TW"/>
        </w:rPr>
        <w:instrText xml:space="preserve"> REF _Ref130896546 \r \h </w:instrText>
      </w:r>
      <w:r>
        <w:rPr>
          <w:rFonts w:ascii="Times New Roman" w:hAnsi="Times New Roman" w:cs="Times New Roman"/>
          <w:color w:val="0000FF"/>
          <w:sz w:val="24"/>
          <w:szCs w:val="24"/>
        </w:rPr>
        <w:instrText xml:space="preserve"> \* MERGEFORMAT </w:instrText>
      </w:r>
      <w:r>
        <w:rPr>
          <w:rFonts w:ascii="Times New Roman" w:hAnsi="Times New Roman" w:cs="Times New Roman"/>
          <w:color w:val="0000FF"/>
          <w:sz w:val="24"/>
          <w:szCs w:val="24"/>
        </w:rPr>
        <w:fldChar w:fldCharType="separate"/>
      </w:r>
      <w:r>
        <w:rPr>
          <w:rFonts w:ascii="Times New Roman" w:hAnsi="Times New Roman" w:cs="Times New Roman"/>
          <w:color w:val="auto"/>
          <w:sz w:val="24"/>
          <w:szCs w:val="24"/>
          <w:lang w:eastAsia="zh-TW"/>
        </w:rPr>
        <w:t>4.3.5</w:t>
      </w:r>
      <w:r>
        <w:rPr>
          <w:rFonts w:ascii="Times New Roman" w:hAnsi="Times New Roman" w:cs="Times New Roman"/>
          <w:color w:val="0000FF"/>
          <w:sz w:val="24"/>
          <w:szCs w:val="24"/>
        </w:rPr>
        <w:fldChar w:fldCharType="end"/>
      </w:r>
      <w:r>
        <w:rPr>
          <w:rFonts w:ascii="Times New Roman" w:hAnsi="Times New Roman" w:cs="Times New Roman"/>
          <w:color w:val="auto"/>
          <w:sz w:val="24"/>
          <w:szCs w:val="24"/>
        </w:rPr>
        <w:t>节。</w:t>
      </w:r>
    </w:p>
    <w:p w14:paraId="658837FD">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676" w:name="_Toc183523057"/>
      <w:bookmarkStart w:id="677" w:name="_Toc27706"/>
      <w:bookmarkStart w:id="678" w:name="_Toc27701"/>
      <w:bookmarkStart w:id="679" w:name="_Toc12421"/>
      <w:r>
        <w:rPr>
          <w:rFonts w:ascii="Times New Roman" w:hAnsi="Times New Roman" w:eastAsia="宋体"/>
          <w:sz w:val="24"/>
          <w:szCs w:val="24"/>
          <w:lang w:val="zh-TW" w:eastAsia="zh-TW"/>
        </w:rPr>
        <w:t>方案偏离</w:t>
      </w:r>
      <w:bookmarkEnd w:id="676"/>
      <w:bookmarkEnd w:id="677"/>
      <w:bookmarkEnd w:id="678"/>
      <w:bookmarkEnd w:id="679"/>
    </w:p>
    <w:p w14:paraId="35D8C4AB">
      <w:pPr>
        <w:pStyle w:val="3"/>
        <w:spacing w:line="360" w:lineRule="auto"/>
        <w:ind w:firstLine="480" w:firstLineChars="200"/>
        <w:rPr>
          <w:rFonts w:ascii="Times New Roman" w:hAnsi="Times New Roman" w:cs="Times New Roman"/>
          <w:color w:val="auto"/>
          <w:sz w:val="24"/>
          <w:szCs w:val="24"/>
          <w:lang w:val="zh-TW" w:eastAsia="zh-TW"/>
        </w:rPr>
      </w:pPr>
      <w:r>
        <w:rPr>
          <w:rFonts w:ascii="Times New Roman" w:hAnsi="Times New Roman" w:cs="Times New Roman"/>
          <w:color w:val="auto"/>
          <w:sz w:val="24"/>
          <w:szCs w:val="24"/>
          <w:lang w:val="zh-TW"/>
        </w:rPr>
        <w:t>研究方案中规定的所有要求，必须严格执行。任何有意或无意偏离试验方案和GCP的行为，均可归类为方案偏离，所有方案偏离均应进行记录。当发生重大方案偏离时，应进行评估</w:t>
      </w:r>
      <w:r>
        <w:rPr>
          <w:rFonts w:hint="eastAsia" w:ascii="Times New Roman" w:hAnsi="Times New Roman" w:cs="Times New Roman"/>
          <w:color w:val="auto"/>
          <w:sz w:val="24"/>
          <w:szCs w:val="24"/>
          <w:lang w:val="zh-TW"/>
        </w:rPr>
        <w:t>，并采取适当的纠正和预防措施</w:t>
      </w:r>
      <w:r>
        <w:rPr>
          <w:rFonts w:ascii="Times New Roman" w:hAnsi="Times New Roman" w:cs="Times New Roman"/>
          <w:color w:val="auto"/>
          <w:sz w:val="24"/>
          <w:szCs w:val="24"/>
          <w:lang w:val="zh-TW"/>
        </w:rPr>
        <w:t>。</w:t>
      </w:r>
      <w:r>
        <w:rPr>
          <w:rFonts w:ascii="Times New Roman" w:hAnsi="Times New Roman" w:cs="Times New Roman"/>
          <w:color w:val="auto"/>
          <w:sz w:val="24"/>
          <w:szCs w:val="24"/>
          <w:lang w:val="zh-TW" w:eastAsia="zh-TW"/>
        </w:rPr>
        <w:t>必要时，申办者可以提前终止本研究。</w:t>
      </w:r>
    </w:p>
    <w:p w14:paraId="57FDB334">
      <w:pPr>
        <w:pStyle w:val="2"/>
        <w:numPr>
          <w:ilvl w:val="0"/>
          <w:numId w:val="5"/>
        </w:numPr>
        <w:ind w:left="0" w:firstLine="0"/>
        <w:rPr>
          <w:rFonts w:ascii="Times New Roman" w:hAnsi="Times New Roman"/>
          <w:color w:val="auto"/>
          <w:szCs w:val="24"/>
        </w:rPr>
      </w:pPr>
      <w:bookmarkStart w:id="680" w:name="_Toc183523058"/>
      <w:bookmarkStart w:id="681" w:name="_Toc15967"/>
      <w:bookmarkStart w:id="682" w:name="_Toc12632"/>
      <w:bookmarkStart w:id="683" w:name="_Toc9004"/>
      <w:r>
        <w:rPr>
          <w:rFonts w:ascii="Times New Roman" w:hAnsi="Times New Roman"/>
          <w:color w:val="auto"/>
          <w:szCs w:val="24"/>
        </w:rPr>
        <w:t>一般考虑：监管、伦理和试验监督</w:t>
      </w:r>
      <w:bookmarkEnd w:id="680"/>
      <w:bookmarkEnd w:id="681"/>
      <w:bookmarkEnd w:id="682"/>
      <w:bookmarkEnd w:id="683"/>
    </w:p>
    <w:p w14:paraId="3AD0BEFD">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684" w:name="_Toc5137"/>
      <w:bookmarkStart w:id="685" w:name="_Toc21057"/>
      <w:bookmarkStart w:id="686" w:name="_Toc2497"/>
      <w:bookmarkStart w:id="687" w:name="_Toc183523059"/>
      <w:r>
        <w:rPr>
          <w:rFonts w:ascii="Times New Roman" w:hAnsi="Times New Roman" w:eastAsia="宋体"/>
          <w:sz w:val="24"/>
          <w:szCs w:val="24"/>
          <w:lang w:val="zh-TW" w:eastAsia="zh-TW"/>
        </w:rPr>
        <w:t>监管和伦理考虑</w:t>
      </w:r>
      <w:bookmarkEnd w:id="684"/>
      <w:bookmarkEnd w:id="685"/>
      <w:bookmarkEnd w:id="686"/>
      <w:bookmarkEnd w:id="687"/>
    </w:p>
    <w:p w14:paraId="753BB55E">
      <w:pPr>
        <w:spacing w:line="360" w:lineRule="auto"/>
        <w:ind w:firstLine="480" w:firstLineChars="200"/>
        <w:jc w:val="both"/>
        <w:rPr>
          <w:lang w:val="zh-TW"/>
        </w:rPr>
      </w:pPr>
      <w:r>
        <w:rPr>
          <w:lang w:val="zh-TW"/>
        </w:rPr>
        <w:t>在试验开始之前，必须获得</w:t>
      </w:r>
      <w:r>
        <w:t>伦理委员会</w:t>
      </w:r>
      <w:r>
        <w:rPr>
          <w:lang w:val="zh-TW"/>
        </w:rPr>
        <w:t>批准，方可开始本项研究。本临床试验必须遵循《赫尔辛基宣言》（</w:t>
      </w:r>
      <w:r>
        <w:t>2024年10月</w:t>
      </w:r>
      <w:r>
        <w:rPr>
          <w:lang w:val="zh-TW"/>
        </w:rPr>
        <w:t>）、</w:t>
      </w:r>
      <w:bookmarkStart w:id="688" w:name="_Hlk117404125"/>
      <w:r>
        <w:t>GCP</w:t>
      </w:r>
      <w:bookmarkEnd w:id="688"/>
      <w:r>
        <w:rPr>
          <w:lang w:val="zh-TW"/>
        </w:rPr>
        <w:t>以及相关的法规要求。</w:t>
      </w:r>
    </w:p>
    <w:p w14:paraId="0EA9BF9A">
      <w:pPr>
        <w:spacing w:line="360" w:lineRule="auto"/>
        <w:ind w:firstLine="480" w:firstLineChars="200"/>
        <w:jc w:val="both"/>
        <w:rPr>
          <w:b/>
          <w:bCs/>
          <w:lang w:val="zh-TW" w:eastAsia="zh-TW"/>
        </w:rPr>
      </w:pPr>
      <w:r>
        <w:rPr>
          <w:b/>
          <w:bCs/>
          <w:lang w:val="zh-TW" w:eastAsia="zh-TW"/>
        </w:rPr>
        <w:t>研究者职责</w:t>
      </w:r>
    </w:p>
    <w:p w14:paraId="21283284">
      <w:pPr>
        <w:pStyle w:val="122"/>
        <w:numPr>
          <w:ilvl w:val="0"/>
          <w:numId w:val="37"/>
        </w:numPr>
        <w:spacing w:line="360" w:lineRule="auto"/>
        <w:ind w:firstLineChars="0"/>
        <w:jc w:val="both"/>
        <w:rPr>
          <w:lang w:val="zh-TW"/>
        </w:rPr>
      </w:pPr>
      <w:r>
        <w:rPr>
          <w:lang w:val="zh-TW"/>
        </w:rPr>
        <w:t>熟悉并遵守本方案及GCP等临床试验相关的法律法规；</w:t>
      </w:r>
    </w:p>
    <w:p w14:paraId="1E26B4F1">
      <w:pPr>
        <w:pStyle w:val="122"/>
        <w:numPr>
          <w:ilvl w:val="0"/>
          <w:numId w:val="37"/>
        </w:numPr>
        <w:spacing w:line="360" w:lineRule="auto"/>
        <w:ind w:firstLineChars="0"/>
        <w:jc w:val="both"/>
        <w:rPr>
          <w:lang w:val="zh-TW"/>
        </w:rPr>
      </w:pPr>
      <w:r>
        <w:rPr>
          <w:lang w:val="zh-TW"/>
        </w:rPr>
        <w:t>研究者应当给予受试者适合的医疗处理；</w:t>
      </w:r>
    </w:p>
    <w:p w14:paraId="4DF843DD">
      <w:pPr>
        <w:pStyle w:val="122"/>
        <w:numPr>
          <w:ilvl w:val="0"/>
          <w:numId w:val="37"/>
        </w:numPr>
        <w:spacing w:line="360" w:lineRule="auto"/>
        <w:ind w:firstLineChars="0"/>
        <w:jc w:val="both"/>
        <w:rPr>
          <w:lang w:val="zh-TW"/>
        </w:rPr>
      </w:pPr>
      <w:r>
        <w:rPr>
          <w:lang w:val="zh-TW"/>
        </w:rPr>
        <w:t>研究者应与伦理委员会沟通；</w:t>
      </w:r>
    </w:p>
    <w:p w14:paraId="4850459C">
      <w:pPr>
        <w:pStyle w:val="122"/>
        <w:numPr>
          <w:ilvl w:val="0"/>
          <w:numId w:val="37"/>
        </w:numPr>
        <w:spacing w:line="360" w:lineRule="auto"/>
        <w:ind w:firstLineChars="0"/>
        <w:jc w:val="both"/>
        <w:rPr>
          <w:lang w:val="zh-TW"/>
        </w:rPr>
      </w:pPr>
      <w:r>
        <w:rPr>
          <w:lang w:val="zh-TW"/>
        </w:rPr>
        <w:t>研究者和临床试验机构对申办者提供的试验用药品有管理责任；</w:t>
      </w:r>
    </w:p>
    <w:p w14:paraId="4A8B40B9">
      <w:pPr>
        <w:pStyle w:val="122"/>
        <w:numPr>
          <w:ilvl w:val="0"/>
          <w:numId w:val="37"/>
        </w:numPr>
        <w:spacing w:line="360" w:lineRule="auto"/>
        <w:ind w:firstLineChars="0"/>
        <w:jc w:val="both"/>
        <w:rPr>
          <w:lang w:val="zh-TW"/>
        </w:rPr>
      </w:pPr>
      <w:r>
        <w:rPr>
          <w:lang w:val="zh-TW"/>
        </w:rPr>
        <w:t>研究者实施知情同意，应当遵守赫尔辛基宣言的伦理原则；</w:t>
      </w:r>
    </w:p>
    <w:p w14:paraId="5B3EC4E2">
      <w:pPr>
        <w:pStyle w:val="122"/>
        <w:numPr>
          <w:ilvl w:val="0"/>
          <w:numId w:val="37"/>
        </w:numPr>
        <w:spacing w:line="360" w:lineRule="auto"/>
        <w:ind w:firstLineChars="0"/>
        <w:jc w:val="both"/>
        <w:rPr>
          <w:lang w:val="zh-TW"/>
        </w:rPr>
      </w:pPr>
      <w:r>
        <w:rPr>
          <w:lang w:val="zh-TW"/>
        </w:rPr>
        <w:t>研究者应当提供试验进展报告；</w:t>
      </w:r>
    </w:p>
    <w:p w14:paraId="1213FD7A">
      <w:pPr>
        <w:pStyle w:val="122"/>
        <w:numPr>
          <w:ilvl w:val="0"/>
          <w:numId w:val="37"/>
        </w:numPr>
        <w:spacing w:line="360" w:lineRule="auto"/>
        <w:ind w:firstLineChars="0"/>
        <w:jc w:val="both"/>
        <w:rPr>
          <w:lang w:val="zh-TW"/>
        </w:rPr>
      </w:pPr>
      <w:r>
        <w:rPr>
          <w:lang w:val="zh-TW"/>
        </w:rPr>
        <w:t>其他相关法律法规中规定需研究者履行的职责等。</w:t>
      </w:r>
    </w:p>
    <w:p w14:paraId="23EFEFF6">
      <w:pPr>
        <w:spacing w:line="360" w:lineRule="auto"/>
        <w:ind w:firstLine="480" w:firstLineChars="200"/>
        <w:jc w:val="both"/>
        <w:rPr>
          <w:b/>
          <w:bCs/>
          <w:lang w:val="zh-TW" w:eastAsia="zh-TW"/>
        </w:rPr>
      </w:pPr>
      <w:r>
        <w:rPr>
          <w:b/>
          <w:bCs/>
          <w:lang w:val="zh-TW" w:eastAsia="zh-TW"/>
        </w:rPr>
        <w:t>申办者职责</w:t>
      </w:r>
    </w:p>
    <w:p w14:paraId="46D58483">
      <w:pPr>
        <w:pStyle w:val="122"/>
        <w:numPr>
          <w:ilvl w:val="0"/>
          <w:numId w:val="37"/>
        </w:numPr>
        <w:spacing w:line="360" w:lineRule="auto"/>
        <w:ind w:firstLineChars="0"/>
        <w:jc w:val="both"/>
        <w:rPr>
          <w:lang w:val="zh-TW"/>
        </w:rPr>
      </w:pPr>
      <w:r>
        <w:rPr>
          <w:lang w:val="zh-TW"/>
        </w:rPr>
        <w:t>申办者应当建立临床试验的质量管理体系；</w:t>
      </w:r>
    </w:p>
    <w:p w14:paraId="08496EC2">
      <w:pPr>
        <w:pStyle w:val="122"/>
        <w:numPr>
          <w:ilvl w:val="0"/>
          <w:numId w:val="37"/>
        </w:numPr>
        <w:spacing w:line="360" w:lineRule="auto"/>
        <w:ind w:firstLineChars="0"/>
        <w:jc w:val="both"/>
        <w:rPr>
          <w:lang w:val="zh-TW"/>
        </w:rPr>
      </w:pPr>
      <w:r>
        <w:rPr>
          <w:lang w:val="zh-TW"/>
        </w:rPr>
        <w:t>申办者基于风险进行质量管理；</w:t>
      </w:r>
    </w:p>
    <w:p w14:paraId="042AC1CD">
      <w:pPr>
        <w:pStyle w:val="122"/>
        <w:numPr>
          <w:ilvl w:val="0"/>
          <w:numId w:val="37"/>
        </w:numPr>
        <w:spacing w:line="360" w:lineRule="auto"/>
        <w:ind w:firstLineChars="0"/>
        <w:jc w:val="both"/>
        <w:rPr>
          <w:lang w:val="zh-TW"/>
        </w:rPr>
      </w:pPr>
      <w:r>
        <w:rPr>
          <w:lang w:val="zh-TW"/>
        </w:rPr>
        <w:t>申办者的质量保证和质量控制应当符合要求；</w:t>
      </w:r>
    </w:p>
    <w:p w14:paraId="77598739">
      <w:pPr>
        <w:pStyle w:val="122"/>
        <w:numPr>
          <w:ilvl w:val="0"/>
          <w:numId w:val="37"/>
        </w:numPr>
        <w:spacing w:line="360" w:lineRule="auto"/>
        <w:ind w:firstLineChars="0"/>
        <w:jc w:val="both"/>
        <w:rPr>
          <w:lang w:val="zh-TW"/>
        </w:rPr>
      </w:pPr>
      <w:r>
        <w:rPr>
          <w:lang w:val="zh-TW"/>
        </w:rPr>
        <w:t>申办者应当指定有能力的医学专家及时对临床试验的相关医学问题进行咨询；</w:t>
      </w:r>
    </w:p>
    <w:p w14:paraId="40A586ED">
      <w:pPr>
        <w:pStyle w:val="122"/>
        <w:numPr>
          <w:ilvl w:val="0"/>
          <w:numId w:val="37"/>
        </w:numPr>
        <w:spacing w:line="360" w:lineRule="auto"/>
        <w:ind w:firstLineChars="0"/>
        <w:jc w:val="both"/>
        <w:rPr>
          <w:lang w:val="zh-TW"/>
        </w:rPr>
      </w:pPr>
      <w:r>
        <w:rPr>
          <w:lang w:val="zh-TW"/>
        </w:rPr>
        <w:t>申办者应当选用有资质的生物统计学家、临床药理学家和临床医生等参与试验，包括设计试验方案和病例报告表、制定统计分析计划、分析数据、撰写最终的试验总结报告；</w:t>
      </w:r>
    </w:p>
    <w:p w14:paraId="2935F742">
      <w:pPr>
        <w:pStyle w:val="122"/>
        <w:numPr>
          <w:ilvl w:val="0"/>
          <w:numId w:val="37"/>
        </w:numPr>
        <w:spacing w:line="360" w:lineRule="auto"/>
        <w:ind w:firstLineChars="0"/>
        <w:jc w:val="both"/>
        <w:rPr>
          <w:lang w:val="zh-TW"/>
        </w:rPr>
      </w:pPr>
      <w:r>
        <w:rPr>
          <w:lang w:val="zh-TW"/>
        </w:rPr>
        <w:t>申办者在试验管理、数据处理与记录保存中应当符合要求；</w:t>
      </w:r>
    </w:p>
    <w:p w14:paraId="165B6B8E">
      <w:pPr>
        <w:pStyle w:val="122"/>
        <w:numPr>
          <w:ilvl w:val="0"/>
          <w:numId w:val="37"/>
        </w:numPr>
        <w:spacing w:line="360" w:lineRule="auto"/>
        <w:ind w:firstLineChars="0"/>
        <w:jc w:val="both"/>
        <w:rPr>
          <w:lang w:val="zh-TW"/>
        </w:rPr>
      </w:pPr>
      <w:r>
        <w:rPr>
          <w:lang w:val="zh-TW"/>
        </w:rPr>
        <w:t>申办者应当采取适当方式保证可以给予受试者补偿或者赔偿；</w:t>
      </w:r>
    </w:p>
    <w:p w14:paraId="4C39F27D">
      <w:pPr>
        <w:pStyle w:val="122"/>
        <w:numPr>
          <w:ilvl w:val="0"/>
          <w:numId w:val="37"/>
        </w:numPr>
        <w:spacing w:line="360" w:lineRule="auto"/>
        <w:ind w:firstLineChars="0"/>
        <w:jc w:val="both"/>
        <w:rPr>
          <w:lang w:val="zh-TW"/>
        </w:rPr>
      </w:pPr>
      <w:r>
        <w:rPr>
          <w:lang w:val="zh-TW"/>
        </w:rPr>
        <w:t>申办者负责药物试验期间试验用药品的安全性评估；</w:t>
      </w:r>
    </w:p>
    <w:p w14:paraId="66187F52">
      <w:pPr>
        <w:pStyle w:val="122"/>
        <w:numPr>
          <w:ilvl w:val="0"/>
          <w:numId w:val="37"/>
        </w:numPr>
        <w:spacing w:line="360" w:lineRule="auto"/>
        <w:ind w:firstLineChars="0"/>
        <w:jc w:val="both"/>
        <w:rPr>
          <w:lang w:val="zh-TW"/>
        </w:rPr>
      </w:pPr>
      <w:r>
        <w:rPr>
          <w:lang w:val="zh-TW"/>
        </w:rPr>
        <w:t>申办者应当按照要求和时限报告药物不良反应；</w:t>
      </w:r>
    </w:p>
    <w:p w14:paraId="54D96BCB">
      <w:pPr>
        <w:pStyle w:val="122"/>
        <w:numPr>
          <w:ilvl w:val="0"/>
          <w:numId w:val="37"/>
        </w:numPr>
        <w:spacing w:line="360" w:lineRule="auto"/>
        <w:ind w:firstLineChars="0"/>
        <w:jc w:val="both"/>
        <w:rPr>
          <w:lang w:val="zh-TW"/>
        </w:rPr>
      </w:pPr>
      <w:r>
        <w:rPr>
          <w:lang w:val="zh-TW"/>
        </w:rPr>
        <w:t>申办者应当保证临床试验的依从性；</w:t>
      </w:r>
    </w:p>
    <w:p w14:paraId="34092004">
      <w:pPr>
        <w:pStyle w:val="122"/>
        <w:numPr>
          <w:ilvl w:val="0"/>
          <w:numId w:val="37"/>
        </w:numPr>
        <w:spacing w:line="360" w:lineRule="auto"/>
        <w:ind w:firstLineChars="0"/>
        <w:jc w:val="both"/>
        <w:rPr>
          <w:lang w:val="zh-TW"/>
        </w:rPr>
      </w:pPr>
      <w:r>
        <w:rPr>
          <w:lang w:val="zh-TW"/>
        </w:rPr>
        <w:t>其他相关法律法规中规定需申办者履行的职责等。</w:t>
      </w:r>
    </w:p>
    <w:p w14:paraId="5D1E080D">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689" w:name="_Toc25284"/>
      <w:bookmarkStart w:id="690" w:name="_Toc4955"/>
      <w:bookmarkStart w:id="691" w:name="_Toc183523060"/>
      <w:bookmarkStart w:id="692" w:name="_Toc23671"/>
      <w:r>
        <w:rPr>
          <w:rFonts w:ascii="Times New Roman" w:hAnsi="Times New Roman" w:eastAsia="宋体"/>
          <w:sz w:val="24"/>
          <w:szCs w:val="24"/>
          <w:lang w:val="zh-TW" w:eastAsia="zh-TW"/>
        </w:rPr>
        <w:t>伦理委员会</w:t>
      </w:r>
      <w:bookmarkEnd w:id="689"/>
      <w:bookmarkEnd w:id="690"/>
      <w:bookmarkEnd w:id="691"/>
      <w:bookmarkEnd w:id="692"/>
    </w:p>
    <w:p w14:paraId="6427C951">
      <w:pPr>
        <w:pStyle w:val="3"/>
        <w:tabs>
          <w:tab w:val="left" w:pos="0"/>
          <w:tab w:val="left" w:pos="909"/>
        </w:tabs>
        <w:spacing w:line="360" w:lineRule="auto"/>
        <w:ind w:firstLine="480" w:firstLineChars="200"/>
        <w:rPr>
          <w:rFonts w:ascii="Times New Roman" w:hAnsi="Times New Roman" w:cs="Times New Roman"/>
          <w:color w:val="auto"/>
          <w:kern w:val="0"/>
          <w:sz w:val="24"/>
          <w:szCs w:val="24"/>
          <w:lang w:val="zh-TW"/>
        </w:rPr>
      </w:pPr>
      <w:r>
        <w:rPr>
          <w:rFonts w:ascii="Times New Roman" w:hAnsi="Times New Roman" w:cs="Times New Roman"/>
          <w:color w:val="auto"/>
          <w:kern w:val="0"/>
          <w:sz w:val="24"/>
          <w:szCs w:val="24"/>
          <w:lang w:val="zh-TW"/>
        </w:rPr>
        <w:t>伦理委员会的职责是保护受试者的权益和安全。本试验方案实施前需经伦理委员会审核批准。审议时申办者和研究者应向该伦理委员会提供相关文件。本临床试验必须遵循《赫尔辛基宣言》、NMPA颁布的GCP以及相关的法规。在试验开始之前，必须获得伦理委员会批准，方可开始本项研究。在临床研究期间，对试验方案所做的任何修改必须经伦理委员会批准或备案。研究者有责任依据伦理委员会相关要求定期递交进展报告，试验结束后应通知伦理委员会试验已经结束。</w:t>
      </w:r>
    </w:p>
    <w:p w14:paraId="65630629">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693" w:name="_Toc9742"/>
      <w:bookmarkStart w:id="694" w:name="_Toc19177"/>
      <w:bookmarkStart w:id="695" w:name="_Toc183523061"/>
      <w:bookmarkStart w:id="696" w:name="_Toc19120"/>
      <w:r>
        <w:rPr>
          <w:rFonts w:ascii="Times New Roman" w:hAnsi="Times New Roman" w:eastAsia="宋体"/>
          <w:sz w:val="24"/>
          <w:szCs w:val="24"/>
          <w:lang w:val="zh-TW" w:eastAsia="zh-TW"/>
        </w:rPr>
        <w:t>知情同意过程</w:t>
      </w:r>
      <w:bookmarkEnd w:id="693"/>
      <w:bookmarkEnd w:id="694"/>
      <w:bookmarkEnd w:id="695"/>
      <w:bookmarkEnd w:id="696"/>
    </w:p>
    <w:p w14:paraId="22F035A7">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lang w:val="zh-TW"/>
        </w:rPr>
        <w:t>受试者在参加本试验前必须签订知情同意，以保障受试者的合法权益。研究者有责任向受试者或其指定代理人完整、全面地介绍本研究的目的、主要内容、药物可能的不良反应、合理的预期受益和可能的风险，应让受试者知道他们的权利，所要承担的风险和受益，应及时告知受试者有关试验用药品的任何新信息。应告知受试者本临床试验完全是本着自愿参加的原则，受试者可以在试验过程中任何时间无条件退出试验，受试者不会因为退出试验受到任何惩罚。应告知受试者研究方和申办者有权依据相关法规的规定对受试者的试验数据进行阅读、保存和统计学处理。知情同意书应注明版本和版本日期。只有充分了解本临床试验的风险和受益，并在知情同意书上签署姓名和日期的受试者才可以参加本临床试验。试验过程中，如果根据试验方案修改的内容需对知情同意书做出相应的修改，</w:t>
      </w:r>
      <w:r>
        <w:rPr>
          <w:rFonts w:hint="eastAsia" w:ascii="Times New Roman" w:hAnsi="Times New Roman" w:cs="Times New Roman"/>
          <w:color w:val="auto"/>
          <w:sz w:val="24"/>
          <w:szCs w:val="24"/>
          <w:lang w:val="zh-TW"/>
        </w:rPr>
        <w:t>如修改内容可能影响研究参与者继续参与研究的意愿，</w:t>
      </w:r>
      <w:r>
        <w:rPr>
          <w:rFonts w:ascii="Times New Roman" w:hAnsi="Times New Roman" w:cs="Times New Roman"/>
          <w:color w:val="auto"/>
          <w:sz w:val="24"/>
          <w:szCs w:val="24"/>
          <w:lang w:val="zh-TW"/>
        </w:rPr>
        <w:t>则应在通过伦理委员会审批后获得受试者重新签署的知情同意。</w:t>
      </w:r>
    </w:p>
    <w:p w14:paraId="74470A93">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697" w:name="_Toc32294"/>
      <w:bookmarkStart w:id="698" w:name="_Toc11418"/>
      <w:bookmarkStart w:id="699" w:name="_Toc183523062"/>
      <w:bookmarkStart w:id="700" w:name="_Toc26481"/>
      <w:r>
        <w:rPr>
          <w:rFonts w:ascii="Times New Roman" w:hAnsi="Times New Roman" w:eastAsia="宋体"/>
          <w:sz w:val="24"/>
          <w:szCs w:val="24"/>
          <w:lang w:val="zh-TW" w:eastAsia="zh-TW"/>
        </w:rPr>
        <w:t>数据保护</w:t>
      </w:r>
      <w:bookmarkEnd w:id="697"/>
      <w:bookmarkEnd w:id="698"/>
      <w:bookmarkEnd w:id="699"/>
      <w:bookmarkEnd w:id="700"/>
    </w:p>
    <w:p w14:paraId="646DB178">
      <w:pPr>
        <w:spacing w:line="358" w:lineRule="auto"/>
        <w:ind w:firstLine="480" w:firstLineChars="200"/>
        <w:rPr>
          <w:szCs w:val="21"/>
        </w:rPr>
      </w:pPr>
      <w:bookmarkStart w:id="701" w:name="_Toc491423898"/>
      <w:bookmarkStart w:id="702" w:name="_Toc475469838"/>
      <w:bookmarkStart w:id="703" w:name="_Toc450811978"/>
      <w:bookmarkStart w:id="704" w:name="_Toc106375129"/>
      <w:r>
        <w:rPr>
          <w:szCs w:val="21"/>
        </w:rPr>
        <w:t>受试者参与本研究的信息将严格保密，但下列人员有权查看：</w:t>
      </w:r>
    </w:p>
    <w:p w14:paraId="5F3E4366">
      <w:pPr>
        <w:tabs>
          <w:tab w:val="left" w:pos="360"/>
        </w:tabs>
        <w:spacing w:line="358" w:lineRule="auto"/>
        <w:ind w:left="480" w:leftChars="200"/>
        <w:rPr>
          <w:szCs w:val="21"/>
        </w:rPr>
      </w:pPr>
      <w:r>
        <w:rPr>
          <w:szCs w:val="21"/>
        </w:rPr>
        <w:t>1.本研究的研究人员；</w:t>
      </w:r>
    </w:p>
    <w:p w14:paraId="72AC9517">
      <w:pPr>
        <w:tabs>
          <w:tab w:val="left" w:pos="360"/>
        </w:tabs>
        <w:spacing w:line="358" w:lineRule="auto"/>
        <w:ind w:left="480" w:leftChars="200"/>
        <w:rPr>
          <w:szCs w:val="21"/>
        </w:rPr>
      </w:pPr>
      <w:r>
        <w:rPr>
          <w:szCs w:val="21"/>
        </w:rPr>
        <w:t>2.本研究的监查员、稽查员；</w:t>
      </w:r>
    </w:p>
    <w:p w14:paraId="61E088EB">
      <w:pPr>
        <w:tabs>
          <w:tab w:val="left" w:pos="360"/>
        </w:tabs>
        <w:spacing w:line="358" w:lineRule="auto"/>
        <w:ind w:left="480" w:leftChars="200"/>
        <w:rPr>
          <w:szCs w:val="21"/>
        </w:rPr>
      </w:pPr>
      <w:r>
        <w:rPr>
          <w:szCs w:val="21"/>
        </w:rPr>
        <w:t>3.国家药品监督管理局/省药品监督管理局；</w:t>
      </w:r>
    </w:p>
    <w:p w14:paraId="7DF1790F">
      <w:pPr>
        <w:tabs>
          <w:tab w:val="left" w:pos="360"/>
        </w:tabs>
        <w:spacing w:line="358" w:lineRule="auto"/>
        <w:ind w:left="480" w:leftChars="200"/>
        <w:rPr>
          <w:szCs w:val="21"/>
        </w:rPr>
      </w:pPr>
      <w:r>
        <w:rPr>
          <w:szCs w:val="21"/>
        </w:rPr>
        <w:t>4.其他政府监管机构；</w:t>
      </w:r>
    </w:p>
    <w:p w14:paraId="33BE1E8C">
      <w:pPr>
        <w:tabs>
          <w:tab w:val="left" w:pos="360"/>
        </w:tabs>
        <w:spacing w:line="358" w:lineRule="auto"/>
        <w:ind w:left="480" w:leftChars="200"/>
        <w:rPr>
          <w:szCs w:val="21"/>
        </w:rPr>
      </w:pPr>
      <w:r>
        <w:rPr>
          <w:szCs w:val="21"/>
        </w:rPr>
        <w:t>5.伦理委员会。</w:t>
      </w:r>
    </w:p>
    <w:p w14:paraId="1FA6C27E">
      <w:pPr>
        <w:spacing w:line="358" w:lineRule="auto"/>
        <w:ind w:firstLine="480" w:firstLineChars="200"/>
        <w:rPr>
          <w:szCs w:val="21"/>
          <w:lang w:val="zh-CN"/>
        </w:rPr>
      </w:pPr>
      <w:r>
        <w:rPr>
          <w:szCs w:val="21"/>
        </w:rPr>
        <w:t>上述人员或机构可能会在现行法律和法规允许的范围内查阅原始医疗记录，不会侵犯受试者隐私，如果本项研究结果在会议或出版物上公开，不会出现受试者的</w:t>
      </w:r>
      <w:r>
        <w:rPr>
          <w:rFonts w:hint="eastAsia"/>
          <w:szCs w:val="21"/>
        </w:rPr>
        <w:t>姓名等可直接识别身份的</w:t>
      </w:r>
      <w:r>
        <w:rPr>
          <w:szCs w:val="21"/>
        </w:rPr>
        <w:t>个人信息。</w:t>
      </w:r>
      <w:r>
        <w:rPr>
          <w:szCs w:val="21"/>
          <w:lang w:val="zh-CN"/>
        </w:rPr>
        <w:t>将会在法律允许范围内，全力保护受试者的隐私和健康信息。</w:t>
      </w:r>
    </w:p>
    <w:p w14:paraId="5B80293F">
      <w:pPr>
        <w:spacing w:line="358" w:lineRule="auto"/>
        <w:ind w:firstLine="480" w:firstLineChars="200"/>
        <w:rPr>
          <w:szCs w:val="21"/>
          <w:lang w:val="zh-CN"/>
        </w:rPr>
      </w:pPr>
      <w:r>
        <w:rPr>
          <w:szCs w:val="21"/>
          <w:lang w:val="zh-CN"/>
        </w:rPr>
        <w:t>受试者参加本研究的信息将会得到保密，受试者的个人信息（如姓名、身份证号码、地址、联系方式）不会传输到研究中心以外。递交给申办者的eCRF或任何其他文件中，将无法通过姓名识别受试者，而是通过受试者代码识别。</w:t>
      </w:r>
    </w:p>
    <w:bookmarkEnd w:id="701"/>
    <w:bookmarkEnd w:id="702"/>
    <w:bookmarkEnd w:id="703"/>
    <w:bookmarkEnd w:id="704"/>
    <w:p w14:paraId="5EBB4F0B">
      <w:pPr>
        <w:pStyle w:val="4"/>
        <w:numPr>
          <w:ilvl w:val="1"/>
          <w:numId w:val="5"/>
        </w:numPr>
        <w:spacing w:before="0" w:after="0" w:line="360" w:lineRule="auto"/>
        <w:ind w:left="0" w:firstLine="0"/>
        <w:rPr>
          <w:rFonts w:ascii="Times New Roman" w:hAnsi="Times New Roman" w:eastAsia="宋体"/>
          <w:sz w:val="24"/>
          <w:szCs w:val="24"/>
          <w:lang w:val="zh-TW"/>
        </w:rPr>
      </w:pPr>
      <w:bookmarkStart w:id="705" w:name="_Ref183519792"/>
      <w:bookmarkStart w:id="706" w:name="_Toc5588"/>
      <w:bookmarkStart w:id="707" w:name="_Toc183523063"/>
      <w:bookmarkStart w:id="708" w:name="_Ref130207264"/>
      <w:bookmarkStart w:id="709" w:name="_Toc30016"/>
      <w:bookmarkStart w:id="710" w:name="_Toc17303"/>
      <w:r>
        <w:rPr>
          <w:rFonts w:ascii="Times New Roman" w:hAnsi="Times New Roman" w:eastAsia="宋体"/>
          <w:sz w:val="24"/>
          <w:szCs w:val="24"/>
          <w:lang w:val="zh-TW"/>
        </w:rPr>
        <w:t>研究中心提前关闭或试验终止</w:t>
      </w:r>
      <w:bookmarkEnd w:id="705"/>
      <w:bookmarkEnd w:id="706"/>
      <w:bookmarkEnd w:id="707"/>
      <w:bookmarkEnd w:id="708"/>
      <w:bookmarkEnd w:id="709"/>
      <w:bookmarkEnd w:id="710"/>
    </w:p>
    <w:p w14:paraId="52D44E2F">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申办者拥有关闭研究中心或终止试验的决定权，</w:t>
      </w:r>
      <w:r>
        <w:rPr>
          <w:rFonts w:hint="eastAsia" w:ascii="Times New Roman" w:hAnsi="Times New Roman" w:cs="Times New Roman"/>
          <w:color w:val="auto"/>
          <w:sz w:val="24"/>
          <w:szCs w:val="24"/>
        </w:rPr>
        <w:t>研究者、伦理委员会、监管机构均有权暂停或终止临床试验</w:t>
      </w:r>
      <w:r>
        <w:rPr>
          <w:rFonts w:ascii="Times New Roman" w:hAnsi="Times New Roman" w:cs="Times New Roman"/>
          <w:color w:val="auto"/>
          <w:sz w:val="24"/>
          <w:szCs w:val="24"/>
        </w:rPr>
        <w:t>的权利。</w:t>
      </w:r>
      <w:r>
        <w:rPr>
          <w:rFonts w:hint="eastAsia" w:ascii="Times New Roman" w:hAnsi="Times New Roman" w:cs="Times New Roman"/>
          <w:color w:val="auto"/>
          <w:sz w:val="24"/>
          <w:szCs w:val="24"/>
        </w:rPr>
        <w:t>暂停或</w:t>
      </w:r>
      <w:r>
        <w:rPr>
          <w:rFonts w:ascii="Times New Roman" w:hAnsi="Times New Roman" w:cs="Times New Roman"/>
          <w:color w:val="auto"/>
          <w:sz w:val="24"/>
          <w:szCs w:val="24"/>
        </w:rPr>
        <w:t>终止试验的标准参见第</w:t>
      </w:r>
      <w:r>
        <w:rPr>
          <w:rFonts w:ascii="Times New Roman" w:hAnsi="Times New Roman" w:cs="Times New Roman"/>
          <w:color w:val="0000FF"/>
          <w:sz w:val="24"/>
          <w:szCs w:val="24"/>
        </w:rPr>
        <w:fldChar w:fldCharType="begin"/>
      </w:r>
      <w:r>
        <w:rPr>
          <w:rFonts w:ascii="Times New Roman" w:hAnsi="Times New Roman" w:cs="Times New Roman"/>
          <w:color w:val="0000FF"/>
          <w:sz w:val="24"/>
          <w:szCs w:val="24"/>
        </w:rPr>
        <w:instrText xml:space="preserve"> REF _Ref183519909 \r \h  \* MERGEFORMAT </w:instrText>
      </w:r>
      <w:r>
        <w:rPr>
          <w:rFonts w:ascii="Times New Roman" w:hAnsi="Times New Roman" w:cs="Times New Roman"/>
          <w:color w:val="0000FF"/>
          <w:sz w:val="24"/>
          <w:szCs w:val="24"/>
        </w:rPr>
        <w:fldChar w:fldCharType="separate"/>
      </w:r>
      <w:r>
        <w:rPr>
          <w:rFonts w:ascii="Times New Roman" w:hAnsi="Times New Roman" w:cs="Times New Roman"/>
          <w:color w:val="0000FF"/>
          <w:sz w:val="24"/>
          <w:szCs w:val="24"/>
        </w:rPr>
        <w:t>7.4</w:t>
      </w:r>
      <w:r>
        <w:rPr>
          <w:rFonts w:ascii="Times New Roman" w:hAnsi="Times New Roman" w:cs="Times New Roman"/>
          <w:color w:val="0000FF"/>
          <w:sz w:val="24"/>
          <w:szCs w:val="24"/>
        </w:rPr>
        <w:fldChar w:fldCharType="end"/>
      </w:r>
      <w:r>
        <w:rPr>
          <w:rFonts w:ascii="Times New Roman" w:hAnsi="Times New Roman" w:cs="Times New Roman"/>
          <w:color w:val="auto"/>
          <w:sz w:val="24"/>
          <w:szCs w:val="24"/>
        </w:rPr>
        <w:t>节。提前终止或者暂停临床试验时，研究者应当及时通知受试者，并给予受试者适当的治疗和随访。此外：</w:t>
      </w:r>
    </w:p>
    <w:p w14:paraId="35C83E36">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（一）研究者未与申办者商议而终止或者暂停临床试验，研究者应当立即向临床试验机构、申办者和伦理委员会报告，并提供详细的书面说明。</w:t>
      </w:r>
    </w:p>
    <w:p w14:paraId="5E076EFD">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（二）申办者终止或者暂停临床试验，研究者应当立即向临床试验机构、伦理委员会报告，并提供详细书面说明。</w:t>
      </w:r>
    </w:p>
    <w:p w14:paraId="5E39C3CA">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（三）伦理委员会终止或者暂停已经同意的临床试验，研究者应当立即向临床试验机构、申办者报告，并提供详细书面说明。</w:t>
      </w:r>
    </w:p>
    <w:p w14:paraId="6918FB17">
      <w:pPr>
        <w:pStyle w:val="2"/>
        <w:numPr>
          <w:ilvl w:val="0"/>
          <w:numId w:val="5"/>
        </w:numPr>
        <w:ind w:left="0" w:firstLine="0"/>
        <w:rPr>
          <w:rFonts w:ascii="Times New Roman" w:hAnsi="Times New Roman"/>
          <w:color w:val="auto"/>
          <w:szCs w:val="24"/>
        </w:rPr>
      </w:pPr>
      <w:bookmarkStart w:id="711" w:name="_Toc27423"/>
      <w:bookmarkStart w:id="712" w:name="_Toc183523064"/>
      <w:bookmarkStart w:id="713" w:name="_Toc29516"/>
      <w:bookmarkStart w:id="714" w:name="_Toc23191"/>
      <w:r>
        <w:rPr>
          <w:rFonts w:ascii="Times New Roman" w:hAnsi="Times New Roman"/>
          <w:color w:val="auto"/>
          <w:szCs w:val="24"/>
        </w:rPr>
        <w:t>一般考虑：风险管理和质量保证</w:t>
      </w:r>
      <w:bookmarkEnd w:id="711"/>
      <w:bookmarkEnd w:id="712"/>
      <w:bookmarkEnd w:id="713"/>
      <w:bookmarkEnd w:id="714"/>
    </w:p>
    <w:p w14:paraId="7E6591F8">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715" w:name="_Toc3325"/>
      <w:bookmarkStart w:id="716" w:name="_Toc12344"/>
      <w:bookmarkStart w:id="717" w:name="_Toc183523065"/>
      <w:bookmarkStart w:id="718" w:name="_Toc32075"/>
      <w:r>
        <w:rPr>
          <w:rFonts w:ascii="Times New Roman" w:hAnsi="Times New Roman" w:eastAsia="宋体"/>
          <w:sz w:val="24"/>
          <w:szCs w:val="24"/>
          <w:lang w:val="zh-TW" w:eastAsia="zh-TW"/>
        </w:rPr>
        <w:t>质量容许限度</w:t>
      </w:r>
      <w:bookmarkEnd w:id="715"/>
      <w:bookmarkEnd w:id="716"/>
      <w:bookmarkEnd w:id="717"/>
      <w:bookmarkEnd w:id="718"/>
    </w:p>
    <w:p w14:paraId="199DD786">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不适用。</w:t>
      </w:r>
    </w:p>
    <w:p w14:paraId="5761F00B">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719" w:name="_Toc2124"/>
      <w:bookmarkStart w:id="720" w:name="_Toc183523066"/>
      <w:bookmarkStart w:id="721" w:name="_Toc18583"/>
      <w:bookmarkStart w:id="722" w:name="_Toc1078"/>
      <w:r>
        <w:rPr>
          <w:rFonts w:ascii="Times New Roman" w:hAnsi="Times New Roman" w:eastAsia="宋体"/>
          <w:sz w:val="24"/>
          <w:szCs w:val="24"/>
          <w:lang w:val="zh-TW" w:eastAsia="zh-TW"/>
        </w:rPr>
        <w:t>数据质量保证</w:t>
      </w:r>
      <w:bookmarkEnd w:id="719"/>
      <w:bookmarkEnd w:id="720"/>
      <w:bookmarkEnd w:id="721"/>
      <w:bookmarkEnd w:id="722"/>
    </w:p>
    <w:p w14:paraId="6342B0F5">
      <w:pPr>
        <w:pStyle w:val="3"/>
        <w:spacing w:line="360" w:lineRule="auto"/>
        <w:ind w:firstLine="480" w:firstLineChars="200"/>
        <w:rPr>
          <w:rFonts w:ascii="Times New Roman" w:hAnsi="Times New Roman" w:cs="Times New Roman"/>
          <w:color w:val="auto"/>
          <w:sz w:val="24"/>
          <w:szCs w:val="24"/>
          <w:lang w:val="zh-TW"/>
        </w:rPr>
      </w:pPr>
      <w:bookmarkStart w:id="723" w:name="_Toc106375119"/>
      <w:bookmarkStart w:id="724" w:name="_Toc491423885"/>
      <w:r>
        <w:rPr>
          <w:rFonts w:ascii="Times New Roman" w:hAnsi="Times New Roman" w:cs="Times New Roman"/>
          <w:color w:val="auto"/>
          <w:sz w:val="24"/>
          <w:szCs w:val="24"/>
          <w:lang w:val="zh-TW"/>
        </w:rPr>
        <w:t>申办者、研究者、检测方、数据管理与统计方均应建立各自的质量保证体系，履行各自的职责，并严格遵循临床试验方案及相应的标准操作规程（SOP），保证临床试验的质量控制和质量保证系统的实施。</w:t>
      </w:r>
    </w:p>
    <w:p w14:paraId="108B947A">
      <w:pPr>
        <w:pStyle w:val="3"/>
        <w:spacing w:line="360" w:lineRule="auto"/>
        <w:ind w:firstLine="480" w:firstLineChars="20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申办者根据需要，结合试验进展情况及质量控制人员/监查员的核查结果，对临床试验过程、样本检测过程、统计分析过程进行不同范畴的稽查。</w:t>
      </w:r>
    </w:p>
    <w:p w14:paraId="55CBCE42">
      <w:pPr>
        <w:pStyle w:val="3"/>
        <w:spacing w:line="360" w:lineRule="auto"/>
        <w:ind w:firstLine="480" w:firstLineChars="200"/>
        <w:rPr>
          <w:rFonts w:ascii="Times New Roman" w:hAnsi="Times New Roman" w:cs="Times New Roman"/>
          <w:b/>
          <w:bCs/>
          <w:color w:val="auto"/>
          <w:sz w:val="24"/>
          <w:szCs w:val="24"/>
          <w:lang w:val="zh-TW"/>
        </w:rPr>
      </w:pPr>
      <w:r>
        <w:rPr>
          <w:rFonts w:ascii="Times New Roman" w:hAnsi="Times New Roman" w:cs="Times New Roman"/>
          <w:b/>
          <w:bCs/>
          <w:color w:val="auto"/>
          <w:sz w:val="24"/>
          <w:szCs w:val="24"/>
          <w:lang w:val="zh-TW"/>
        </w:rPr>
        <w:t>临床试验过程的质量保证</w:t>
      </w:r>
    </w:p>
    <w:p w14:paraId="06B48DD3">
      <w:pPr>
        <w:pStyle w:val="3"/>
        <w:spacing w:line="360" w:lineRule="auto"/>
        <w:ind w:firstLine="480" w:firstLineChars="20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临床试验启动前，研究者应接受试验方案的培训，使研究人员对于临床试验方案及其各指标具体内涵有充分理解和认识。质控人员应对临床试验基本条件进行核查，确保临床试验条件能满足方案要求。试验过程中研究者应依据机构</w:t>
      </w:r>
      <w:r>
        <w:rPr>
          <w:rFonts w:ascii="Times New Roman" w:hAnsi="Times New Roman" w:cs="Times New Roman"/>
          <w:color w:val="auto"/>
          <w:sz w:val="24"/>
          <w:szCs w:val="24"/>
        </w:rPr>
        <w:t>SOP</w:t>
      </w:r>
      <w:r>
        <w:rPr>
          <w:rFonts w:ascii="Times New Roman" w:hAnsi="Times New Roman" w:cs="Times New Roman"/>
          <w:color w:val="auto"/>
          <w:sz w:val="24"/>
          <w:szCs w:val="24"/>
          <w:lang w:val="zh-TW"/>
        </w:rPr>
        <w:t>和试验方案要求认真执行临床操作等工作，并真实、及时、完整、规范地进行记录。质控人员对试验流程以及相应的原始记录等进行质量核查。试验结束后，整理相应的项目文件，经质控人员核对后，归档保存。</w:t>
      </w:r>
      <w:bookmarkEnd w:id="723"/>
      <w:bookmarkEnd w:id="724"/>
      <w:bookmarkStart w:id="725" w:name="_Toc491423886"/>
      <w:bookmarkStart w:id="726" w:name="_Toc106375120"/>
    </w:p>
    <w:p w14:paraId="57B194F1">
      <w:pPr>
        <w:pStyle w:val="3"/>
        <w:spacing w:line="360" w:lineRule="auto"/>
        <w:ind w:firstLine="480" w:firstLineChars="200"/>
        <w:rPr>
          <w:rFonts w:ascii="Times New Roman" w:hAnsi="Times New Roman" w:cs="Times New Roman"/>
          <w:b/>
          <w:bCs/>
          <w:color w:val="auto"/>
          <w:sz w:val="24"/>
          <w:szCs w:val="24"/>
          <w:lang w:val="zh-TW"/>
        </w:rPr>
      </w:pPr>
      <w:r>
        <w:rPr>
          <w:rFonts w:ascii="Times New Roman" w:hAnsi="Times New Roman" w:cs="Times New Roman"/>
          <w:b/>
          <w:bCs/>
          <w:color w:val="auto"/>
          <w:sz w:val="24"/>
          <w:szCs w:val="24"/>
          <w:lang w:val="zh-TW"/>
        </w:rPr>
        <w:t>影像检查数据的质量保证</w:t>
      </w:r>
    </w:p>
    <w:p w14:paraId="52ABD1B8">
      <w:pPr>
        <w:pStyle w:val="3"/>
        <w:spacing w:line="360" w:lineRule="auto"/>
        <w:ind w:firstLine="480" w:firstLineChars="20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临床研究中心应对试验设备、影像采集、影像处理、影像存储等环节进行质控。</w:t>
      </w:r>
    </w:p>
    <w:bookmarkEnd w:id="725"/>
    <w:bookmarkEnd w:id="726"/>
    <w:p w14:paraId="24995676">
      <w:pPr>
        <w:pStyle w:val="3"/>
        <w:spacing w:line="360" w:lineRule="auto"/>
        <w:ind w:firstLine="480" w:firstLineChars="200"/>
        <w:rPr>
          <w:rFonts w:ascii="Times New Roman" w:hAnsi="Times New Roman" w:cs="Times New Roman"/>
          <w:b/>
          <w:bCs/>
          <w:color w:val="auto"/>
          <w:sz w:val="24"/>
          <w:szCs w:val="24"/>
          <w:lang w:val="zh-TW"/>
        </w:rPr>
      </w:pPr>
      <w:r>
        <w:rPr>
          <w:rFonts w:ascii="Times New Roman" w:hAnsi="Times New Roman" w:cs="Times New Roman"/>
          <w:b/>
          <w:bCs/>
          <w:color w:val="auto"/>
          <w:sz w:val="24"/>
          <w:szCs w:val="24"/>
          <w:lang w:val="zh-TW"/>
        </w:rPr>
        <w:t>数据管理过程的质量保证</w:t>
      </w:r>
    </w:p>
    <w:p w14:paraId="2996C5CF">
      <w:pPr>
        <w:pStyle w:val="3"/>
        <w:spacing w:line="360" w:lineRule="auto"/>
        <w:ind w:firstLine="48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数据管理部门人员采用逻辑核查方式，核查数据录入质量，对疑问的结果以质疑形式发送给研究者/CRC，由研究者/CRC核实后并进行修改。质控人员对数据管理文件、数据库数据进行核查。质量保证人员对数据管理的文件、流程进行稽查。</w:t>
      </w:r>
    </w:p>
    <w:p w14:paraId="182F60FB">
      <w:pPr>
        <w:pStyle w:val="3"/>
        <w:spacing w:line="360" w:lineRule="auto"/>
        <w:ind w:firstLine="48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根据GCP规定及相关法规，数据管理单位依现行SOP进行数据管理，并撰写数据管理报告。</w:t>
      </w:r>
    </w:p>
    <w:p w14:paraId="6CA83B4C">
      <w:pPr>
        <w:pStyle w:val="3"/>
        <w:spacing w:line="360" w:lineRule="auto"/>
        <w:ind w:firstLine="480" w:firstLineChars="200"/>
        <w:rPr>
          <w:rFonts w:ascii="Times New Roman" w:hAnsi="Times New Roman" w:cs="Times New Roman"/>
          <w:b/>
          <w:bCs/>
          <w:color w:val="auto"/>
          <w:sz w:val="24"/>
          <w:szCs w:val="24"/>
          <w:lang w:val="zh-TW"/>
        </w:rPr>
      </w:pPr>
      <w:bookmarkStart w:id="727" w:name="_Toc106375121"/>
      <w:r>
        <w:rPr>
          <w:rFonts w:ascii="Times New Roman" w:hAnsi="Times New Roman" w:cs="Times New Roman"/>
          <w:b/>
          <w:bCs/>
          <w:color w:val="auto"/>
          <w:sz w:val="24"/>
          <w:szCs w:val="24"/>
          <w:lang w:val="zh-TW"/>
        </w:rPr>
        <w:t>统计分析过程的质量保证</w:t>
      </w:r>
      <w:bookmarkEnd w:id="727"/>
    </w:p>
    <w:p w14:paraId="0CF7C2B5">
      <w:pPr>
        <w:pStyle w:val="3"/>
        <w:spacing w:line="360" w:lineRule="auto"/>
        <w:ind w:firstLine="480" w:firstLineChars="20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统计分析人员依据现行法规、指导原则、SOP及统计分析计划开展统计分析工作，质量控制人员对统计分析过程及数据处理结果进行质控，保证计算的准确性和可靠性。质量保证人员对统计分析及数据处理文件进行稽查，确保统计分析过程及文件遵循相应法规、指导原则、SOP及统计分析计划。</w:t>
      </w:r>
    </w:p>
    <w:p w14:paraId="17F5430B">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728" w:name="_Toc31680"/>
      <w:bookmarkStart w:id="729" w:name="_Toc21886"/>
      <w:bookmarkStart w:id="730" w:name="_Toc183523067"/>
      <w:bookmarkStart w:id="731" w:name="_Toc29989"/>
      <w:r>
        <w:rPr>
          <w:rFonts w:ascii="Times New Roman" w:hAnsi="Times New Roman" w:eastAsia="宋体"/>
          <w:sz w:val="24"/>
          <w:szCs w:val="24"/>
          <w:lang w:val="zh-TW" w:eastAsia="zh-TW"/>
        </w:rPr>
        <w:t>源数据</w:t>
      </w:r>
      <w:bookmarkEnd w:id="728"/>
      <w:bookmarkEnd w:id="729"/>
      <w:bookmarkEnd w:id="730"/>
      <w:bookmarkEnd w:id="731"/>
    </w:p>
    <w:p w14:paraId="3719B3B2">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lang w:val="zh-TW" w:eastAsia="zh-TW"/>
        </w:rPr>
        <w:t>研究者填写数据要求：</w:t>
      </w:r>
    </w:p>
    <w:p w14:paraId="700F7E11">
      <w:pPr>
        <w:pStyle w:val="3"/>
        <w:spacing w:line="360" w:lineRule="auto"/>
        <w:ind w:firstLine="480" w:firstLineChars="200"/>
        <w:rPr>
          <w:rFonts w:ascii="Times New Roman" w:hAnsi="Times New Roman" w:cs="Times New Roman"/>
          <w:color w:val="auto"/>
          <w:sz w:val="24"/>
          <w:szCs w:val="24"/>
          <w:lang w:val="zh-TW"/>
        </w:rPr>
      </w:pPr>
      <w:r>
        <w:rPr>
          <w:rFonts w:ascii="Times New Roman" w:hAnsi="Times New Roman" w:cs="Times New Roman"/>
          <w:color w:val="auto"/>
          <w:sz w:val="24"/>
          <w:szCs w:val="24"/>
        </w:rPr>
        <w:t>1</w:t>
      </w:r>
      <w:r>
        <w:rPr>
          <w:rFonts w:ascii="Times New Roman" w:hAnsi="Times New Roman" w:cs="Times New Roman"/>
          <w:color w:val="auto"/>
          <w:sz w:val="24"/>
          <w:szCs w:val="24"/>
          <w:lang w:val="zh-TW"/>
        </w:rPr>
        <w:t>）研究者应保证本中心试验数据的完整、真实、准确。</w:t>
      </w:r>
    </w:p>
    <w:p w14:paraId="1D643A2E">
      <w:pPr>
        <w:pStyle w:val="3"/>
        <w:spacing w:line="360" w:lineRule="auto"/>
        <w:ind w:firstLine="480" w:firstLineChars="20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2）</w:t>
      </w:r>
      <w:r>
        <w:rPr>
          <w:rFonts w:hint="eastAsia" w:ascii="Times New Roman" w:hAnsi="Times New Roman" w:cs="Times New Roman"/>
          <w:color w:val="auto"/>
          <w:sz w:val="24"/>
          <w:szCs w:val="24"/>
        </w:rPr>
        <w:t>原始</w:t>
      </w:r>
      <w:r>
        <w:rPr>
          <w:rFonts w:ascii="Times New Roman" w:hAnsi="Times New Roman" w:cs="Times New Roman"/>
          <w:color w:val="auto"/>
          <w:sz w:val="24"/>
          <w:szCs w:val="24"/>
          <w:lang w:val="zh-TW"/>
        </w:rPr>
        <w:t>记录应依据填写指南准确、及时、完整、规范的填写，做任何更改时应使原始记录清晰可辨并旁注修改后的数据，由修改者签名并注明日期，不得涂改、覆盖原记录。</w:t>
      </w:r>
    </w:p>
    <w:p w14:paraId="2918AEAF">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3</w:t>
      </w:r>
      <w:r>
        <w:rPr>
          <w:rFonts w:ascii="Times New Roman" w:hAnsi="Times New Roman" w:cs="Times New Roman"/>
          <w:color w:val="auto"/>
          <w:sz w:val="24"/>
          <w:szCs w:val="24"/>
          <w:lang w:val="zh-TW"/>
        </w:rPr>
        <w:t>）原始病历的所有数据必须核对，保证无误后签字并注明日期；</w:t>
      </w:r>
    </w:p>
    <w:p w14:paraId="32F23D5A">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4</w:t>
      </w:r>
      <w:r>
        <w:rPr>
          <w:rFonts w:ascii="Times New Roman" w:hAnsi="Times New Roman" w:cs="Times New Roman"/>
          <w:color w:val="auto"/>
          <w:sz w:val="24"/>
          <w:szCs w:val="24"/>
          <w:lang w:val="zh-TW"/>
        </w:rPr>
        <w:t>）原始化验单需妥善保存；</w:t>
      </w:r>
    </w:p>
    <w:p w14:paraId="12286E01">
      <w:pPr>
        <w:pStyle w:val="3"/>
        <w:spacing w:line="360" w:lineRule="auto"/>
        <w:ind w:firstLine="480" w:firstLineChars="200"/>
        <w:rPr>
          <w:rFonts w:ascii="Times New Roman" w:hAnsi="Times New Roman" w:cs="Times New Roman"/>
          <w:color w:val="auto"/>
          <w:sz w:val="24"/>
          <w:szCs w:val="24"/>
          <w:lang w:val="zh-TW"/>
        </w:rPr>
      </w:pPr>
      <w:r>
        <w:rPr>
          <w:rFonts w:ascii="Times New Roman" w:hAnsi="Times New Roman" w:cs="Times New Roman"/>
          <w:color w:val="auto"/>
          <w:sz w:val="24"/>
          <w:szCs w:val="24"/>
        </w:rPr>
        <w:t>5</w:t>
      </w:r>
      <w:r>
        <w:rPr>
          <w:rFonts w:ascii="Times New Roman" w:hAnsi="Times New Roman" w:cs="Times New Roman"/>
          <w:color w:val="auto"/>
          <w:sz w:val="24"/>
          <w:szCs w:val="24"/>
          <w:lang w:val="zh-TW"/>
        </w:rPr>
        <w:t>）对显著偏高或在临床接受范围以外的数据，须加以核实，由研究者做必要说明。</w:t>
      </w:r>
    </w:p>
    <w:p w14:paraId="3410DAB4">
      <w:pPr>
        <w:pStyle w:val="3"/>
        <w:spacing w:line="360" w:lineRule="auto"/>
        <w:ind w:firstLine="480"/>
        <w:rPr>
          <w:rFonts w:ascii="Times New Roman" w:hAnsi="Times New Roman" w:cs="Times New Roman"/>
          <w:color w:val="auto"/>
          <w:sz w:val="24"/>
          <w:szCs w:val="24"/>
          <w:lang w:val="zh-TW"/>
        </w:rPr>
      </w:pPr>
      <w:r>
        <w:rPr>
          <w:rFonts w:ascii="Times New Roman" w:hAnsi="Times New Roman" w:cs="Times New Roman"/>
          <w:color w:val="auto"/>
          <w:sz w:val="24"/>
          <w:szCs w:val="24"/>
          <w:lang w:val="zh-TW"/>
        </w:rPr>
        <w:t>研究中心数据录入eCRF后，临床监查员（CRA）100%核查eCRF数据与原始记录的一致性，确保数据完整、准确无误的录入到数据库中。对于有疑问，或与原始病历资料不一致的数据项，及时提出质疑，并督促研究者/CRC答复质疑，核查并纠正不一致的数据。</w:t>
      </w:r>
    </w:p>
    <w:p w14:paraId="05A30A07">
      <w:pPr>
        <w:pStyle w:val="3"/>
        <w:spacing w:line="360" w:lineRule="auto"/>
        <w:ind w:firstLine="480" w:firstLineChars="200"/>
        <w:rPr>
          <w:rFonts w:ascii="Times New Roman" w:hAnsi="Times New Roman" w:cs="Times New Roman"/>
          <w:color w:val="auto"/>
          <w:sz w:val="24"/>
          <w:szCs w:val="24"/>
        </w:rPr>
      </w:pPr>
      <w:r>
        <w:rPr>
          <w:rFonts w:ascii="Times New Roman" w:hAnsi="Times New Roman" w:cs="Times New Roman"/>
          <w:color w:val="auto"/>
          <w:sz w:val="24"/>
          <w:szCs w:val="24"/>
        </w:rPr>
        <w:t>所有临床试验的纸质或电子资料应当被妥善地记录、处理和保存，能够准确地报告、解释和确认。用于申请药品注册的临床试验，必备文件应当至少保存至试验用药品被批准上市后5年；未用于申请药品注册的临床试验，必备文件应当至少保存至临床试验终止后5年。伦理委员会对伦理审查记录应当至少保存至临床试验结束后5年。</w:t>
      </w:r>
      <w:r>
        <w:rPr>
          <w:rFonts w:ascii="Times New Roman" w:hAnsi="Times New Roman" w:cs="Times New Roman"/>
          <w:color w:val="auto"/>
          <w:sz w:val="24"/>
          <w:szCs w:val="24"/>
          <w:lang w:val="zh-TW"/>
        </w:rPr>
        <w:t>本临床研究的所有资料，在研究者与申办者之间没有事先书面协议的情况下不得破坏或转移。未经申办者书面同意，研究者不得以任何形式提供给第三者。</w:t>
      </w:r>
    </w:p>
    <w:p w14:paraId="5AC471D4">
      <w:pPr>
        <w:pStyle w:val="2"/>
        <w:numPr>
          <w:ilvl w:val="0"/>
          <w:numId w:val="5"/>
        </w:numPr>
        <w:ind w:left="0" w:firstLine="0"/>
        <w:rPr>
          <w:rFonts w:ascii="Times New Roman" w:hAnsi="Times New Roman"/>
          <w:color w:val="auto"/>
          <w:szCs w:val="24"/>
        </w:rPr>
      </w:pPr>
      <w:bookmarkStart w:id="732" w:name="_Toc183523068"/>
      <w:bookmarkStart w:id="733" w:name="_Toc5248"/>
      <w:bookmarkStart w:id="734" w:name="_Toc30122"/>
      <w:bookmarkStart w:id="735" w:name="_Toc2603"/>
      <w:r>
        <w:rPr>
          <w:rFonts w:ascii="Times New Roman" w:hAnsi="Times New Roman"/>
          <w:color w:val="auto"/>
          <w:szCs w:val="24"/>
        </w:rPr>
        <w:t>附录1：不良事件和严重不良事件-定义、严重程度和因果关系</w:t>
      </w:r>
      <w:bookmarkEnd w:id="732"/>
      <w:bookmarkEnd w:id="733"/>
      <w:bookmarkEnd w:id="734"/>
      <w:bookmarkEnd w:id="735"/>
    </w:p>
    <w:p w14:paraId="3D4FB033">
      <w:pPr>
        <w:pStyle w:val="4"/>
        <w:numPr>
          <w:ilvl w:val="1"/>
          <w:numId w:val="5"/>
        </w:numPr>
        <w:spacing w:before="0" w:after="0" w:line="360" w:lineRule="auto"/>
        <w:ind w:left="0" w:firstLine="0"/>
        <w:rPr>
          <w:rFonts w:ascii="Times New Roman" w:hAnsi="Times New Roman" w:eastAsia="宋体"/>
          <w:sz w:val="24"/>
          <w:szCs w:val="24"/>
          <w:lang w:val="zh-TW"/>
        </w:rPr>
      </w:pPr>
      <w:bookmarkStart w:id="736" w:name="_Toc183523069"/>
      <w:bookmarkStart w:id="737" w:name="_Toc30683"/>
      <w:bookmarkStart w:id="738" w:name="_Toc18429"/>
      <w:bookmarkStart w:id="739" w:name="_Toc5642"/>
      <w:r>
        <w:rPr>
          <w:rFonts w:ascii="Times New Roman" w:hAnsi="Times New Roman" w:eastAsia="宋体"/>
          <w:sz w:val="24"/>
          <w:szCs w:val="24"/>
          <w:lang w:val="zh-TW"/>
        </w:rPr>
        <w:t>关于AE定义的更多详细信息和说明</w:t>
      </w:r>
      <w:bookmarkEnd w:id="736"/>
      <w:bookmarkEnd w:id="737"/>
      <w:bookmarkEnd w:id="738"/>
      <w:bookmarkEnd w:id="739"/>
    </w:p>
    <w:p w14:paraId="35277ABB">
      <w:pPr>
        <w:spacing w:line="360" w:lineRule="auto"/>
        <w:ind w:firstLine="480" w:firstLineChars="200"/>
        <w:rPr>
          <w:lang w:val="zh-TW" w:eastAsia="zh-TW"/>
        </w:rPr>
      </w:pPr>
      <w:r>
        <w:rPr>
          <w:lang w:val="zh-TW" w:eastAsia="zh-TW"/>
        </w:rPr>
        <w:t>不适用。</w:t>
      </w:r>
    </w:p>
    <w:p w14:paraId="469C287B">
      <w:pPr>
        <w:pStyle w:val="4"/>
        <w:numPr>
          <w:ilvl w:val="1"/>
          <w:numId w:val="5"/>
        </w:numPr>
        <w:spacing w:before="0" w:after="0" w:line="360" w:lineRule="auto"/>
        <w:ind w:left="0" w:firstLine="0"/>
        <w:rPr>
          <w:rFonts w:ascii="Times New Roman" w:hAnsi="Times New Roman" w:eastAsia="宋体"/>
          <w:sz w:val="24"/>
          <w:szCs w:val="24"/>
          <w:lang w:val="zh-TW"/>
        </w:rPr>
      </w:pPr>
      <w:bookmarkStart w:id="740" w:name="_Toc10688"/>
      <w:bookmarkStart w:id="741" w:name="_Toc28936"/>
      <w:bookmarkStart w:id="742" w:name="_Toc463"/>
      <w:bookmarkStart w:id="743" w:name="_Toc183523070"/>
      <w:r>
        <w:rPr>
          <w:rFonts w:ascii="Times New Roman" w:hAnsi="Times New Roman" w:eastAsia="宋体"/>
          <w:sz w:val="24"/>
          <w:szCs w:val="24"/>
          <w:lang w:val="zh-TW"/>
        </w:rPr>
        <w:t>关于SAE定义的更多详细信息和说明</w:t>
      </w:r>
      <w:bookmarkEnd w:id="740"/>
      <w:bookmarkEnd w:id="741"/>
      <w:bookmarkEnd w:id="742"/>
      <w:bookmarkEnd w:id="743"/>
    </w:p>
    <w:p w14:paraId="6FC9DAA3">
      <w:pPr>
        <w:spacing w:line="360" w:lineRule="auto"/>
        <w:ind w:firstLine="480" w:firstLineChars="200"/>
        <w:rPr>
          <w:lang w:val="zh-TW" w:eastAsia="zh-TW"/>
        </w:rPr>
      </w:pPr>
      <w:r>
        <w:rPr>
          <w:lang w:val="zh-TW" w:eastAsia="zh-TW"/>
        </w:rPr>
        <w:t>不适用。</w:t>
      </w:r>
    </w:p>
    <w:p w14:paraId="2DD584E5">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744" w:name="_Toc18516"/>
      <w:bookmarkStart w:id="745" w:name="_Toc29326"/>
      <w:bookmarkStart w:id="746" w:name="_Toc721"/>
      <w:bookmarkStart w:id="747" w:name="_Toc183523071"/>
      <w:r>
        <w:rPr>
          <w:rFonts w:ascii="Times New Roman" w:hAnsi="Times New Roman" w:eastAsia="宋体"/>
          <w:sz w:val="24"/>
          <w:szCs w:val="24"/>
          <w:lang w:val="zh-TW" w:eastAsia="zh-TW"/>
        </w:rPr>
        <w:t>严重程度</w:t>
      </w:r>
      <w:bookmarkEnd w:id="744"/>
      <w:bookmarkEnd w:id="745"/>
      <w:bookmarkEnd w:id="746"/>
      <w:bookmarkEnd w:id="747"/>
    </w:p>
    <w:p w14:paraId="73580B65">
      <w:pPr>
        <w:pStyle w:val="83"/>
        <w:ind w:firstLine="480"/>
        <w:rPr>
          <w:color w:val="auto"/>
          <w:lang w:val="zh-TW"/>
        </w:rPr>
      </w:pPr>
      <w:r>
        <w:rPr>
          <w:color w:val="auto"/>
          <w:lang w:val="zh-TW"/>
        </w:rPr>
        <w:t>依据</w:t>
      </w:r>
      <w:r>
        <w:rPr>
          <w:color w:val="auto"/>
        </w:rPr>
        <w:t>NCI-CTCAE 5.0</w:t>
      </w:r>
      <w:r>
        <w:rPr>
          <w:color w:val="auto"/>
          <w:lang w:val="zh-TW"/>
        </w:rPr>
        <w:t>标准判断不良事件严重程度。不良事件可参照下列标准：</w:t>
      </w:r>
    </w:p>
    <w:p w14:paraId="13BA2977">
      <w:pPr>
        <w:pStyle w:val="14"/>
        <w:jc w:val="center"/>
        <w:rPr>
          <w:rFonts w:ascii="Times New Roman" w:hAnsi="Times New Roman" w:eastAsia="宋体" w:cs="Times New Roman"/>
          <w:b/>
          <w:bCs/>
          <w:sz w:val="21"/>
          <w:szCs w:val="21"/>
        </w:rPr>
      </w:pPr>
      <w:bookmarkStart w:id="748" w:name="_Toc180584432"/>
      <w:bookmarkStart w:id="749" w:name="_Toc183523086"/>
      <w:r>
        <w:rPr>
          <w:rFonts w:ascii="Times New Roman" w:hAnsi="Times New Roman" w:eastAsia="宋体" w:cs="Times New Roman"/>
          <w:b/>
          <w:bCs/>
          <w:sz w:val="21"/>
          <w:szCs w:val="21"/>
        </w:rPr>
        <w:t xml:space="preserve">表 </w:t>
      </w:r>
      <w:r>
        <w:rPr>
          <w:rFonts w:ascii="Times New Roman" w:hAnsi="Times New Roman" w:eastAsia="宋体" w:cs="Times New Roman"/>
          <w:b/>
          <w:bCs/>
          <w:sz w:val="21"/>
          <w:szCs w:val="21"/>
        </w:rPr>
        <w:fldChar w:fldCharType="begin"/>
      </w:r>
      <w:r>
        <w:rPr>
          <w:rFonts w:ascii="Times New Roman" w:hAnsi="Times New Roman" w:eastAsia="宋体" w:cs="Times New Roman"/>
          <w:b/>
          <w:bCs/>
          <w:sz w:val="21"/>
          <w:szCs w:val="21"/>
        </w:rPr>
        <w:instrText xml:space="preserve"> SEQ 表 \* ARABIC </w:instrText>
      </w:r>
      <w:r>
        <w:rPr>
          <w:rFonts w:ascii="Times New Roman" w:hAnsi="Times New Roman" w:eastAsia="宋体" w:cs="Times New Roman"/>
          <w:b/>
          <w:bCs/>
          <w:sz w:val="21"/>
          <w:szCs w:val="21"/>
        </w:rPr>
        <w:fldChar w:fldCharType="separate"/>
      </w:r>
      <w:r>
        <w:rPr>
          <w:rFonts w:ascii="Times New Roman" w:hAnsi="Times New Roman" w:eastAsia="宋体" w:cs="Times New Roman"/>
          <w:b/>
          <w:bCs/>
          <w:sz w:val="21"/>
          <w:szCs w:val="21"/>
        </w:rPr>
        <w:t>3</w:t>
      </w:r>
      <w:r>
        <w:rPr>
          <w:rFonts w:ascii="Times New Roman" w:hAnsi="Times New Roman" w:eastAsia="宋体" w:cs="Times New Roman"/>
          <w:b/>
          <w:bCs/>
          <w:sz w:val="21"/>
          <w:szCs w:val="21"/>
        </w:rPr>
        <w:fldChar w:fldCharType="end"/>
      </w:r>
      <w:r>
        <w:rPr>
          <w:rFonts w:ascii="Times New Roman" w:hAnsi="Times New Roman" w:eastAsia="宋体" w:cs="Times New Roman"/>
          <w:b/>
          <w:bCs/>
          <w:sz w:val="21"/>
          <w:szCs w:val="21"/>
        </w:rPr>
        <w:t>：不良事件严重程度</w:t>
      </w:r>
      <w:bookmarkEnd w:id="748"/>
      <w:bookmarkEnd w:id="749"/>
    </w:p>
    <w:tbl>
      <w:tblPr>
        <w:tblStyle w:val="41"/>
        <w:tblW w:w="5000"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33"/>
        <w:gridCol w:w="8231"/>
      </w:tblGrid>
      <w:tr w14:paraId="1C25718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trPr>
        <w:tc>
          <w:tcPr>
            <w:tcW w:w="697" w:type="pct"/>
            <w:vAlign w:val="center"/>
          </w:tcPr>
          <w:p w14:paraId="67D572CD">
            <w:pPr>
              <w:pStyle w:val="83"/>
              <w:spacing w:line="240" w:lineRule="auto"/>
              <w:ind w:firstLine="0"/>
              <w:jc w:val="center"/>
              <w:rPr>
                <w:color w:val="auto"/>
                <w:sz w:val="21"/>
                <w:szCs w:val="21"/>
              </w:rPr>
            </w:pPr>
            <w:r>
              <w:rPr>
                <w:color w:val="auto"/>
                <w:sz w:val="21"/>
                <w:szCs w:val="21"/>
              </w:rPr>
              <w:t>1</w:t>
            </w:r>
            <w:r>
              <w:rPr>
                <w:color w:val="auto"/>
                <w:sz w:val="21"/>
                <w:szCs w:val="21"/>
                <w:lang w:val="zh-TW" w:eastAsia="zh-TW"/>
              </w:rPr>
              <w:t>级</w:t>
            </w:r>
          </w:p>
        </w:tc>
        <w:tc>
          <w:tcPr>
            <w:tcW w:w="4303" w:type="pct"/>
            <w:vAlign w:val="center"/>
          </w:tcPr>
          <w:p w14:paraId="02A201A3">
            <w:pPr>
              <w:pStyle w:val="83"/>
              <w:spacing w:line="240" w:lineRule="auto"/>
              <w:ind w:firstLine="0"/>
              <w:rPr>
                <w:color w:val="auto"/>
                <w:sz w:val="21"/>
                <w:szCs w:val="21"/>
              </w:rPr>
            </w:pPr>
            <w:r>
              <w:rPr>
                <w:color w:val="auto"/>
                <w:sz w:val="21"/>
                <w:szCs w:val="21"/>
                <w:lang w:val="zh-TW"/>
              </w:rPr>
              <w:t>轻度，无症状或轻微；仅为临床或诊断所见；无需治疗。</w:t>
            </w:r>
          </w:p>
        </w:tc>
      </w:tr>
      <w:tr w14:paraId="7F25AF8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trPr>
        <w:tc>
          <w:tcPr>
            <w:tcW w:w="697" w:type="pct"/>
            <w:vAlign w:val="center"/>
          </w:tcPr>
          <w:p w14:paraId="638215ED">
            <w:pPr>
              <w:pStyle w:val="83"/>
              <w:spacing w:line="240" w:lineRule="auto"/>
              <w:ind w:firstLine="0"/>
              <w:jc w:val="center"/>
              <w:rPr>
                <w:color w:val="auto"/>
                <w:sz w:val="21"/>
                <w:szCs w:val="21"/>
              </w:rPr>
            </w:pPr>
            <w:r>
              <w:rPr>
                <w:color w:val="auto"/>
                <w:sz w:val="21"/>
                <w:szCs w:val="21"/>
              </w:rPr>
              <w:t>2</w:t>
            </w:r>
            <w:r>
              <w:rPr>
                <w:color w:val="auto"/>
                <w:sz w:val="21"/>
                <w:szCs w:val="21"/>
                <w:lang w:val="zh-TW" w:eastAsia="zh-TW"/>
              </w:rPr>
              <w:t>级</w:t>
            </w:r>
          </w:p>
        </w:tc>
        <w:tc>
          <w:tcPr>
            <w:tcW w:w="4303" w:type="pct"/>
            <w:vAlign w:val="center"/>
          </w:tcPr>
          <w:p w14:paraId="108FFE91">
            <w:pPr>
              <w:pStyle w:val="83"/>
              <w:spacing w:line="240" w:lineRule="auto"/>
              <w:ind w:firstLine="0"/>
              <w:rPr>
                <w:color w:val="auto"/>
                <w:sz w:val="21"/>
                <w:szCs w:val="21"/>
              </w:rPr>
            </w:pPr>
            <w:r>
              <w:rPr>
                <w:color w:val="auto"/>
                <w:sz w:val="21"/>
                <w:szCs w:val="21"/>
                <w:lang w:val="zh-TW"/>
              </w:rPr>
              <w:t>中度，需要较小、局部或非侵入性治疗；与年龄相当的工具性日常生活活动受限。工具性日常生活活动指做饭、购买衣物、使用电话、理财等。</w:t>
            </w:r>
          </w:p>
        </w:tc>
      </w:tr>
      <w:tr w14:paraId="4A51CBC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trPr>
        <w:tc>
          <w:tcPr>
            <w:tcW w:w="697" w:type="pct"/>
            <w:vAlign w:val="center"/>
          </w:tcPr>
          <w:p w14:paraId="63CAD5DB">
            <w:pPr>
              <w:pStyle w:val="83"/>
              <w:spacing w:line="240" w:lineRule="auto"/>
              <w:ind w:firstLine="0"/>
              <w:jc w:val="center"/>
              <w:rPr>
                <w:color w:val="auto"/>
                <w:sz w:val="21"/>
                <w:szCs w:val="21"/>
              </w:rPr>
            </w:pPr>
            <w:r>
              <w:rPr>
                <w:color w:val="auto"/>
                <w:sz w:val="21"/>
                <w:szCs w:val="21"/>
              </w:rPr>
              <w:t>3</w:t>
            </w:r>
            <w:r>
              <w:rPr>
                <w:color w:val="auto"/>
                <w:sz w:val="21"/>
                <w:szCs w:val="21"/>
                <w:lang w:val="zh-TW" w:eastAsia="zh-TW"/>
              </w:rPr>
              <w:t>级</w:t>
            </w:r>
          </w:p>
        </w:tc>
        <w:tc>
          <w:tcPr>
            <w:tcW w:w="4303" w:type="pct"/>
            <w:vAlign w:val="center"/>
          </w:tcPr>
          <w:p w14:paraId="777B2545">
            <w:pPr>
              <w:pStyle w:val="83"/>
              <w:spacing w:line="240" w:lineRule="auto"/>
              <w:ind w:firstLine="0"/>
              <w:rPr>
                <w:color w:val="auto"/>
                <w:sz w:val="21"/>
                <w:szCs w:val="21"/>
              </w:rPr>
            </w:pPr>
            <w:r>
              <w:rPr>
                <w:color w:val="auto"/>
                <w:sz w:val="21"/>
                <w:szCs w:val="21"/>
                <w:lang w:val="zh-TW"/>
              </w:rPr>
              <w:t>严重或者具重要医学意义但不会立即危及生命；导致住院或者延长住院时间；致残；自理性日常生活活动受限。自理性日常生活活动指：洗澡、穿脱衣、吃饭、盥洗、服药等，并未卧床不起。</w:t>
            </w:r>
          </w:p>
        </w:tc>
      </w:tr>
      <w:tr w14:paraId="72AA9A4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trPr>
        <w:tc>
          <w:tcPr>
            <w:tcW w:w="697" w:type="pct"/>
            <w:vAlign w:val="center"/>
          </w:tcPr>
          <w:p w14:paraId="3F03EACF">
            <w:pPr>
              <w:pStyle w:val="83"/>
              <w:spacing w:line="240" w:lineRule="auto"/>
              <w:ind w:firstLine="0"/>
              <w:jc w:val="center"/>
              <w:rPr>
                <w:color w:val="auto"/>
                <w:sz w:val="21"/>
                <w:szCs w:val="21"/>
              </w:rPr>
            </w:pPr>
            <w:r>
              <w:rPr>
                <w:color w:val="auto"/>
                <w:sz w:val="21"/>
                <w:szCs w:val="21"/>
              </w:rPr>
              <w:t>4</w:t>
            </w:r>
            <w:r>
              <w:rPr>
                <w:color w:val="auto"/>
                <w:sz w:val="21"/>
                <w:szCs w:val="21"/>
                <w:lang w:val="zh-TW" w:eastAsia="zh-TW"/>
              </w:rPr>
              <w:t>级</w:t>
            </w:r>
          </w:p>
        </w:tc>
        <w:tc>
          <w:tcPr>
            <w:tcW w:w="4303" w:type="pct"/>
            <w:vAlign w:val="center"/>
          </w:tcPr>
          <w:p w14:paraId="1453ECA8">
            <w:pPr>
              <w:pStyle w:val="83"/>
              <w:spacing w:line="240" w:lineRule="auto"/>
              <w:ind w:firstLine="0"/>
              <w:rPr>
                <w:color w:val="auto"/>
                <w:sz w:val="21"/>
                <w:szCs w:val="21"/>
              </w:rPr>
            </w:pPr>
            <w:r>
              <w:rPr>
                <w:color w:val="auto"/>
                <w:sz w:val="21"/>
                <w:szCs w:val="21"/>
                <w:lang w:val="zh-TW"/>
              </w:rPr>
              <w:t>危及生命，需要紧急治疗。</w:t>
            </w:r>
          </w:p>
        </w:tc>
      </w:tr>
      <w:tr w14:paraId="11FC740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trPr>
        <w:tc>
          <w:tcPr>
            <w:tcW w:w="697" w:type="pct"/>
            <w:vAlign w:val="center"/>
          </w:tcPr>
          <w:p w14:paraId="15ECBCC8">
            <w:pPr>
              <w:pStyle w:val="83"/>
              <w:spacing w:line="240" w:lineRule="auto"/>
              <w:ind w:firstLine="0"/>
              <w:jc w:val="center"/>
              <w:rPr>
                <w:color w:val="auto"/>
                <w:sz w:val="21"/>
                <w:szCs w:val="21"/>
              </w:rPr>
            </w:pPr>
            <w:r>
              <w:rPr>
                <w:color w:val="auto"/>
                <w:sz w:val="21"/>
                <w:szCs w:val="21"/>
              </w:rPr>
              <w:t>5</w:t>
            </w:r>
            <w:r>
              <w:rPr>
                <w:color w:val="auto"/>
                <w:sz w:val="21"/>
                <w:szCs w:val="21"/>
                <w:lang w:val="zh-TW" w:eastAsia="zh-TW"/>
              </w:rPr>
              <w:t>级</w:t>
            </w:r>
          </w:p>
        </w:tc>
        <w:tc>
          <w:tcPr>
            <w:tcW w:w="4303" w:type="pct"/>
            <w:vAlign w:val="center"/>
          </w:tcPr>
          <w:p w14:paraId="3613003A">
            <w:pPr>
              <w:pStyle w:val="83"/>
              <w:spacing w:line="240" w:lineRule="auto"/>
              <w:ind w:firstLine="0"/>
              <w:rPr>
                <w:color w:val="auto"/>
                <w:sz w:val="21"/>
                <w:szCs w:val="21"/>
              </w:rPr>
            </w:pPr>
            <w:r>
              <w:rPr>
                <w:color w:val="auto"/>
                <w:sz w:val="21"/>
                <w:szCs w:val="21"/>
                <w:lang w:val="zh-TW" w:eastAsia="zh-TW"/>
              </w:rPr>
              <w:t>因</w:t>
            </w:r>
            <w:r>
              <w:rPr>
                <w:color w:val="auto"/>
                <w:sz w:val="21"/>
                <w:szCs w:val="21"/>
                <w:lang w:val="zh-TW"/>
              </w:rPr>
              <w:t>A</w:t>
            </w:r>
            <w:r>
              <w:rPr>
                <w:color w:val="auto"/>
                <w:sz w:val="21"/>
                <w:szCs w:val="21"/>
                <w:lang w:val="zh-TW" w:eastAsia="zh-TW"/>
              </w:rPr>
              <w:t>E相关的死亡。</w:t>
            </w:r>
          </w:p>
        </w:tc>
      </w:tr>
    </w:tbl>
    <w:p w14:paraId="1CFD25C3">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750" w:name="_Toc18794"/>
      <w:bookmarkStart w:id="751" w:name="_Toc9480"/>
      <w:bookmarkStart w:id="752" w:name="_Toc1623"/>
      <w:bookmarkStart w:id="753" w:name="_Toc183523072"/>
      <w:r>
        <w:rPr>
          <w:rFonts w:ascii="Times New Roman" w:hAnsi="Times New Roman" w:eastAsia="宋体"/>
          <w:sz w:val="24"/>
          <w:szCs w:val="24"/>
          <w:lang w:val="zh-TW" w:eastAsia="zh-TW"/>
        </w:rPr>
        <w:t>因果关系</w:t>
      </w:r>
      <w:bookmarkEnd w:id="750"/>
      <w:bookmarkEnd w:id="751"/>
      <w:bookmarkEnd w:id="752"/>
      <w:bookmarkEnd w:id="753"/>
    </w:p>
    <w:p w14:paraId="369E7A2A">
      <w:pPr>
        <w:pStyle w:val="83"/>
        <w:ind w:firstLine="480" w:firstLineChars="200"/>
      </w:pPr>
      <w:r>
        <w:rPr>
          <w:color w:val="auto"/>
          <w:lang w:val="zh-TW"/>
        </w:rPr>
        <w:t>根据药物与不良事件因果关系判断标准，将不良事件与</w:t>
      </w:r>
      <w:r>
        <w:rPr>
          <w:rFonts w:hint="eastAsia"/>
          <w:color w:val="auto"/>
        </w:rPr>
        <w:t>试验用药品</w:t>
      </w:r>
      <w:r>
        <w:rPr>
          <w:color w:val="auto"/>
          <w:lang w:val="zh-TW"/>
        </w:rPr>
        <w:t>应用的相关性分为五种：肯定有关、很可能有关、可能有关、可能无关、无关。将肯定有关、很可能有关、可能有关均列为药物不良反应。将药物不良反应病例数总和作为分子，全部可供不良反应评价的入选病例作为分母，计算不良反应发生率。</w:t>
      </w:r>
    </w:p>
    <w:p w14:paraId="78C16C4E">
      <w:pPr>
        <w:pStyle w:val="14"/>
        <w:jc w:val="center"/>
        <w:rPr>
          <w:rFonts w:ascii="Times New Roman" w:hAnsi="Times New Roman" w:eastAsia="宋体" w:cs="Times New Roman"/>
          <w:b/>
          <w:bCs/>
          <w:sz w:val="21"/>
          <w:szCs w:val="21"/>
        </w:rPr>
      </w:pPr>
      <w:bookmarkStart w:id="754" w:name="_Toc183523087"/>
      <w:bookmarkStart w:id="755" w:name="_Toc180584433"/>
      <w:r>
        <w:rPr>
          <w:rFonts w:ascii="Times New Roman" w:hAnsi="Times New Roman" w:eastAsia="宋体" w:cs="Times New Roman"/>
          <w:b/>
          <w:bCs/>
          <w:sz w:val="21"/>
          <w:szCs w:val="21"/>
        </w:rPr>
        <w:t xml:space="preserve">表 </w:t>
      </w:r>
      <w:r>
        <w:rPr>
          <w:rFonts w:ascii="Times New Roman" w:hAnsi="Times New Roman" w:eastAsia="宋体" w:cs="Times New Roman"/>
          <w:b/>
          <w:bCs/>
          <w:sz w:val="21"/>
          <w:szCs w:val="21"/>
        </w:rPr>
        <w:fldChar w:fldCharType="begin"/>
      </w:r>
      <w:r>
        <w:rPr>
          <w:rFonts w:ascii="Times New Roman" w:hAnsi="Times New Roman" w:eastAsia="宋体" w:cs="Times New Roman"/>
          <w:b/>
          <w:bCs/>
          <w:sz w:val="21"/>
          <w:szCs w:val="21"/>
        </w:rPr>
        <w:instrText xml:space="preserve"> SEQ 表 \* ARABIC </w:instrText>
      </w:r>
      <w:r>
        <w:rPr>
          <w:rFonts w:ascii="Times New Roman" w:hAnsi="Times New Roman" w:eastAsia="宋体" w:cs="Times New Roman"/>
          <w:b/>
          <w:bCs/>
          <w:sz w:val="21"/>
          <w:szCs w:val="21"/>
        </w:rPr>
        <w:fldChar w:fldCharType="separate"/>
      </w:r>
      <w:r>
        <w:rPr>
          <w:rFonts w:ascii="Times New Roman" w:hAnsi="Times New Roman" w:eastAsia="宋体" w:cs="Times New Roman"/>
          <w:b/>
          <w:bCs/>
          <w:sz w:val="21"/>
          <w:szCs w:val="21"/>
        </w:rPr>
        <w:t>4</w:t>
      </w:r>
      <w:r>
        <w:rPr>
          <w:rFonts w:ascii="Times New Roman" w:hAnsi="Times New Roman" w:eastAsia="宋体" w:cs="Times New Roman"/>
          <w:b/>
          <w:bCs/>
          <w:sz w:val="21"/>
          <w:szCs w:val="21"/>
        </w:rPr>
        <w:fldChar w:fldCharType="end"/>
      </w:r>
      <w:r>
        <w:rPr>
          <w:rFonts w:ascii="Times New Roman" w:hAnsi="Times New Roman" w:eastAsia="宋体" w:cs="Times New Roman"/>
          <w:b/>
          <w:bCs/>
          <w:sz w:val="21"/>
          <w:szCs w:val="21"/>
        </w:rPr>
        <w:t>：</w:t>
      </w:r>
      <w:r>
        <w:rPr>
          <w:rFonts w:hint="eastAsia" w:ascii="Times New Roman" w:hAnsi="Times New Roman" w:eastAsia="宋体" w:cs="Times New Roman"/>
          <w:b/>
          <w:bCs/>
          <w:sz w:val="21"/>
          <w:szCs w:val="21"/>
        </w:rPr>
        <w:t>药物临床试验不良事件相关性判定简表</w:t>
      </w:r>
      <w:bookmarkEnd w:id="754"/>
    </w:p>
    <w:tbl>
      <w:tblPr>
        <w:tblStyle w:val="41"/>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708"/>
        <w:gridCol w:w="851"/>
        <w:gridCol w:w="709"/>
        <w:gridCol w:w="708"/>
        <w:gridCol w:w="709"/>
        <w:gridCol w:w="709"/>
        <w:gridCol w:w="709"/>
        <w:gridCol w:w="708"/>
        <w:gridCol w:w="709"/>
      </w:tblGrid>
      <w:tr w14:paraId="54FE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jc w:val="center"/>
        </w:trPr>
        <w:tc>
          <w:tcPr>
            <w:tcW w:w="2122" w:type="dxa"/>
            <w:vMerge w:val="restart"/>
            <w:tcBorders>
              <w:tl2br w:val="single" w:color="auto" w:sz="4" w:space="0"/>
            </w:tcBorders>
            <w:shd w:val="clear" w:color="auto" w:fill="auto"/>
            <w:vAlign w:val="center"/>
          </w:tcPr>
          <w:p w14:paraId="2F64DE61">
            <w:pPr>
              <w:adjustRightInd w:val="0"/>
              <w:snapToGrid w:val="0"/>
              <w:spacing w:line="400" w:lineRule="exact"/>
              <w:ind w:firstLine="900" w:firstLineChars="500"/>
              <w:jc w:val="both"/>
              <w:rPr>
                <w:rFonts w:hint="eastAsia" w:ascii="宋体" w:hAnsi="宋体"/>
                <w:color w:val="000000"/>
                <w:kern w:val="0"/>
                <w:sz w:val="18"/>
                <w:szCs w:val="18"/>
              </w:rPr>
            </w:pPr>
            <w:r>
              <w:rPr>
                <w:rFonts w:hint="eastAsia" w:ascii="宋体" w:hAnsi="宋体"/>
                <w:color w:val="000000"/>
                <w:kern w:val="0"/>
                <w:sz w:val="18"/>
                <w:szCs w:val="18"/>
              </w:rPr>
              <w:t>判定结果</w:t>
            </w:r>
          </w:p>
          <w:p w14:paraId="4BB3F466">
            <w:pPr>
              <w:widowControl w:val="0"/>
              <w:adjustRightInd w:val="0"/>
              <w:snapToGrid w:val="0"/>
              <w:spacing w:line="400" w:lineRule="exact"/>
              <w:rPr>
                <w:rFonts w:hint="eastAsia" w:ascii="宋体" w:hAnsi="宋体"/>
                <w:color w:val="000000"/>
                <w:kern w:val="0"/>
                <w:sz w:val="18"/>
                <w:szCs w:val="18"/>
              </w:rPr>
            </w:pPr>
            <w:r>
              <w:rPr>
                <w:rFonts w:hint="eastAsia" w:ascii="宋体" w:hAnsi="宋体"/>
                <w:color w:val="000000"/>
                <w:kern w:val="0"/>
                <w:sz w:val="18"/>
                <w:szCs w:val="18"/>
              </w:rPr>
              <w:t>判定依据</w:t>
            </w:r>
          </w:p>
        </w:tc>
        <w:tc>
          <w:tcPr>
            <w:tcW w:w="4394" w:type="dxa"/>
            <w:gridSpan w:val="6"/>
            <w:shd w:val="clear" w:color="auto" w:fill="auto"/>
            <w:vAlign w:val="center"/>
          </w:tcPr>
          <w:p w14:paraId="51B3B9A1">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相关</w:t>
            </w:r>
          </w:p>
        </w:tc>
        <w:tc>
          <w:tcPr>
            <w:tcW w:w="2126" w:type="dxa"/>
            <w:gridSpan w:val="3"/>
            <w:shd w:val="clear" w:color="auto" w:fill="auto"/>
            <w:vAlign w:val="center"/>
          </w:tcPr>
          <w:p w14:paraId="76E547C0">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不相关</w:t>
            </w:r>
          </w:p>
        </w:tc>
      </w:tr>
      <w:tr w14:paraId="3A9FE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8" w:hRule="atLeast"/>
          <w:jc w:val="center"/>
        </w:trPr>
        <w:tc>
          <w:tcPr>
            <w:tcW w:w="2122" w:type="dxa"/>
            <w:vMerge w:val="continue"/>
            <w:tcBorders>
              <w:tl2br w:val="single" w:color="auto" w:sz="4" w:space="0"/>
            </w:tcBorders>
            <w:shd w:val="clear" w:color="auto" w:fill="auto"/>
            <w:noWrap/>
            <w:vAlign w:val="bottom"/>
          </w:tcPr>
          <w:p w14:paraId="450E922F">
            <w:pPr>
              <w:adjustRightInd w:val="0"/>
              <w:snapToGrid w:val="0"/>
              <w:spacing w:line="400" w:lineRule="exact"/>
              <w:rPr>
                <w:rFonts w:hint="eastAsia" w:ascii="宋体" w:hAnsi="宋体"/>
                <w:color w:val="000000"/>
                <w:kern w:val="0"/>
                <w:sz w:val="18"/>
                <w:szCs w:val="18"/>
              </w:rPr>
            </w:pPr>
          </w:p>
        </w:tc>
        <w:tc>
          <w:tcPr>
            <w:tcW w:w="708" w:type="dxa"/>
            <w:shd w:val="clear" w:color="auto" w:fill="auto"/>
            <w:vAlign w:val="center"/>
          </w:tcPr>
          <w:p w14:paraId="5B0AEA57">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肯定有关</w:t>
            </w:r>
          </w:p>
        </w:tc>
        <w:tc>
          <w:tcPr>
            <w:tcW w:w="851" w:type="dxa"/>
            <w:shd w:val="clear" w:color="auto" w:fill="auto"/>
            <w:vAlign w:val="center"/>
          </w:tcPr>
          <w:p w14:paraId="4CCD0091">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很可能有关</w:t>
            </w:r>
          </w:p>
        </w:tc>
        <w:tc>
          <w:tcPr>
            <w:tcW w:w="2835" w:type="dxa"/>
            <w:gridSpan w:val="4"/>
            <w:shd w:val="clear" w:color="auto" w:fill="auto"/>
            <w:vAlign w:val="center"/>
          </w:tcPr>
          <w:p w14:paraId="6F9BA944">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可能有关</w:t>
            </w:r>
          </w:p>
        </w:tc>
        <w:tc>
          <w:tcPr>
            <w:tcW w:w="1417" w:type="dxa"/>
            <w:gridSpan w:val="2"/>
            <w:shd w:val="clear" w:color="auto" w:fill="auto"/>
            <w:vAlign w:val="center"/>
          </w:tcPr>
          <w:p w14:paraId="41B999CD">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可能无关</w:t>
            </w:r>
          </w:p>
        </w:tc>
        <w:tc>
          <w:tcPr>
            <w:tcW w:w="709" w:type="dxa"/>
            <w:shd w:val="clear" w:color="auto" w:fill="auto"/>
            <w:vAlign w:val="center"/>
          </w:tcPr>
          <w:p w14:paraId="084E304F">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无关</w:t>
            </w:r>
          </w:p>
        </w:tc>
      </w:tr>
      <w:tr w14:paraId="5EBB9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jc w:val="center"/>
        </w:trPr>
        <w:tc>
          <w:tcPr>
            <w:tcW w:w="2122" w:type="dxa"/>
            <w:shd w:val="clear" w:color="auto" w:fill="auto"/>
            <w:vAlign w:val="center"/>
          </w:tcPr>
          <w:p w14:paraId="23E91D91">
            <w:pPr>
              <w:adjustRightInd w:val="0"/>
              <w:snapToGrid w:val="0"/>
              <w:spacing w:line="400" w:lineRule="exact"/>
              <w:rPr>
                <w:rFonts w:hint="eastAsia" w:ascii="宋体" w:hAnsi="宋体"/>
                <w:color w:val="000000"/>
                <w:kern w:val="0"/>
                <w:sz w:val="18"/>
                <w:szCs w:val="18"/>
              </w:rPr>
            </w:pPr>
            <w:r>
              <w:rPr>
                <w:rFonts w:hint="eastAsia" w:ascii="宋体" w:hAnsi="宋体"/>
                <w:color w:val="000000"/>
                <w:kern w:val="0"/>
                <w:sz w:val="18"/>
                <w:szCs w:val="18"/>
              </w:rPr>
              <w:t>是否有合理的时间关系</w:t>
            </w:r>
          </w:p>
        </w:tc>
        <w:tc>
          <w:tcPr>
            <w:tcW w:w="708" w:type="dxa"/>
            <w:shd w:val="clear" w:color="auto" w:fill="auto"/>
            <w:vAlign w:val="center"/>
          </w:tcPr>
          <w:p w14:paraId="4120187F">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851" w:type="dxa"/>
            <w:shd w:val="clear" w:color="auto" w:fill="auto"/>
            <w:vAlign w:val="center"/>
          </w:tcPr>
          <w:p w14:paraId="07588B4B">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2835" w:type="dxa"/>
            <w:gridSpan w:val="4"/>
            <w:shd w:val="clear" w:color="auto" w:fill="auto"/>
            <w:vAlign w:val="center"/>
          </w:tcPr>
          <w:p w14:paraId="6AE476D6">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1417" w:type="dxa"/>
            <w:gridSpan w:val="2"/>
            <w:shd w:val="clear" w:color="auto" w:fill="auto"/>
            <w:vAlign w:val="center"/>
          </w:tcPr>
          <w:p w14:paraId="59AFF197">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4DD425D1">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　</w:t>
            </w:r>
          </w:p>
        </w:tc>
      </w:tr>
      <w:tr w14:paraId="6A3A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2" w:hRule="atLeast"/>
          <w:jc w:val="center"/>
        </w:trPr>
        <w:tc>
          <w:tcPr>
            <w:tcW w:w="2122" w:type="dxa"/>
            <w:shd w:val="clear" w:color="auto" w:fill="auto"/>
            <w:vAlign w:val="center"/>
          </w:tcPr>
          <w:p w14:paraId="5D5D49AD">
            <w:pPr>
              <w:adjustRightInd w:val="0"/>
              <w:snapToGrid w:val="0"/>
              <w:spacing w:line="400" w:lineRule="exact"/>
              <w:rPr>
                <w:rFonts w:hint="eastAsia" w:ascii="宋体" w:hAnsi="宋体"/>
                <w:color w:val="000000"/>
                <w:kern w:val="0"/>
                <w:sz w:val="18"/>
                <w:szCs w:val="18"/>
              </w:rPr>
            </w:pPr>
            <w:r>
              <w:rPr>
                <w:rFonts w:hint="eastAsia" w:ascii="宋体" w:hAnsi="宋体"/>
                <w:color w:val="000000"/>
                <w:kern w:val="0"/>
                <w:sz w:val="18"/>
                <w:szCs w:val="18"/>
              </w:rPr>
              <w:t>是否符合已知的作用机制、特性或已知的不良反应</w:t>
            </w:r>
          </w:p>
        </w:tc>
        <w:tc>
          <w:tcPr>
            <w:tcW w:w="708" w:type="dxa"/>
            <w:shd w:val="clear" w:color="auto" w:fill="auto"/>
            <w:vAlign w:val="center"/>
          </w:tcPr>
          <w:p w14:paraId="5EE06396">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851" w:type="dxa"/>
            <w:shd w:val="clear" w:color="auto" w:fill="auto"/>
            <w:vAlign w:val="center"/>
          </w:tcPr>
          <w:p w14:paraId="6159675A">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1417" w:type="dxa"/>
            <w:gridSpan w:val="2"/>
            <w:shd w:val="clear" w:color="auto" w:fill="auto"/>
            <w:vAlign w:val="center"/>
          </w:tcPr>
          <w:p w14:paraId="3DDEDD2F">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1418" w:type="dxa"/>
            <w:gridSpan w:val="2"/>
            <w:shd w:val="clear" w:color="auto" w:fill="auto"/>
            <w:vAlign w:val="center"/>
          </w:tcPr>
          <w:p w14:paraId="29D826B9">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64524818">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8" w:type="dxa"/>
            <w:shd w:val="clear" w:color="auto" w:fill="auto"/>
            <w:vAlign w:val="center"/>
          </w:tcPr>
          <w:p w14:paraId="43A4A619">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1E84DDB5">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　</w:t>
            </w:r>
          </w:p>
        </w:tc>
      </w:tr>
      <w:tr w14:paraId="7108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2122" w:type="dxa"/>
            <w:shd w:val="clear" w:color="auto" w:fill="auto"/>
            <w:vAlign w:val="center"/>
          </w:tcPr>
          <w:p w14:paraId="54E9379E">
            <w:pPr>
              <w:adjustRightInd w:val="0"/>
              <w:snapToGrid w:val="0"/>
              <w:spacing w:line="400" w:lineRule="exact"/>
              <w:rPr>
                <w:rFonts w:hint="eastAsia" w:ascii="宋体" w:hAnsi="宋体"/>
                <w:color w:val="000000"/>
                <w:kern w:val="0"/>
                <w:sz w:val="18"/>
                <w:szCs w:val="18"/>
              </w:rPr>
            </w:pPr>
            <w:r>
              <w:rPr>
                <w:rFonts w:hint="eastAsia" w:ascii="宋体" w:hAnsi="宋体"/>
                <w:color w:val="000000"/>
                <w:kern w:val="0"/>
                <w:sz w:val="18"/>
                <w:szCs w:val="18"/>
              </w:rPr>
              <w:t>去激发结果</w:t>
            </w:r>
          </w:p>
        </w:tc>
        <w:tc>
          <w:tcPr>
            <w:tcW w:w="708" w:type="dxa"/>
            <w:shd w:val="clear" w:color="auto" w:fill="auto"/>
            <w:vAlign w:val="center"/>
          </w:tcPr>
          <w:p w14:paraId="12079546">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851" w:type="dxa"/>
            <w:shd w:val="clear" w:color="auto" w:fill="auto"/>
            <w:vAlign w:val="center"/>
          </w:tcPr>
          <w:p w14:paraId="47F64EFC">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4F40E7FF">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8" w:type="dxa"/>
            <w:shd w:val="clear" w:color="auto" w:fill="auto"/>
            <w:vAlign w:val="center"/>
          </w:tcPr>
          <w:p w14:paraId="0811024C">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0F91DD3A">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69E0B5B6">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1417" w:type="dxa"/>
            <w:gridSpan w:val="2"/>
            <w:shd w:val="clear" w:color="auto" w:fill="auto"/>
            <w:vAlign w:val="center"/>
          </w:tcPr>
          <w:p w14:paraId="6CA7F76F">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02CC41E2">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r>
      <w:tr w14:paraId="0FAB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2122" w:type="dxa"/>
            <w:shd w:val="clear" w:color="auto" w:fill="auto"/>
            <w:vAlign w:val="center"/>
          </w:tcPr>
          <w:p w14:paraId="6096C4F5">
            <w:pPr>
              <w:adjustRightInd w:val="0"/>
              <w:snapToGrid w:val="0"/>
              <w:spacing w:line="400" w:lineRule="exact"/>
              <w:rPr>
                <w:rFonts w:hint="eastAsia" w:ascii="宋体" w:hAnsi="宋体"/>
                <w:color w:val="000000"/>
                <w:kern w:val="0"/>
                <w:sz w:val="18"/>
                <w:szCs w:val="18"/>
              </w:rPr>
            </w:pPr>
            <w:r>
              <w:rPr>
                <w:rFonts w:hint="eastAsia" w:ascii="宋体" w:hAnsi="宋体"/>
                <w:color w:val="000000"/>
                <w:kern w:val="0"/>
                <w:sz w:val="18"/>
                <w:szCs w:val="18"/>
              </w:rPr>
              <w:t>再激发结果</w:t>
            </w:r>
          </w:p>
        </w:tc>
        <w:tc>
          <w:tcPr>
            <w:tcW w:w="708" w:type="dxa"/>
            <w:shd w:val="clear" w:color="auto" w:fill="auto"/>
            <w:vAlign w:val="center"/>
          </w:tcPr>
          <w:p w14:paraId="130ED747">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851" w:type="dxa"/>
            <w:shd w:val="clear" w:color="auto" w:fill="auto"/>
            <w:vAlign w:val="center"/>
          </w:tcPr>
          <w:p w14:paraId="3B658454">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2835" w:type="dxa"/>
            <w:gridSpan w:val="4"/>
            <w:shd w:val="clear" w:color="auto" w:fill="auto"/>
            <w:vAlign w:val="center"/>
          </w:tcPr>
          <w:p w14:paraId="40925392">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1417" w:type="dxa"/>
            <w:gridSpan w:val="2"/>
            <w:shd w:val="clear" w:color="auto" w:fill="auto"/>
            <w:vAlign w:val="center"/>
          </w:tcPr>
          <w:p w14:paraId="489CE5B3">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4624DFD0">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r>
      <w:tr w14:paraId="53CF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jc w:val="center"/>
        </w:trPr>
        <w:tc>
          <w:tcPr>
            <w:tcW w:w="2122" w:type="dxa"/>
            <w:shd w:val="clear" w:color="auto" w:fill="auto"/>
            <w:vAlign w:val="center"/>
          </w:tcPr>
          <w:p w14:paraId="325C6756">
            <w:pPr>
              <w:adjustRightInd w:val="0"/>
              <w:snapToGrid w:val="0"/>
              <w:spacing w:line="400" w:lineRule="exact"/>
              <w:rPr>
                <w:rFonts w:hint="eastAsia" w:ascii="宋体" w:hAnsi="宋体"/>
                <w:color w:val="000000"/>
                <w:kern w:val="0"/>
                <w:sz w:val="18"/>
                <w:szCs w:val="18"/>
              </w:rPr>
            </w:pPr>
            <w:r>
              <w:rPr>
                <w:rFonts w:hint="eastAsia" w:ascii="宋体" w:hAnsi="宋体"/>
                <w:color w:val="000000"/>
                <w:kern w:val="0"/>
                <w:sz w:val="18"/>
                <w:szCs w:val="18"/>
              </w:rPr>
              <w:t>是否可用其他合理的原因解释</w:t>
            </w:r>
          </w:p>
        </w:tc>
        <w:tc>
          <w:tcPr>
            <w:tcW w:w="708" w:type="dxa"/>
            <w:shd w:val="clear" w:color="auto" w:fill="auto"/>
            <w:vAlign w:val="center"/>
          </w:tcPr>
          <w:p w14:paraId="1DF52636">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851" w:type="dxa"/>
            <w:shd w:val="clear" w:color="auto" w:fill="auto"/>
            <w:vAlign w:val="center"/>
          </w:tcPr>
          <w:p w14:paraId="60C7A288">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65B32F18">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8" w:type="dxa"/>
            <w:shd w:val="clear" w:color="auto" w:fill="auto"/>
            <w:vAlign w:val="center"/>
          </w:tcPr>
          <w:p w14:paraId="262296F1">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1805729F">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240AF3C9">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53373E6F">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8" w:type="dxa"/>
            <w:shd w:val="clear" w:color="auto" w:fill="auto"/>
            <w:vAlign w:val="center"/>
          </w:tcPr>
          <w:p w14:paraId="09630F0E">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c>
          <w:tcPr>
            <w:tcW w:w="709" w:type="dxa"/>
            <w:shd w:val="clear" w:color="auto" w:fill="auto"/>
            <w:vAlign w:val="center"/>
          </w:tcPr>
          <w:p w14:paraId="384540B0">
            <w:pPr>
              <w:adjustRightInd w:val="0"/>
              <w:snapToGrid w:val="0"/>
              <w:spacing w:line="400" w:lineRule="exact"/>
              <w:jc w:val="center"/>
              <w:rPr>
                <w:rFonts w:hint="eastAsia" w:ascii="宋体" w:hAnsi="宋体"/>
                <w:color w:val="000000"/>
                <w:kern w:val="0"/>
                <w:sz w:val="18"/>
                <w:szCs w:val="18"/>
              </w:rPr>
            </w:pPr>
            <w:r>
              <w:rPr>
                <w:rFonts w:hint="eastAsia" w:ascii="宋体" w:hAnsi="宋体"/>
                <w:color w:val="000000"/>
                <w:kern w:val="0"/>
                <w:sz w:val="18"/>
                <w:szCs w:val="18"/>
              </w:rPr>
              <w:t>＋</w:t>
            </w:r>
          </w:p>
        </w:tc>
      </w:tr>
      <w:bookmarkEnd w:id="755"/>
    </w:tbl>
    <w:p w14:paraId="56B0F94C">
      <w:pPr>
        <w:pStyle w:val="14"/>
        <w:jc w:val="center"/>
        <w:rPr>
          <w:rFonts w:ascii="Times New Roman" w:hAnsi="Times New Roman" w:eastAsia="宋体" w:cs="Times New Roman"/>
          <w:b/>
          <w:bCs/>
          <w:sz w:val="21"/>
          <w:szCs w:val="21"/>
        </w:rPr>
      </w:pPr>
    </w:p>
    <w:p w14:paraId="5E58AC74">
      <w:pPr>
        <w:tabs>
          <w:tab w:val="left" w:pos="4326"/>
        </w:tabs>
        <w:ind w:firstLine="420" w:firstLineChars="200"/>
        <w:rPr>
          <w:sz w:val="21"/>
          <w:szCs w:val="21"/>
        </w:rPr>
      </w:pPr>
      <w:r>
        <w:rPr>
          <w:sz w:val="21"/>
          <w:szCs w:val="21"/>
        </w:rPr>
        <w:t>注：</w:t>
      </w:r>
      <w:r>
        <w:rPr>
          <w:rFonts w:hint="eastAsia"/>
          <w:sz w:val="21"/>
          <w:szCs w:val="21"/>
        </w:rPr>
        <w:t>＋表示肯定，或阳性结果；－表示否定，或阴性结果，或暂未获得结果的情况；±表示时间关系不能排除；＋＋表示可用其他“更加”合理的原因解释；－</w:t>
      </w:r>
      <w:r>
        <w:rPr>
          <w:sz w:val="21"/>
          <w:szCs w:val="21"/>
        </w:rPr>
        <w:t>/</w:t>
      </w:r>
      <w:r>
        <w:rPr>
          <w:rFonts w:hint="eastAsia"/>
          <w:sz w:val="21"/>
          <w:szCs w:val="21"/>
        </w:rPr>
        <w:t>？表示去激发</w:t>
      </w:r>
      <w:r>
        <w:rPr>
          <w:sz w:val="21"/>
          <w:szCs w:val="21"/>
        </w:rPr>
        <w:t>/</w:t>
      </w:r>
      <w:r>
        <w:rPr>
          <w:rFonts w:hint="eastAsia"/>
          <w:sz w:val="21"/>
          <w:szCs w:val="21"/>
        </w:rPr>
        <w:t>再激发结果为阴性，或尚未进行去激发</w:t>
      </w:r>
      <w:r>
        <w:rPr>
          <w:sz w:val="21"/>
          <w:szCs w:val="21"/>
        </w:rPr>
        <w:t>/</w:t>
      </w:r>
      <w:r>
        <w:rPr>
          <w:rFonts w:hint="eastAsia"/>
          <w:sz w:val="21"/>
          <w:szCs w:val="21"/>
        </w:rPr>
        <w:t>再激发，或不适用去激发</w:t>
      </w:r>
      <w:r>
        <w:rPr>
          <w:sz w:val="21"/>
          <w:szCs w:val="21"/>
        </w:rPr>
        <w:t>/</w:t>
      </w:r>
      <w:r>
        <w:rPr>
          <w:rFonts w:hint="eastAsia"/>
          <w:sz w:val="21"/>
          <w:szCs w:val="21"/>
        </w:rPr>
        <w:t>再激发</w:t>
      </w:r>
    </w:p>
    <w:p w14:paraId="0ADCC1CC">
      <w:pPr>
        <w:pStyle w:val="83"/>
        <w:ind w:firstLine="480" w:firstLineChars="200"/>
        <w:rPr>
          <w:color w:val="auto"/>
          <w:lang w:val="zh-TW"/>
        </w:rPr>
      </w:pPr>
    </w:p>
    <w:p w14:paraId="520378EA">
      <w:pPr>
        <w:pStyle w:val="2"/>
        <w:numPr>
          <w:ilvl w:val="0"/>
          <w:numId w:val="5"/>
        </w:numPr>
        <w:ind w:left="0" w:firstLine="0"/>
        <w:rPr>
          <w:rFonts w:ascii="Times New Roman" w:hAnsi="Times New Roman"/>
          <w:color w:val="auto"/>
          <w:szCs w:val="24"/>
        </w:rPr>
      </w:pPr>
      <w:bookmarkStart w:id="756" w:name="_Toc23771"/>
      <w:bookmarkStart w:id="757" w:name="_Toc183523073"/>
      <w:bookmarkStart w:id="758" w:name="_Toc22961"/>
      <w:bookmarkStart w:id="759" w:name="_Toc7052"/>
      <w:r>
        <w:rPr>
          <w:rFonts w:ascii="Times New Roman" w:hAnsi="Times New Roman"/>
          <w:color w:val="auto"/>
          <w:szCs w:val="24"/>
        </w:rPr>
        <w:t>附录2：定义和支持性操作详情</w:t>
      </w:r>
      <w:bookmarkEnd w:id="756"/>
      <w:bookmarkEnd w:id="757"/>
      <w:bookmarkEnd w:id="758"/>
      <w:bookmarkEnd w:id="759"/>
    </w:p>
    <w:p w14:paraId="6A427F9F">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760" w:name="_Toc183523074"/>
      <w:bookmarkStart w:id="761" w:name="_Toc8798"/>
      <w:bookmarkStart w:id="762" w:name="_Toc13530"/>
      <w:bookmarkStart w:id="763" w:name="_Toc9678"/>
      <w:r>
        <w:rPr>
          <w:rFonts w:ascii="Times New Roman" w:hAnsi="Times New Roman" w:eastAsia="宋体"/>
          <w:sz w:val="24"/>
          <w:szCs w:val="24"/>
          <w:lang w:val="zh-TW" w:eastAsia="zh-TW"/>
        </w:rPr>
        <w:t>避孕和妊娠试验</w:t>
      </w:r>
      <w:bookmarkEnd w:id="760"/>
      <w:bookmarkEnd w:id="761"/>
      <w:bookmarkEnd w:id="762"/>
      <w:bookmarkEnd w:id="763"/>
    </w:p>
    <w:p w14:paraId="1426F611">
      <w:pPr>
        <w:pStyle w:val="5"/>
        <w:numPr>
          <w:ilvl w:val="2"/>
          <w:numId w:val="38"/>
        </w:numPr>
        <w:spacing w:before="0" w:after="0" w:line="360" w:lineRule="auto"/>
        <w:ind w:left="0" w:firstLine="0"/>
        <w:jc w:val="both"/>
        <w:rPr>
          <w:sz w:val="24"/>
          <w:szCs w:val="24"/>
          <w:lang w:val="zh-TW" w:eastAsia="zh-TW"/>
        </w:rPr>
      </w:pPr>
      <w:bookmarkStart w:id="764" w:name="_Toc7973"/>
      <w:bookmarkStart w:id="765" w:name="_Toc5842"/>
      <w:bookmarkStart w:id="766" w:name="_Toc24066"/>
      <w:bookmarkStart w:id="767" w:name="_Toc183523075"/>
      <w:r>
        <w:rPr>
          <w:sz w:val="24"/>
          <w:szCs w:val="24"/>
          <w:lang w:val="zh-TW" w:eastAsia="zh-TW"/>
        </w:rPr>
        <w:t>与生育能力相关的定义</w:t>
      </w:r>
      <w:bookmarkEnd w:id="764"/>
      <w:bookmarkEnd w:id="765"/>
      <w:bookmarkEnd w:id="766"/>
      <w:bookmarkEnd w:id="767"/>
    </w:p>
    <w:p w14:paraId="35BAB4F5">
      <w:pPr>
        <w:widowControl w:val="0"/>
        <w:autoSpaceDE w:val="0"/>
        <w:autoSpaceDN w:val="0"/>
        <w:spacing w:line="360" w:lineRule="auto"/>
        <w:ind w:firstLine="480" w:firstLineChars="200"/>
        <w:jc w:val="both"/>
        <w:rPr>
          <w:lang w:val="zh-TW"/>
        </w:rPr>
      </w:pPr>
      <w:r>
        <w:rPr>
          <w:lang w:val="zh-TW"/>
        </w:rPr>
        <w:t>将年龄&gt;54周岁且以前出现月经停止≥12个月的女性或接受过子宫切除术或双侧卵巢切除术或患有医学证实的卵巢衰竭的任何年龄段女性视为非育龄女性。</w:t>
      </w:r>
    </w:p>
    <w:p w14:paraId="56BCD91E">
      <w:pPr>
        <w:widowControl w:val="0"/>
        <w:autoSpaceDE w:val="0"/>
        <w:autoSpaceDN w:val="0"/>
        <w:spacing w:line="360" w:lineRule="auto"/>
        <w:ind w:firstLine="480" w:firstLineChars="200"/>
        <w:jc w:val="both"/>
        <w:rPr>
          <w:lang w:val="zh-TW"/>
        </w:rPr>
      </w:pPr>
      <w:r>
        <w:rPr>
          <w:lang w:val="zh-TW"/>
        </w:rPr>
        <w:t>将未接受过子宫切除术和双侧卵巢切除术且无医学证实的卵巢衰竭的年龄≤54周岁的女性（包括患有任何持续时间闭经的女性）视为育龄女性。</w:t>
      </w:r>
    </w:p>
    <w:p w14:paraId="25E243FE">
      <w:pPr>
        <w:pStyle w:val="5"/>
        <w:numPr>
          <w:ilvl w:val="2"/>
          <w:numId w:val="38"/>
        </w:numPr>
        <w:spacing w:before="0" w:after="0" w:line="360" w:lineRule="auto"/>
        <w:ind w:left="0" w:firstLine="0"/>
        <w:jc w:val="both"/>
        <w:rPr>
          <w:sz w:val="24"/>
          <w:szCs w:val="24"/>
          <w:lang w:val="zh-TW" w:eastAsia="zh-TW"/>
        </w:rPr>
      </w:pPr>
      <w:bookmarkStart w:id="768" w:name="_Toc1599"/>
      <w:bookmarkStart w:id="769" w:name="_Toc4163"/>
      <w:bookmarkStart w:id="770" w:name="_Toc4218"/>
      <w:bookmarkStart w:id="771" w:name="_Toc183523076"/>
      <w:r>
        <w:rPr>
          <w:sz w:val="24"/>
          <w:szCs w:val="24"/>
          <w:lang w:val="zh-TW" w:eastAsia="zh-TW"/>
        </w:rPr>
        <w:t>避孕</w:t>
      </w:r>
      <w:bookmarkEnd w:id="768"/>
      <w:bookmarkEnd w:id="769"/>
      <w:bookmarkEnd w:id="770"/>
      <w:bookmarkEnd w:id="771"/>
    </w:p>
    <w:p w14:paraId="745736EB">
      <w:pPr>
        <w:widowControl w:val="0"/>
        <w:autoSpaceDE w:val="0"/>
        <w:autoSpaceDN w:val="0"/>
        <w:spacing w:line="360" w:lineRule="auto"/>
        <w:ind w:firstLine="480" w:firstLineChars="200"/>
        <w:jc w:val="both"/>
      </w:pPr>
      <w:r>
        <w:t>本试验用药品适用于男性，在本试验期间，要劝告男性受试者及其育龄女性伴侣采取有效避孕措施。</w:t>
      </w:r>
    </w:p>
    <w:p w14:paraId="50E2D8CB">
      <w:pPr>
        <w:widowControl w:val="0"/>
        <w:autoSpaceDE w:val="0"/>
        <w:autoSpaceDN w:val="0"/>
        <w:spacing w:line="360" w:lineRule="auto"/>
        <w:jc w:val="both"/>
        <w:rPr>
          <w:lang w:val="zh-TW"/>
        </w:rPr>
      </w:pPr>
      <w:r>
        <w:t>1</w:t>
      </w:r>
      <w:r>
        <w:rPr>
          <w:lang w:val="zh-TW"/>
        </w:rPr>
        <w:t>.对男性受试者（和他们的女性伴侣）的避孕要求</w:t>
      </w:r>
    </w:p>
    <w:p w14:paraId="29A3D4AA">
      <w:pPr>
        <w:snapToGrid w:val="0"/>
        <w:spacing w:line="360" w:lineRule="auto"/>
        <w:ind w:firstLine="480"/>
        <w:rPr>
          <w:lang w:val="en-GB"/>
        </w:rPr>
      </w:pPr>
      <w:r>
        <w:rPr>
          <w:lang w:val="en-GB"/>
        </w:rPr>
        <w:t>自知情同意书签署日至给药后3个月内，受试者完全禁欲。不允许采用定期禁欲法（如日历法、排卵期法、症状-体温法、排卵后法）。</w:t>
      </w:r>
    </w:p>
    <w:p w14:paraId="0D224D56">
      <w:pPr>
        <w:snapToGrid w:val="0"/>
        <w:spacing w:line="360" w:lineRule="auto"/>
        <w:ind w:firstLine="480"/>
        <w:rPr>
          <w:lang w:val="en-GB"/>
        </w:rPr>
      </w:pPr>
      <w:r>
        <w:rPr>
          <w:lang w:val="en-GB"/>
        </w:rPr>
        <w:t>或自知情同意书签署日至给药后3个月内，所有受试者必须同意坚持正确使用避孕套，同时坚持正确使用以下列出的避孕方法之一：</w:t>
      </w:r>
    </w:p>
    <w:p w14:paraId="77FD8BF8">
      <w:pPr>
        <w:widowControl w:val="0"/>
        <w:numPr>
          <w:ilvl w:val="1"/>
          <w:numId w:val="39"/>
        </w:numPr>
        <w:autoSpaceDE w:val="0"/>
        <w:autoSpaceDN w:val="0"/>
        <w:spacing w:line="360" w:lineRule="auto"/>
        <w:ind w:left="849" w:leftChars="236" w:hanging="283" w:hangingChars="118"/>
        <w:jc w:val="both"/>
        <w:rPr>
          <w:lang w:val="zh-TW"/>
        </w:rPr>
      </w:pPr>
      <w:r>
        <w:rPr>
          <w:lang w:val="zh-TW"/>
        </w:rPr>
        <w:t>受试者进行输精管结扎术；</w:t>
      </w:r>
    </w:p>
    <w:p w14:paraId="54EF9DFB">
      <w:pPr>
        <w:widowControl w:val="0"/>
        <w:numPr>
          <w:ilvl w:val="1"/>
          <w:numId w:val="39"/>
        </w:numPr>
        <w:autoSpaceDE w:val="0"/>
        <w:autoSpaceDN w:val="0"/>
        <w:spacing w:line="360" w:lineRule="auto"/>
        <w:ind w:left="849" w:leftChars="236" w:hanging="283" w:hangingChars="118"/>
        <w:jc w:val="both"/>
      </w:pPr>
      <w:r>
        <w:rPr>
          <w:lang w:val="zh-TW"/>
        </w:rPr>
        <w:t>受试者伴侣使用每年失效率</w:t>
      </w:r>
      <w:r>
        <w:t>&lt;1%</w:t>
      </w:r>
      <w:r>
        <w:rPr>
          <w:lang w:val="zh-TW"/>
        </w:rPr>
        <w:t>的宫内节育器</w:t>
      </w:r>
      <w:r>
        <w:t>（IUD）；</w:t>
      </w:r>
    </w:p>
    <w:p w14:paraId="078C8DD0">
      <w:pPr>
        <w:widowControl w:val="0"/>
        <w:numPr>
          <w:ilvl w:val="1"/>
          <w:numId w:val="39"/>
        </w:numPr>
        <w:autoSpaceDE w:val="0"/>
        <w:autoSpaceDN w:val="0"/>
        <w:spacing w:line="360" w:lineRule="auto"/>
        <w:ind w:left="849" w:leftChars="236" w:hanging="283" w:hangingChars="118"/>
        <w:jc w:val="both"/>
        <w:rPr>
          <w:lang w:val="zh-TW"/>
        </w:rPr>
      </w:pPr>
      <w:r>
        <w:rPr>
          <w:lang w:val="zh-TW"/>
        </w:rPr>
        <w:t>受试者伴侣使用女性阻隔法：具有杀精剂的宫颈帽或子宫帽；</w:t>
      </w:r>
    </w:p>
    <w:p w14:paraId="3629200E">
      <w:pPr>
        <w:widowControl w:val="0"/>
        <w:numPr>
          <w:ilvl w:val="1"/>
          <w:numId w:val="39"/>
        </w:numPr>
        <w:autoSpaceDE w:val="0"/>
        <w:autoSpaceDN w:val="0"/>
        <w:spacing w:line="360" w:lineRule="auto"/>
        <w:ind w:left="849" w:leftChars="236" w:hanging="283" w:hangingChars="118"/>
        <w:jc w:val="both"/>
        <w:rPr>
          <w:lang w:val="zh-TW"/>
        </w:rPr>
      </w:pPr>
      <w:r>
        <w:rPr>
          <w:lang w:val="zh-TW"/>
        </w:rPr>
        <w:t>受试者伴侣输卵管绝育术；</w:t>
      </w:r>
    </w:p>
    <w:p w14:paraId="62BF9B77">
      <w:pPr>
        <w:widowControl w:val="0"/>
        <w:numPr>
          <w:ilvl w:val="1"/>
          <w:numId w:val="39"/>
        </w:numPr>
        <w:autoSpaceDE w:val="0"/>
        <w:autoSpaceDN w:val="0"/>
        <w:spacing w:line="360" w:lineRule="auto"/>
        <w:ind w:left="849" w:leftChars="236" w:hanging="283" w:hangingChars="118"/>
        <w:jc w:val="both"/>
        <w:rPr>
          <w:lang w:val="zh-TW"/>
        </w:rPr>
      </w:pPr>
      <w:r>
        <w:rPr>
          <w:lang w:val="zh-TW"/>
        </w:rPr>
        <w:t>受试者伴侣使用含激素类避孕药（口服、阴道内、透皮、注射、埋植）；</w:t>
      </w:r>
    </w:p>
    <w:p w14:paraId="6BBC1106">
      <w:pPr>
        <w:snapToGrid w:val="0"/>
        <w:spacing w:line="360" w:lineRule="auto"/>
        <w:ind w:firstLine="480"/>
        <w:rPr>
          <w:lang w:val="en-GB"/>
        </w:rPr>
      </w:pPr>
      <w:r>
        <w:rPr>
          <w:lang w:val="en-GB"/>
        </w:rPr>
        <w:t>受试者自知情同意书签署日至给药后3个月内避免供精。</w:t>
      </w:r>
    </w:p>
    <w:p w14:paraId="28E6097E">
      <w:pPr>
        <w:widowControl w:val="0"/>
        <w:autoSpaceDE w:val="0"/>
        <w:autoSpaceDN w:val="0"/>
        <w:spacing w:line="360" w:lineRule="auto"/>
        <w:jc w:val="both"/>
        <w:rPr>
          <w:lang w:val="zh-TW"/>
        </w:rPr>
      </w:pPr>
      <w:r>
        <w:t>2.</w:t>
      </w:r>
      <w:r>
        <w:rPr>
          <w:lang w:val="zh-TW"/>
        </w:rPr>
        <w:t>在怀孕的情况下应当遵循的程序</w:t>
      </w:r>
    </w:p>
    <w:p w14:paraId="1C06F96C">
      <w:pPr>
        <w:widowControl w:val="0"/>
        <w:autoSpaceDE w:val="0"/>
        <w:autoSpaceDN w:val="0"/>
        <w:spacing w:line="360" w:lineRule="auto"/>
        <w:ind w:firstLine="480" w:firstLineChars="200"/>
        <w:jc w:val="both"/>
        <w:rPr>
          <w:lang w:val="zh-TW"/>
        </w:rPr>
      </w:pPr>
      <w:r>
        <w:rPr>
          <w:lang w:val="zh-TW"/>
        </w:rPr>
        <w:t>如果受试者的伴侣在研究期间的任何时间怀孕，或在给药后</w:t>
      </w:r>
      <w:r>
        <w:t>3个月</w:t>
      </w:r>
      <w:r>
        <w:rPr>
          <w:lang w:val="zh-TW"/>
        </w:rPr>
        <w:t>内怀孕，那么受试者将按照指示通知研究者。</w:t>
      </w:r>
    </w:p>
    <w:p w14:paraId="529B651F">
      <w:pPr>
        <w:pStyle w:val="5"/>
        <w:numPr>
          <w:ilvl w:val="2"/>
          <w:numId w:val="38"/>
        </w:numPr>
        <w:spacing w:before="0" w:after="0" w:line="360" w:lineRule="auto"/>
        <w:ind w:left="0" w:firstLine="0"/>
        <w:jc w:val="both"/>
        <w:rPr>
          <w:sz w:val="24"/>
          <w:szCs w:val="24"/>
          <w:lang w:val="zh-TW" w:eastAsia="zh-TW"/>
        </w:rPr>
      </w:pPr>
      <w:bookmarkStart w:id="772" w:name="_Toc2009"/>
      <w:bookmarkStart w:id="773" w:name="_Toc183523077"/>
      <w:bookmarkStart w:id="774" w:name="_Toc10369"/>
      <w:bookmarkStart w:id="775" w:name="_Toc6359"/>
      <w:r>
        <w:rPr>
          <w:sz w:val="24"/>
          <w:szCs w:val="24"/>
          <w:lang w:val="zh-TW" w:eastAsia="zh-TW"/>
        </w:rPr>
        <w:t>妊娠试验</w:t>
      </w:r>
      <w:bookmarkEnd w:id="772"/>
      <w:bookmarkEnd w:id="773"/>
      <w:bookmarkEnd w:id="774"/>
      <w:bookmarkEnd w:id="775"/>
    </w:p>
    <w:p w14:paraId="2E833BA4">
      <w:pPr>
        <w:widowControl w:val="0"/>
        <w:autoSpaceDE w:val="0"/>
        <w:autoSpaceDN w:val="0"/>
        <w:spacing w:line="360" w:lineRule="auto"/>
        <w:ind w:firstLine="480" w:firstLineChars="200"/>
        <w:jc w:val="both"/>
        <w:rPr>
          <w:u w:color="000000"/>
        </w:rPr>
      </w:pPr>
      <w:r>
        <w:rPr>
          <w:lang w:val="zh-TW"/>
        </w:rPr>
        <w:t>本试验入组男性受试者，不适用。</w:t>
      </w:r>
    </w:p>
    <w:p w14:paraId="7B93D333">
      <w:pPr>
        <w:rPr>
          <w:u w:color="000000"/>
        </w:rPr>
      </w:pPr>
      <w:r>
        <w:rPr>
          <w:u w:color="000000"/>
        </w:rPr>
        <w:br w:type="page"/>
      </w:r>
    </w:p>
    <w:p w14:paraId="711A3673">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776" w:name="_临床实验室检查"/>
      <w:bookmarkEnd w:id="776"/>
      <w:bookmarkStart w:id="777" w:name="_Ref180582415"/>
      <w:bookmarkStart w:id="778" w:name="_Toc30871"/>
      <w:bookmarkStart w:id="779" w:name="_Toc2104"/>
      <w:bookmarkStart w:id="780" w:name="_Toc26513"/>
      <w:bookmarkStart w:id="781" w:name="_Toc183523078"/>
      <w:r>
        <w:rPr>
          <w:rFonts w:ascii="Times New Roman" w:hAnsi="Times New Roman" w:eastAsia="宋体"/>
          <w:sz w:val="24"/>
          <w:szCs w:val="24"/>
          <w:lang w:val="zh-TW" w:eastAsia="zh-TW"/>
        </w:rPr>
        <w:t>临床实验室检查</w:t>
      </w:r>
      <w:bookmarkEnd w:id="777"/>
      <w:bookmarkEnd w:id="778"/>
      <w:bookmarkEnd w:id="779"/>
      <w:bookmarkEnd w:id="780"/>
      <w:bookmarkEnd w:id="78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358"/>
      </w:tblGrid>
      <w:tr w14:paraId="0B9C1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15A7BB69">
            <w:pPr>
              <w:jc w:val="both"/>
              <w:rPr>
                <w:sz w:val="21"/>
                <w:szCs w:val="21"/>
                <w:u w:color="000000"/>
                <w:lang w:val="zh-TW" w:eastAsia="zh-TW"/>
              </w:rPr>
            </w:pPr>
            <w:r>
              <w:rPr>
                <w:sz w:val="21"/>
                <w:szCs w:val="21"/>
                <w:u w:color="000000"/>
                <w:lang w:val="zh-TW" w:eastAsia="zh-TW"/>
              </w:rPr>
              <w:t>血常规</w:t>
            </w:r>
          </w:p>
        </w:tc>
        <w:tc>
          <w:tcPr>
            <w:tcW w:w="7358" w:type="dxa"/>
          </w:tcPr>
          <w:p w14:paraId="5ECD78B2">
            <w:pPr>
              <w:jc w:val="both"/>
              <w:rPr>
                <w:sz w:val="21"/>
                <w:szCs w:val="21"/>
                <w:u w:color="000000"/>
                <w:lang w:val="zh-TW"/>
              </w:rPr>
            </w:pPr>
            <w:r>
              <w:rPr>
                <w:sz w:val="21"/>
                <w:szCs w:val="21"/>
              </w:rPr>
              <w:t>红细胞计数、血红蛋白、血小板计数、白细胞计数、绝对中性粒细胞计数、淋巴细胞计数、单核细胞计数</w:t>
            </w:r>
          </w:p>
        </w:tc>
      </w:tr>
      <w:tr w14:paraId="3515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7F482CA9">
            <w:pPr>
              <w:jc w:val="both"/>
              <w:rPr>
                <w:sz w:val="21"/>
                <w:szCs w:val="21"/>
                <w:u w:color="000000"/>
                <w:lang w:val="zh-TW" w:eastAsia="zh-TW"/>
              </w:rPr>
            </w:pPr>
            <w:r>
              <w:rPr>
                <w:sz w:val="21"/>
                <w:szCs w:val="21"/>
                <w:u w:color="000000"/>
                <w:lang w:val="zh-TW" w:eastAsia="zh-TW"/>
              </w:rPr>
              <w:t>血生化</w:t>
            </w:r>
          </w:p>
        </w:tc>
        <w:tc>
          <w:tcPr>
            <w:tcW w:w="7358" w:type="dxa"/>
          </w:tcPr>
          <w:p w14:paraId="0EE65346">
            <w:pPr>
              <w:jc w:val="both"/>
              <w:rPr>
                <w:sz w:val="21"/>
                <w:szCs w:val="21"/>
                <w:u w:color="000000"/>
                <w:lang w:val="zh-TW"/>
              </w:rPr>
            </w:pPr>
            <w:r>
              <w:rPr>
                <w:sz w:val="21"/>
                <w:szCs w:val="21"/>
              </w:rPr>
              <w:t>丙氨酸氨基转移酶、门冬氨酸氨基转移酶、碱性磷酸酶、γ-谷丙氨酰转肽酶、总胆红素、直接胆红素、总蛋白、白蛋白、尿素/尿素氮、肌酐、尿酸、空腹血糖、总胆固醇、甘油三酯、高密度脂蛋白胆固醇、低密度脂蛋白胆固醇、钾</w:t>
            </w:r>
            <w:r>
              <w:rPr>
                <w:rFonts w:hint="eastAsia"/>
                <w:sz w:val="21"/>
                <w:szCs w:val="21"/>
              </w:rPr>
              <w:t>（</w:t>
            </w:r>
            <w:r>
              <w:rPr>
                <w:sz w:val="21"/>
                <w:szCs w:val="21"/>
              </w:rPr>
              <w:t>K</w:t>
            </w:r>
            <w:r>
              <w:rPr>
                <w:rFonts w:hint="eastAsia"/>
                <w:sz w:val="21"/>
                <w:szCs w:val="21"/>
              </w:rPr>
              <w:t>）</w:t>
            </w:r>
            <w:r>
              <w:rPr>
                <w:sz w:val="21"/>
                <w:szCs w:val="21"/>
              </w:rPr>
              <w:t>、钙</w:t>
            </w:r>
            <w:r>
              <w:rPr>
                <w:rFonts w:hint="eastAsia"/>
                <w:sz w:val="21"/>
                <w:szCs w:val="21"/>
              </w:rPr>
              <w:t>（</w:t>
            </w:r>
            <w:r>
              <w:rPr>
                <w:sz w:val="21"/>
                <w:szCs w:val="21"/>
              </w:rPr>
              <w:t>Ca</w:t>
            </w:r>
            <w:r>
              <w:rPr>
                <w:rFonts w:hint="eastAsia"/>
                <w:sz w:val="21"/>
                <w:szCs w:val="21"/>
              </w:rPr>
              <w:t>）</w:t>
            </w:r>
            <w:r>
              <w:rPr>
                <w:sz w:val="21"/>
                <w:szCs w:val="21"/>
              </w:rPr>
              <w:t>、钠</w:t>
            </w:r>
            <w:r>
              <w:rPr>
                <w:rFonts w:hint="eastAsia"/>
                <w:sz w:val="21"/>
                <w:szCs w:val="21"/>
              </w:rPr>
              <w:t>（</w:t>
            </w:r>
            <w:r>
              <w:rPr>
                <w:sz w:val="21"/>
                <w:szCs w:val="21"/>
              </w:rPr>
              <w:t>Na</w:t>
            </w:r>
            <w:r>
              <w:rPr>
                <w:rFonts w:hint="eastAsia"/>
                <w:sz w:val="21"/>
                <w:szCs w:val="21"/>
              </w:rPr>
              <w:t>）</w:t>
            </w:r>
            <w:r>
              <w:rPr>
                <w:sz w:val="21"/>
                <w:szCs w:val="21"/>
              </w:rPr>
              <w:t>、</w:t>
            </w:r>
            <w:r>
              <w:rPr>
                <w:rFonts w:hint="eastAsia"/>
                <w:sz w:val="21"/>
                <w:szCs w:val="21"/>
              </w:rPr>
              <w:t>肌酸激酶（</w:t>
            </w:r>
            <w:r>
              <w:rPr>
                <w:sz w:val="21"/>
                <w:szCs w:val="21"/>
              </w:rPr>
              <w:t>CK</w:t>
            </w:r>
            <w:r>
              <w:rPr>
                <w:rFonts w:hint="eastAsia"/>
                <w:sz w:val="21"/>
                <w:szCs w:val="21"/>
              </w:rPr>
              <w:t>）</w:t>
            </w:r>
          </w:p>
        </w:tc>
      </w:tr>
      <w:tr w14:paraId="50CB1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D0E45A6">
            <w:pPr>
              <w:jc w:val="both"/>
              <w:rPr>
                <w:sz w:val="21"/>
                <w:szCs w:val="21"/>
                <w:u w:color="000000"/>
                <w:lang w:val="zh-TW" w:eastAsia="zh-TW"/>
              </w:rPr>
            </w:pPr>
            <w:r>
              <w:rPr>
                <w:sz w:val="21"/>
                <w:szCs w:val="21"/>
                <w:u w:color="000000"/>
                <w:lang w:val="zh-TW" w:eastAsia="zh-TW"/>
              </w:rPr>
              <w:t>尿常规</w:t>
            </w:r>
          </w:p>
        </w:tc>
        <w:tc>
          <w:tcPr>
            <w:tcW w:w="7358" w:type="dxa"/>
          </w:tcPr>
          <w:p w14:paraId="7792AB85">
            <w:pPr>
              <w:jc w:val="both"/>
              <w:rPr>
                <w:sz w:val="21"/>
                <w:szCs w:val="21"/>
              </w:rPr>
            </w:pPr>
            <w:r>
              <w:rPr>
                <w:sz w:val="21"/>
                <w:szCs w:val="21"/>
              </w:rPr>
              <w:t>酸碱度、尿比重、尿胆原、隐血、白细胞、尿蛋白、尿糖、胆红素、酮体、尿红细胞、尿液颜色</w:t>
            </w:r>
            <w:r>
              <w:rPr>
                <w:rFonts w:hint="eastAsia"/>
                <w:sz w:val="21"/>
                <w:szCs w:val="21"/>
              </w:rPr>
              <w:t>（建议）</w:t>
            </w:r>
          </w:p>
        </w:tc>
      </w:tr>
      <w:tr w14:paraId="50E5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1998D011">
            <w:pPr>
              <w:jc w:val="both"/>
              <w:rPr>
                <w:sz w:val="21"/>
                <w:szCs w:val="21"/>
                <w:u w:color="000000"/>
                <w:lang w:val="zh-TW" w:eastAsia="zh-TW"/>
              </w:rPr>
            </w:pPr>
            <w:r>
              <w:rPr>
                <w:sz w:val="21"/>
                <w:szCs w:val="21"/>
                <w:u w:color="000000"/>
                <w:lang w:val="zh-TW" w:eastAsia="zh-TW"/>
              </w:rPr>
              <w:t>凝血功能</w:t>
            </w:r>
          </w:p>
        </w:tc>
        <w:tc>
          <w:tcPr>
            <w:tcW w:w="7358" w:type="dxa"/>
          </w:tcPr>
          <w:p w14:paraId="1672E5C2">
            <w:pPr>
              <w:jc w:val="both"/>
              <w:rPr>
                <w:sz w:val="21"/>
                <w:szCs w:val="21"/>
              </w:rPr>
            </w:pPr>
            <w:r>
              <w:rPr>
                <w:sz w:val="21"/>
                <w:szCs w:val="21"/>
              </w:rPr>
              <w:t>血浆凝血酶原时间（PT）、PT活动度</w:t>
            </w:r>
            <w:r>
              <w:rPr>
                <w:rFonts w:hint="eastAsia"/>
                <w:sz w:val="21"/>
                <w:szCs w:val="21"/>
              </w:rPr>
              <w:t>（建议）</w:t>
            </w:r>
            <w:r>
              <w:rPr>
                <w:sz w:val="21"/>
                <w:szCs w:val="21"/>
              </w:rPr>
              <w:t>、国际标准化比值（INR），纤维蛋白原（FIB），活化部分凝血活酶时间（APTT）、血浆凝血酶时间（TT）</w:t>
            </w:r>
          </w:p>
        </w:tc>
      </w:tr>
      <w:tr w14:paraId="39543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7D04E7BD">
            <w:pPr>
              <w:jc w:val="both"/>
              <w:rPr>
                <w:sz w:val="21"/>
                <w:szCs w:val="21"/>
                <w:u w:color="000000"/>
                <w:lang w:val="zh-TW" w:eastAsia="zh-TW"/>
              </w:rPr>
            </w:pPr>
            <w:r>
              <w:rPr>
                <w:sz w:val="21"/>
                <w:szCs w:val="21"/>
                <w:u w:color="000000"/>
                <w:lang w:val="zh-TW" w:eastAsia="zh-TW"/>
              </w:rPr>
              <w:t>病毒学检查</w:t>
            </w:r>
          </w:p>
        </w:tc>
        <w:tc>
          <w:tcPr>
            <w:tcW w:w="7358" w:type="dxa"/>
          </w:tcPr>
          <w:p w14:paraId="403B2DAE">
            <w:pPr>
              <w:jc w:val="both"/>
              <w:rPr>
                <w:sz w:val="21"/>
                <w:szCs w:val="21"/>
                <w:lang w:eastAsia="zh-TW"/>
              </w:rPr>
            </w:pPr>
            <w:r>
              <w:rPr>
                <w:sz w:val="21"/>
                <w:szCs w:val="21"/>
                <w:lang w:eastAsia="zh-TW"/>
              </w:rPr>
              <w:t>HIV、丙型肝炎及梅毒螺旋体抗体检测；乙肝两对半，包括乙肝表面抗原（HBsAg）、乙肝表面抗体（抗-HBs）、乙肝e抗原（HBeAg）、乙肝e抗体（抗-HBe）、乙肝核心抗体（抗-HBc）</w:t>
            </w:r>
            <w:r>
              <w:rPr>
                <w:rFonts w:hint="eastAsia"/>
                <w:sz w:val="21"/>
                <w:szCs w:val="21"/>
                <w:lang w:eastAsia="zh-TW"/>
              </w:rPr>
              <w:t>；</w:t>
            </w:r>
            <w:r>
              <w:rPr>
                <w:sz w:val="21"/>
                <w:szCs w:val="21"/>
                <w:lang w:eastAsia="zh-TW"/>
              </w:rPr>
              <w:t>HbsAg阳性者需检测HBV-DNA</w:t>
            </w:r>
            <w:r>
              <w:rPr>
                <w:rFonts w:hint="eastAsia"/>
                <w:lang w:eastAsia="zh-TW"/>
              </w:rPr>
              <w:t>，</w:t>
            </w:r>
            <w:r>
              <w:rPr>
                <w:rFonts w:hint="eastAsia"/>
                <w:sz w:val="21"/>
                <w:szCs w:val="21"/>
                <w:lang w:eastAsia="zh-TW"/>
              </w:rPr>
              <w:t>丙肝抗体阳性者需检测</w:t>
            </w:r>
            <w:r>
              <w:rPr>
                <w:sz w:val="21"/>
                <w:szCs w:val="21"/>
                <w:lang w:eastAsia="zh-TW"/>
              </w:rPr>
              <w:t xml:space="preserve"> HCV-RNA</w:t>
            </w:r>
          </w:p>
        </w:tc>
      </w:tr>
    </w:tbl>
    <w:p w14:paraId="6E80CFE1">
      <w:pPr>
        <w:pStyle w:val="4"/>
        <w:numPr>
          <w:ilvl w:val="1"/>
          <w:numId w:val="5"/>
        </w:numPr>
        <w:spacing w:before="0" w:after="0" w:line="360" w:lineRule="auto"/>
        <w:ind w:left="0" w:firstLine="0"/>
        <w:rPr>
          <w:rFonts w:ascii="Times New Roman" w:hAnsi="Times New Roman" w:eastAsia="宋体"/>
          <w:sz w:val="24"/>
          <w:szCs w:val="24"/>
          <w:lang w:val="zh-TW" w:eastAsia="zh-TW"/>
        </w:rPr>
      </w:pPr>
      <w:bookmarkStart w:id="782" w:name="_Toc183523079"/>
      <w:bookmarkStart w:id="783" w:name="_Toc22588"/>
      <w:bookmarkStart w:id="784" w:name="_Toc11372"/>
      <w:bookmarkStart w:id="785" w:name="_Toc28176"/>
      <w:r>
        <w:rPr>
          <w:rFonts w:ascii="Times New Roman" w:hAnsi="Times New Roman" w:eastAsia="宋体"/>
          <w:sz w:val="24"/>
          <w:szCs w:val="24"/>
          <w:lang w:val="zh-TW" w:eastAsia="zh-TW"/>
        </w:rPr>
        <w:t>国家/地区特定差异</w:t>
      </w:r>
      <w:bookmarkEnd w:id="782"/>
      <w:bookmarkEnd w:id="783"/>
      <w:bookmarkEnd w:id="784"/>
      <w:bookmarkEnd w:id="785"/>
    </w:p>
    <w:p w14:paraId="5EB3D702">
      <w:pPr>
        <w:pStyle w:val="3"/>
        <w:tabs>
          <w:tab w:val="left" w:pos="0"/>
          <w:tab w:val="left" w:pos="909"/>
        </w:tabs>
        <w:spacing w:line="360" w:lineRule="auto"/>
        <w:ind w:firstLine="480" w:firstLineChars="200"/>
        <w:rPr>
          <w:rFonts w:ascii="Times New Roman" w:hAnsi="Times New Roman" w:cs="Times New Roman"/>
          <w:color w:val="auto"/>
          <w:kern w:val="0"/>
          <w:sz w:val="24"/>
          <w:szCs w:val="24"/>
          <w:lang w:val="zh-TW" w:eastAsia="zh-TW"/>
        </w:rPr>
      </w:pPr>
      <w:r>
        <w:rPr>
          <w:rFonts w:ascii="Times New Roman" w:hAnsi="Times New Roman" w:cs="Times New Roman"/>
          <w:color w:val="auto"/>
          <w:kern w:val="0"/>
          <w:sz w:val="24"/>
          <w:szCs w:val="24"/>
          <w:lang w:val="zh-TW" w:eastAsia="zh-TW"/>
        </w:rPr>
        <w:t>不适用。</w:t>
      </w:r>
    </w:p>
    <w:p w14:paraId="06FE4EA0">
      <w:pPr>
        <w:spacing w:line="360" w:lineRule="auto"/>
        <w:ind w:firstLine="480" w:firstLineChars="200"/>
        <w:rPr>
          <w:kern w:val="0"/>
          <w:szCs w:val="24"/>
          <w:lang w:val="zh-TW" w:eastAsia="zh-TW"/>
        </w:rPr>
      </w:pPr>
      <w:r>
        <w:rPr>
          <w:kern w:val="0"/>
          <w:szCs w:val="24"/>
          <w:lang w:val="zh-TW" w:eastAsia="zh-TW"/>
        </w:rPr>
        <w:br w:type="page"/>
      </w:r>
    </w:p>
    <w:p w14:paraId="638A9C93">
      <w:pPr>
        <w:pStyle w:val="2"/>
        <w:numPr>
          <w:ilvl w:val="0"/>
          <w:numId w:val="5"/>
        </w:numPr>
        <w:ind w:left="0" w:firstLine="0"/>
        <w:rPr>
          <w:rFonts w:ascii="Times New Roman" w:hAnsi="Times New Roman"/>
          <w:color w:val="auto"/>
          <w:szCs w:val="24"/>
        </w:rPr>
      </w:pPr>
      <w:bookmarkStart w:id="786" w:name="_Toc183523081"/>
      <w:bookmarkStart w:id="787" w:name="_Toc25482"/>
      <w:bookmarkStart w:id="788" w:name="_Toc25663"/>
      <w:bookmarkStart w:id="789" w:name="_Toc23728"/>
      <w:bookmarkStart w:id="1077" w:name="_GoBack"/>
      <w:bookmarkEnd w:id="1077"/>
      <w:r>
        <w:rPr>
          <w:rFonts w:ascii="Times New Roman" w:hAnsi="Times New Roman"/>
          <w:color w:val="auto"/>
          <w:szCs w:val="24"/>
        </w:rPr>
        <w:t>附录3：术语表</w:t>
      </w:r>
      <w:bookmarkEnd w:id="786"/>
      <w:bookmarkEnd w:id="787"/>
      <w:bookmarkEnd w:id="788"/>
      <w:bookmarkEnd w:id="789"/>
    </w:p>
    <w:tbl>
      <w:tblPr>
        <w:tblStyle w:val="17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9"/>
        <w:gridCol w:w="3827"/>
        <w:gridCol w:w="3638"/>
      </w:tblGrid>
      <w:tr w14:paraId="295F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1" w:hRule="atLeast"/>
          <w:tblHeader/>
          <w:jc w:val="center"/>
        </w:trPr>
        <w:tc>
          <w:tcPr>
            <w:tcW w:w="1097" w:type="pct"/>
            <w:shd w:val="clear" w:color="auto" w:fill="auto"/>
            <w:vAlign w:val="center"/>
          </w:tcPr>
          <w:p w14:paraId="57A5A43E">
            <w:pPr>
              <w:adjustRightInd w:val="0"/>
              <w:jc w:val="center"/>
              <w:rPr>
                <w:rFonts w:ascii="Calibri" w:hAnsi="Calibri"/>
                <w:b/>
                <w:bCs/>
                <w:sz w:val="21"/>
                <w:szCs w:val="21"/>
              </w:rPr>
            </w:pPr>
            <w:r>
              <w:rPr>
                <w:rFonts w:hint="eastAsia" w:ascii="Calibri" w:hAnsi="Calibri"/>
                <w:b/>
                <w:bCs/>
                <w:sz w:val="21"/>
                <w:szCs w:val="21"/>
              </w:rPr>
              <w:t>缩略语</w:t>
            </w:r>
          </w:p>
        </w:tc>
        <w:tc>
          <w:tcPr>
            <w:tcW w:w="2000" w:type="pct"/>
            <w:vAlign w:val="center"/>
          </w:tcPr>
          <w:p w14:paraId="089ACD7F">
            <w:pPr>
              <w:adjustRightInd w:val="0"/>
              <w:jc w:val="center"/>
              <w:rPr>
                <w:rFonts w:ascii="Calibri" w:hAnsi="Calibri"/>
                <w:b/>
                <w:bCs/>
                <w:sz w:val="21"/>
                <w:szCs w:val="21"/>
              </w:rPr>
            </w:pPr>
            <w:r>
              <w:rPr>
                <w:rFonts w:hint="eastAsia" w:ascii="Calibri" w:hAnsi="Calibri"/>
                <w:b/>
                <w:bCs/>
                <w:sz w:val="21"/>
                <w:szCs w:val="21"/>
              </w:rPr>
              <w:t>英文释义</w:t>
            </w:r>
          </w:p>
        </w:tc>
        <w:tc>
          <w:tcPr>
            <w:tcW w:w="1901" w:type="pct"/>
            <w:shd w:val="clear" w:color="auto" w:fill="auto"/>
            <w:vAlign w:val="center"/>
          </w:tcPr>
          <w:p w14:paraId="35CA34FD">
            <w:pPr>
              <w:adjustRightInd w:val="0"/>
              <w:jc w:val="center"/>
              <w:rPr>
                <w:rFonts w:ascii="Calibri" w:hAnsi="Calibri"/>
                <w:b/>
                <w:bCs/>
                <w:sz w:val="21"/>
                <w:szCs w:val="21"/>
              </w:rPr>
            </w:pPr>
            <w:r>
              <w:rPr>
                <w:rFonts w:hint="eastAsia" w:ascii="Calibri" w:hAnsi="Calibri"/>
                <w:b/>
                <w:bCs/>
                <w:sz w:val="21"/>
                <w:szCs w:val="21"/>
              </w:rPr>
              <w:t>中文释义</w:t>
            </w:r>
          </w:p>
        </w:tc>
      </w:tr>
      <w:tr w14:paraId="31E7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3F2D699">
            <w:pPr>
              <w:adjustRightInd w:val="0"/>
              <w:jc w:val="center"/>
              <w:rPr>
                <w:rFonts w:ascii="Calibri" w:hAnsi="Calibri"/>
                <w:spacing w:val="15"/>
                <w:sz w:val="21"/>
                <w:szCs w:val="21"/>
              </w:rPr>
            </w:pPr>
            <w:r>
              <w:rPr>
                <w:rFonts w:ascii="Calibri" w:hAnsi="Calibri"/>
                <w:kern w:val="0"/>
                <w:sz w:val="21"/>
                <w:szCs w:val="21"/>
                <w:vertAlign w:val="superscript"/>
              </w:rPr>
              <w:t>18</w:t>
            </w:r>
            <w:r>
              <w:rPr>
                <w:rFonts w:ascii="Calibri" w:hAnsi="Calibri"/>
                <w:kern w:val="0"/>
                <w:sz w:val="21"/>
                <w:szCs w:val="21"/>
              </w:rPr>
              <w:t>F-FDG</w:t>
            </w:r>
          </w:p>
        </w:tc>
        <w:tc>
          <w:tcPr>
            <w:tcW w:w="2000" w:type="pct"/>
            <w:vAlign w:val="center"/>
          </w:tcPr>
          <w:p w14:paraId="261F7BAF">
            <w:pPr>
              <w:adjustRightInd w:val="0"/>
              <w:jc w:val="center"/>
              <w:rPr>
                <w:rFonts w:ascii="Calibri" w:hAnsi="Calibri"/>
                <w:sz w:val="21"/>
                <w:szCs w:val="21"/>
                <w:shd w:val="clear" w:color="auto" w:fill="FFFFFF"/>
              </w:rPr>
            </w:pPr>
            <w:r>
              <w:rPr>
                <w:rFonts w:ascii="Calibri" w:hAnsi="Calibri"/>
                <w:kern w:val="0"/>
                <w:sz w:val="21"/>
                <w:szCs w:val="21"/>
                <w:lang w:val="en-GB"/>
              </w:rPr>
              <w:t>Fluorodeoxyglucose(</w:t>
            </w:r>
            <w:r>
              <w:rPr>
                <w:rFonts w:ascii="Calibri" w:hAnsi="Calibri"/>
                <w:sz w:val="21"/>
                <w:szCs w:val="21"/>
                <w:vertAlign w:val="superscript"/>
              </w:rPr>
              <w:t>18</w:t>
            </w:r>
            <w:r>
              <w:rPr>
                <w:rFonts w:ascii="Calibri" w:hAnsi="Calibri"/>
                <w:sz w:val="21"/>
                <w:szCs w:val="21"/>
              </w:rPr>
              <w:t>F)</w:t>
            </w:r>
          </w:p>
        </w:tc>
        <w:tc>
          <w:tcPr>
            <w:tcW w:w="1901" w:type="pct"/>
            <w:vAlign w:val="center"/>
          </w:tcPr>
          <w:p w14:paraId="20D8A2B9">
            <w:pPr>
              <w:adjustRightInd w:val="0"/>
              <w:jc w:val="center"/>
              <w:rPr>
                <w:rFonts w:ascii="Calibri" w:hAnsi="Calibri"/>
                <w:sz w:val="21"/>
                <w:szCs w:val="21"/>
                <w:shd w:val="clear" w:color="auto" w:fill="FFFFFF"/>
              </w:rPr>
            </w:pPr>
            <w:r>
              <w:rPr>
                <w:rFonts w:hint="eastAsia" w:ascii="Calibri" w:hAnsi="Calibri"/>
                <w:kern w:val="0"/>
                <w:sz w:val="21"/>
                <w:szCs w:val="21"/>
              </w:rPr>
              <w:t>氟</w:t>
            </w:r>
            <w:r>
              <w:rPr>
                <w:rFonts w:ascii="Calibri" w:hAnsi="Calibri"/>
                <w:kern w:val="0"/>
                <w:sz w:val="21"/>
                <w:szCs w:val="21"/>
              </w:rPr>
              <w:t>[</w:t>
            </w:r>
            <w:r>
              <w:rPr>
                <w:rFonts w:ascii="Calibri" w:hAnsi="Calibri"/>
                <w:kern w:val="0"/>
                <w:sz w:val="21"/>
                <w:szCs w:val="21"/>
                <w:vertAlign w:val="superscript"/>
              </w:rPr>
              <w:t>18</w:t>
            </w:r>
            <w:r>
              <w:rPr>
                <w:rFonts w:ascii="Calibri" w:hAnsi="Calibri"/>
                <w:kern w:val="0"/>
                <w:sz w:val="21"/>
                <w:szCs w:val="21"/>
              </w:rPr>
              <w:t>F]</w:t>
            </w:r>
            <w:r>
              <w:rPr>
                <w:rFonts w:hint="eastAsia" w:ascii="Calibri" w:hAnsi="Calibri"/>
                <w:kern w:val="0"/>
                <w:sz w:val="21"/>
                <w:szCs w:val="21"/>
              </w:rPr>
              <w:t>脱氧葡萄糖</w:t>
            </w:r>
          </w:p>
        </w:tc>
      </w:tr>
      <w:tr w14:paraId="61E13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104A7C5A">
            <w:pPr>
              <w:adjustRightInd w:val="0"/>
              <w:jc w:val="center"/>
              <w:rPr>
                <w:rFonts w:ascii="Calibri" w:hAnsi="Calibri"/>
                <w:kern w:val="0"/>
                <w:sz w:val="21"/>
                <w:szCs w:val="21"/>
              </w:rPr>
            </w:pPr>
            <w:r>
              <w:rPr>
                <w:rFonts w:ascii="Calibri" w:hAnsi="Calibri"/>
                <w:sz w:val="21"/>
                <w:szCs w:val="21"/>
              </w:rPr>
              <w:t>ADT</w:t>
            </w:r>
          </w:p>
        </w:tc>
        <w:tc>
          <w:tcPr>
            <w:tcW w:w="2000" w:type="pct"/>
            <w:vAlign w:val="center"/>
          </w:tcPr>
          <w:p w14:paraId="149151E7">
            <w:pPr>
              <w:adjustRightInd w:val="0"/>
              <w:jc w:val="center"/>
              <w:rPr>
                <w:rFonts w:ascii="Calibri" w:hAnsi="Calibri"/>
                <w:sz w:val="21"/>
                <w:szCs w:val="21"/>
              </w:rPr>
            </w:pPr>
            <w:r>
              <w:rPr>
                <w:rFonts w:ascii="Calibri" w:hAnsi="Calibri"/>
                <w:kern w:val="0"/>
                <w:sz w:val="21"/>
                <w:szCs w:val="21"/>
                <w:lang w:val="en-GB"/>
              </w:rPr>
              <w:t>Androgen Deprivation Therapy</w:t>
            </w:r>
          </w:p>
        </w:tc>
        <w:tc>
          <w:tcPr>
            <w:tcW w:w="1901" w:type="pct"/>
            <w:vAlign w:val="center"/>
          </w:tcPr>
          <w:p w14:paraId="25FFD027">
            <w:pPr>
              <w:adjustRightInd w:val="0"/>
              <w:jc w:val="center"/>
              <w:rPr>
                <w:rFonts w:ascii="Calibri" w:hAnsi="Calibri"/>
                <w:sz w:val="21"/>
                <w:szCs w:val="21"/>
              </w:rPr>
            </w:pPr>
            <w:r>
              <w:rPr>
                <w:rFonts w:hint="eastAsia" w:ascii="Calibri" w:hAnsi="Calibri"/>
                <w:sz w:val="21"/>
                <w:szCs w:val="21"/>
              </w:rPr>
              <w:t>雄激素剥夺治疗</w:t>
            </w:r>
          </w:p>
        </w:tc>
      </w:tr>
      <w:tr w14:paraId="6F435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18BCA344">
            <w:pPr>
              <w:adjustRightInd w:val="0"/>
              <w:jc w:val="center"/>
              <w:rPr>
                <w:rFonts w:ascii="Calibri" w:hAnsi="Calibri"/>
                <w:sz w:val="21"/>
                <w:szCs w:val="21"/>
              </w:rPr>
            </w:pPr>
            <w:r>
              <w:rPr>
                <w:rFonts w:ascii="Calibri" w:hAnsi="Calibri"/>
                <w:sz w:val="21"/>
                <w:szCs w:val="21"/>
              </w:rPr>
              <w:t>AE</w:t>
            </w:r>
          </w:p>
        </w:tc>
        <w:tc>
          <w:tcPr>
            <w:tcW w:w="2000" w:type="pct"/>
            <w:vAlign w:val="center"/>
          </w:tcPr>
          <w:p w14:paraId="17D01BA2">
            <w:pPr>
              <w:adjustRightInd w:val="0"/>
              <w:jc w:val="center"/>
              <w:rPr>
                <w:rFonts w:ascii="Calibri" w:hAnsi="Calibri"/>
                <w:sz w:val="21"/>
                <w:szCs w:val="21"/>
                <w:lang w:val="en-GB"/>
              </w:rPr>
            </w:pPr>
            <w:r>
              <w:rPr>
                <w:rFonts w:ascii="Calibri" w:hAnsi="Calibri"/>
                <w:sz w:val="21"/>
                <w:szCs w:val="21"/>
                <w:lang w:val="en-GB"/>
              </w:rPr>
              <w:t>Adverse Event</w:t>
            </w:r>
          </w:p>
        </w:tc>
        <w:tc>
          <w:tcPr>
            <w:tcW w:w="1901" w:type="pct"/>
            <w:vAlign w:val="center"/>
          </w:tcPr>
          <w:p w14:paraId="25C0C49C">
            <w:pPr>
              <w:adjustRightInd w:val="0"/>
              <w:jc w:val="center"/>
              <w:rPr>
                <w:rFonts w:ascii="Calibri" w:hAnsi="Calibri"/>
                <w:sz w:val="21"/>
                <w:szCs w:val="21"/>
              </w:rPr>
            </w:pPr>
            <w:r>
              <w:rPr>
                <w:rFonts w:hint="eastAsia" w:ascii="Calibri" w:hAnsi="Calibri"/>
                <w:sz w:val="21"/>
                <w:szCs w:val="21"/>
                <w:lang w:val="en-GB"/>
              </w:rPr>
              <w:t>不良事件</w:t>
            </w:r>
          </w:p>
        </w:tc>
      </w:tr>
      <w:tr w14:paraId="1B2A6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52D94B8">
            <w:pPr>
              <w:adjustRightInd w:val="0"/>
              <w:jc w:val="center"/>
              <w:rPr>
                <w:rFonts w:ascii="Calibri" w:hAnsi="Calibri"/>
                <w:sz w:val="21"/>
                <w:szCs w:val="21"/>
              </w:rPr>
            </w:pPr>
            <w:r>
              <w:rPr>
                <w:rFonts w:ascii="Calibri" w:hAnsi="Calibri"/>
                <w:sz w:val="21"/>
                <w:szCs w:val="21"/>
              </w:rPr>
              <w:t>ALT</w:t>
            </w:r>
          </w:p>
        </w:tc>
        <w:tc>
          <w:tcPr>
            <w:tcW w:w="2000" w:type="pct"/>
            <w:vAlign w:val="center"/>
          </w:tcPr>
          <w:p w14:paraId="40AF0D9E">
            <w:pPr>
              <w:adjustRightInd w:val="0"/>
              <w:jc w:val="center"/>
              <w:rPr>
                <w:rFonts w:ascii="Calibri" w:hAnsi="Calibri"/>
                <w:sz w:val="21"/>
                <w:szCs w:val="21"/>
                <w:lang w:val="en-GB"/>
              </w:rPr>
            </w:pPr>
            <w:r>
              <w:rPr>
                <w:rFonts w:ascii="Calibri" w:hAnsi="Calibri"/>
                <w:sz w:val="21"/>
                <w:szCs w:val="21"/>
                <w:lang w:val="en-GB"/>
              </w:rPr>
              <w:t>Alanine aminotransferase</w:t>
            </w:r>
          </w:p>
        </w:tc>
        <w:tc>
          <w:tcPr>
            <w:tcW w:w="1901" w:type="pct"/>
            <w:vAlign w:val="center"/>
          </w:tcPr>
          <w:p w14:paraId="16AA37C6">
            <w:pPr>
              <w:adjustRightInd w:val="0"/>
              <w:jc w:val="center"/>
              <w:rPr>
                <w:rFonts w:ascii="Calibri" w:hAnsi="Calibri"/>
                <w:sz w:val="21"/>
                <w:szCs w:val="21"/>
              </w:rPr>
            </w:pPr>
            <w:r>
              <w:rPr>
                <w:rFonts w:hint="eastAsia" w:ascii="Calibri" w:hAnsi="Calibri"/>
                <w:sz w:val="21"/>
                <w:szCs w:val="21"/>
                <w:lang w:val="en-GB"/>
              </w:rPr>
              <w:t>丙氨酸氨基转移酶</w:t>
            </w:r>
          </w:p>
        </w:tc>
      </w:tr>
      <w:tr w14:paraId="1178B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445C4820">
            <w:pPr>
              <w:adjustRightInd w:val="0"/>
              <w:jc w:val="center"/>
              <w:rPr>
                <w:rFonts w:ascii="Calibri" w:hAnsi="Calibri"/>
                <w:sz w:val="21"/>
                <w:szCs w:val="21"/>
              </w:rPr>
            </w:pPr>
            <w:r>
              <w:rPr>
                <w:rFonts w:ascii="Calibri" w:hAnsi="Calibri"/>
                <w:sz w:val="21"/>
                <w:szCs w:val="21"/>
              </w:rPr>
              <w:t>ALP</w:t>
            </w:r>
          </w:p>
        </w:tc>
        <w:tc>
          <w:tcPr>
            <w:tcW w:w="2000" w:type="pct"/>
            <w:vAlign w:val="center"/>
          </w:tcPr>
          <w:p w14:paraId="2347BDE2">
            <w:pPr>
              <w:adjustRightInd w:val="0"/>
              <w:jc w:val="center"/>
              <w:rPr>
                <w:rFonts w:ascii="Calibri" w:hAnsi="Calibri"/>
                <w:sz w:val="21"/>
                <w:szCs w:val="21"/>
                <w:lang w:val="en-GB"/>
              </w:rPr>
            </w:pPr>
            <w:r>
              <w:rPr>
                <w:rFonts w:ascii="Calibri" w:hAnsi="Calibri"/>
                <w:sz w:val="21"/>
                <w:szCs w:val="21"/>
              </w:rPr>
              <w:t>Alkaline Phosphatase</w:t>
            </w:r>
          </w:p>
        </w:tc>
        <w:tc>
          <w:tcPr>
            <w:tcW w:w="1901" w:type="pct"/>
            <w:vAlign w:val="center"/>
          </w:tcPr>
          <w:p w14:paraId="124C3ACE">
            <w:pPr>
              <w:adjustRightInd w:val="0"/>
              <w:jc w:val="center"/>
              <w:rPr>
                <w:rFonts w:ascii="Calibri" w:hAnsi="Calibri"/>
                <w:sz w:val="21"/>
                <w:szCs w:val="21"/>
              </w:rPr>
            </w:pPr>
            <w:r>
              <w:rPr>
                <w:rFonts w:hint="eastAsia" w:ascii="Calibri" w:hAnsi="Calibri"/>
                <w:sz w:val="21"/>
                <w:szCs w:val="21"/>
              </w:rPr>
              <w:t>碱性磷酸酶</w:t>
            </w:r>
          </w:p>
        </w:tc>
      </w:tr>
      <w:tr w14:paraId="06BDA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E2D0CBF">
            <w:pPr>
              <w:adjustRightInd w:val="0"/>
              <w:jc w:val="center"/>
              <w:rPr>
                <w:rFonts w:ascii="Calibri" w:hAnsi="Calibri"/>
                <w:sz w:val="21"/>
                <w:szCs w:val="21"/>
              </w:rPr>
            </w:pPr>
            <w:r>
              <w:rPr>
                <w:rFonts w:ascii="Calibri" w:hAnsi="Calibri"/>
                <w:sz w:val="21"/>
                <w:szCs w:val="21"/>
              </w:rPr>
              <w:t>APTT</w:t>
            </w:r>
          </w:p>
        </w:tc>
        <w:tc>
          <w:tcPr>
            <w:tcW w:w="2000" w:type="pct"/>
            <w:vAlign w:val="center"/>
          </w:tcPr>
          <w:p w14:paraId="014EF11A">
            <w:pPr>
              <w:adjustRightInd w:val="0"/>
              <w:jc w:val="center"/>
              <w:rPr>
                <w:rFonts w:ascii="Calibri" w:hAnsi="Calibri"/>
                <w:sz w:val="21"/>
                <w:szCs w:val="21"/>
                <w:lang w:val="en-GB"/>
              </w:rPr>
            </w:pPr>
            <w:r>
              <w:rPr>
                <w:rFonts w:ascii="Calibri" w:hAnsi="Calibri"/>
                <w:sz w:val="21"/>
                <w:szCs w:val="21"/>
              </w:rPr>
              <w:t>Activated Partial Thromboplastin Time</w:t>
            </w:r>
          </w:p>
        </w:tc>
        <w:tc>
          <w:tcPr>
            <w:tcW w:w="1901" w:type="pct"/>
            <w:vAlign w:val="center"/>
          </w:tcPr>
          <w:p w14:paraId="4C8433A2">
            <w:pPr>
              <w:adjustRightInd w:val="0"/>
              <w:jc w:val="center"/>
              <w:rPr>
                <w:rFonts w:ascii="Calibri" w:hAnsi="Calibri"/>
                <w:sz w:val="21"/>
                <w:szCs w:val="21"/>
              </w:rPr>
            </w:pPr>
            <w:r>
              <w:rPr>
                <w:rFonts w:hint="eastAsia" w:ascii="Calibri" w:hAnsi="Calibri"/>
                <w:sz w:val="21"/>
                <w:szCs w:val="21"/>
              </w:rPr>
              <w:t>活化部分凝血活酶时间</w:t>
            </w:r>
          </w:p>
        </w:tc>
      </w:tr>
      <w:tr w14:paraId="2BAA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34FF4CA1">
            <w:pPr>
              <w:adjustRightInd w:val="0"/>
              <w:jc w:val="center"/>
              <w:rPr>
                <w:rFonts w:ascii="Calibri" w:hAnsi="Calibri"/>
                <w:sz w:val="21"/>
                <w:szCs w:val="21"/>
              </w:rPr>
            </w:pPr>
            <w:r>
              <w:rPr>
                <w:rFonts w:ascii="Calibri" w:hAnsi="Calibri"/>
                <w:sz w:val="21"/>
                <w:szCs w:val="21"/>
              </w:rPr>
              <w:t>AST</w:t>
            </w:r>
          </w:p>
        </w:tc>
        <w:tc>
          <w:tcPr>
            <w:tcW w:w="2000" w:type="pct"/>
            <w:vAlign w:val="center"/>
          </w:tcPr>
          <w:p w14:paraId="412B7A87">
            <w:pPr>
              <w:adjustRightInd w:val="0"/>
              <w:jc w:val="center"/>
              <w:rPr>
                <w:rFonts w:ascii="Calibri" w:hAnsi="Calibri"/>
                <w:sz w:val="21"/>
                <w:szCs w:val="21"/>
                <w:lang w:val="en-GB"/>
              </w:rPr>
            </w:pPr>
            <w:r>
              <w:rPr>
                <w:rFonts w:ascii="Calibri" w:hAnsi="Calibri"/>
                <w:sz w:val="21"/>
                <w:szCs w:val="21"/>
                <w:lang w:val="en-GB"/>
              </w:rPr>
              <w:t>Aspartate aminotransferase</w:t>
            </w:r>
          </w:p>
        </w:tc>
        <w:tc>
          <w:tcPr>
            <w:tcW w:w="1901" w:type="pct"/>
            <w:vAlign w:val="center"/>
          </w:tcPr>
          <w:p w14:paraId="3C08762B">
            <w:pPr>
              <w:adjustRightInd w:val="0"/>
              <w:jc w:val="center"/>
              <w:rPr>
                <w:rFonts w:ascii="Calibri" w:hAnsi="Calibri"/>
                <w:sz w:val="21"/>
                <w:szCs w:val="21"/>
              </w:rPr>
            </w:pPr>
            <w:r>
              <w:rPr>
                <w:rFonts w:hint="eastAsia" w:ascii="Calibri" w:hAnsi="Calibri"/>
                <w:sz w:val="21"/>
                <w:szCs w:val="21"/>
                <w:lang w:val="en-GB"/>
              </w:rPr>
              <w:t>天门冬氨酸氨基转移酶</w:t>
            </w:r>
          </w:p>
        </w:tc>
      </w:tr>
      <w:tr w14:paraId="1DCA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391C9004">
            <w:pPr>
              <w:adjustRightInd w:val="0"/>
              <w:jc w:val="center"/>
              <w:rPr>
                <w:rFonts w:ascii="Calibri" w:hAnsi="Calibri"/>
                <w:kern w:val="0"/>
                <w:sz w:val="21"/>
                <w:szCs w:val="21"/>
              </w:rPr>
            </w:pPr>
            <w:r>
              <w:rPr>
                <w:rFonts w:ascii="Calibri" w:hAnsi="Calibri"/>
                <w:kern w:val="0"/>
                <w:sz w:val="21"/>
                <w:szCs w:val="21"/>
              </w:rPr>
              <w:t>BCP</w:t>
            </w:r>
          </w:p>
        </w:tc>
        <w:tc>
          <w:tcPr>
            <w:tcW w:w="2000" w:type="pct"/>
            <w:shd w:val="clear" w:color="auto" w:fill="auto"/>
            <w:vAlign w:val="center"/>
          </w:tcPr>
          <w:p w14:paraId="17CDB762">
            <w:pPr>
              <w:adjustRightInd w:val="0"/>
              <w:jc w:val="center"/>
              <w:rPr>
                <w:rFonts w:ascii="Calibri" w:hAnsi="Calibri"/>
                <w:kern w:val="0"/>
                <w:sz w:val="21"/>
                <w:szCs w:val="21"/>
                <w:lang w:val="en-GB"/>
              </w:rPr>
            </w:pPr>
            <w:r>
              <w:rPr>
                <w:rFonts w:ascii="Calibri" w:hAnsi="Calibri"/>
                <w:kern w:val="0"/>
                <w:sz w:val="21"/>
                <w:szCs w:val="21"/>
                <w:lang w:val="en-GB"/>
              </w:rPr>
              <w:t>Biochemical Persistence</w:t>
            </w:r>
          </w:p>
        </w:tc>
        <w:tc>
          <w:tcPr>
            <w:tcW w:w="1901" w:type="pct"/>
            <w:vAlign w:val="center"/>
          </w:tcPr>
          <w:p w14:paraId="4A00DA7B">
            <w:pPr>
              <w:adjustRightInd w:val="0"/>
              <w:jc w:val="center"/>
              <w:rPr>
                <w:rFonts w:ascii="Calibri" w:hAnsi="Calibri"/>
                <w:sz w:val="21"/>
                <w:szCs w:val="21"/>
              </w:rPr>
            </w:pPr>
            <w:r>
              <w:rPr>
                <w:rFonts w:hint="eastAsia" w:ascii="Calibri" w:hAnsi="Calibri"/>
                <w:kern w:val="0"/>
                <w:sz w:val="21"/>
                <w:szCs w:val="21"/>
              </w:rPr>
              <w:t>生化持续</w:t>
            </w:r>
          </w:p>
        </w:tc>
      </w:tr>
      <w:tr w14:paraId="75ABB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7C2FD3D2">
            <w:pPr>
              <w:adjustRightInd w:val="0"/>
              <w:jc w:val="center"/>
              <w:rPr>
                <w:rFonts w:ascii="Calibri" w:hAnsi="Calibri"/>
                <w:kern w:val="0"/>
                <w:sz w:val="21"/>
                <w:szCs w:val="21"/>
              </w:rPr>
            </w:pPr>
            <w:r>
              <w:rPr>
                <w:rFonts w:ascii="Calibri" w:hAnsi="Calibri"/>
                <w:kern w:val="0"/>
                <w:sz w:val="21"/>
                <w:szCs w:val="21"/>
              </w:rPr>
              <w:t>BCR</w:t>
            </w:r>
          </w:p>
        </w:tc>
        <w:tc>
          <w:tcPr>
            <w:tcW w:w="2000" w:type="pct"/>
            <w:shd w:val="clear" w:color="auto" w:fill="auto"/>
            <w:vAlign w:val="center"/>
          </w:tcPr>
          <w:p w14:paraId="51DE2842">
            <w:pPr>
              <w:adjustRightInd w:val="0"/>
              <w:jc w:val="center"/>
              <w:rPr>
                <w:rFonts w:ascii="Calibri" w:hAnsi="Calibri"/>
                <w:kern w:val="0"/>
                <w:sz w:val="21"/>
                <w:szCs w:val="21"/>
                <w:lang w:val="en-GB"/>
              </w:rPr>
            </w:pPr>
            <w:r>
              <w:rPr>
                <w:rFonts w:ascii="Calibri" w:hAnsi="Calibri"/>
                <w:kern w:val="0"/>
                <w:sz w:val="21"/>
                <w:szCs w:val="21"/>
                <w:lang w:val="en-GB"/>
              </w:rPr>
              <w:t>Biochemical Recurrence</w:t>
            </w:r>
          </w:p>
        </w:tc>
        <w:tc>
          <w:tcPr>
            <w:tcW w:w="1901" w:type="pct"/>
            <w:vAlign w:val="center"/>
          </w:tcPr>
          <w:p w14:paraId="52BB4750">
            <w:pPr>
              <w:adjustRightInd w:val="0"/>
              <w:jc w:val="center"/>
              <w:rPr>
                <w:rFonts w:ascii="Calibri" w:hAnsi="Calibri"/>
                <w:sz w:val="21"/>
                <w:szCs w:val="21"/>
              </w:rPr>
            </w:pPr>
            <w:r>
              <w:rPr>
                <w:rFonts w:hint="eastAsia" w:ascii="Calibri" w:hAnsi="Calibri"/>
                <w:kern w:val="0"/>
                <w:sz w:val="21"/>
                <w:szCs w:val="21"/>
              </w:rPr>
              <w:t>生化复发</w:t>
            </w:r>
          </w:p>
        </w:tc>
      </w:tr>
      <w:tr w14:paraId="1752B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6D8F0C9">
            <w:pPr>
              <w:adjustRightInd w:val="0"/>
              <w:jc w:val="center"/>
              <w:rPr>
                <w:rFonts w:ascii="Calibri" w:hAnsi="Calibri"/>
                <w:sz w:val="21"/>
                <w:szCs w:val="21"/>
              </w:rPr>
            </w:pPr>
            <w:r>
              <w:rPr>
                <w:rFonts w:hint="eastAsia" w:ascii="Calibri" w:hAnsi="Calibri"/>
                <w:sz w:val="21"/>
                <w:szCs w:val="21"/>
              </w:rPr>
              <w:t>DR</w:t>
            </w:r>
          </w:p>
        </w:tc>
        <w:tc>
          <w:tcPr>
            <w:tcW w:w="2000" w:type="pct"/>
            <w:shd w:val="clear" w:color="auto" w:fill="auto"/>
            <w:vAlign w:val="center"/>
          </w:tcPr>
          <w:p w14:paraId="5B9A24D0">
            <w:pPr>
              <w:adjustRightInd w:val="0"/>
              <w:jc w:val="center"/>
              <w:rPr>
                <w:rFonts w:ascii="Calibri" w:hAnsi="Calibri"/>
                <w:sz w:val="21"/>
                <w:szCs w:val="21"/>
              </w:rPr>
            </w:pPr>
            <w:r>
              <w:rPr>
                <w:rFonts w:ascii="Calibri" w:hAnsi="Calibri"/>
                <w:sz w:val="21"/>
                <w:szCs w:val="21"/>
              </w:rPr>
              <w:t>Detection Rate</w:t>
            </w:r>
          </w:p>
        </w:tc>
        <w:tc>
          <w:tcPr>
            <w:tcW w:w="1901" w:type="pct"/>
            <w:vAlign w:val="center"/>
          </w:tcPr>
          <w:p w14:paraId="43831894">
            <w:pPr>
              <w:adjustRightInd w:val="0"/>
              <w:jc w:val="center"/>
              <w:rPr>
                <w:rFonts w:ascii="Calibri" w:hAnsi="Calibri"/>
                <w:sz w:val="21"/>
                <w:szCs w:val="21"/>
              </w:rPr>
            </w:pPr>
            <w:r>
              <w:rPr>
                <w:rFonts w:ascii="Calibri" w:hAnsi="Calibri"/>
                <w:sz w:val="21"/>
                <w:szCs w:val="21"/>
              </w:rPr>
              <w:t>检出率</w:t>
            </w:r>
          </w:p>
        </w:tc>
      </w:tr>
      <w:tr w14:paraId="72FF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B56FCF2">
            <w:pPr>
              <w:adjustRightInd w:val="0"/>
              <w:jc w:val="center"/>
              <w:rPr>
                <w:rFonts w:ascii="Calibri" w:hAnsi="Calibri"/>
                <w:kern w:val="0"/>
                <w:sz w:val="21"/>
                <w:szCs w:val="21"/>
              </w:rPr>
            </w:pPr>
            <w:bookmarkStart w:id="790" w:name="OLE_LINK24"/>
            <w:r>
              <w:rPr>
                <w:rFonts w:ascii="Calibri" w:hAnsi="Calibri"/>
                <w:sz w:val="21"/>
                <w:szCs w:val="21"/>
              </w:rPr>
              <w:t>CDR</w:t>
            </w:r>
            <w:bookmarkEnd w:id="790"/>
          </w:p>
        </w:tc>
        <w:tc>
          <w:tcPr>
            <w:tcW w:w="2000" w:type="pct"/>
            <w:shd w:val="clear" w:color="auto" w:fill="auto"/>
            <w:vAlign w:val="center"/>
          </w:tcPr>
          <w:p w14:paraId="3332C062">
            <w:pPr>
              <w:adjustRightInd w:val="0"/>
              <w:jc w:val="center"/>
              <w:rPr>
                <w:rFonts w:ascii="Calibri" w:hAnsi="Calibri"/>
                <w:sz w:val="21"/>
                <w:szCs w:val="21"/>
              </w:rPr>
            </w:pPr>
            <w:r>
              <w:rPr>
                <w:rFonts w:ascii="Calibri" w:hAnsi="Calibri"/>
                <w:sz w:val="21"/>
                <w:szCs w:val="21"/>
              </w:rPr>
              <w:t>Correct Detection Rate</w:t>
            </w:r>
          </w:p>
        </w:tc>
        <w:tc>
          <w:tcPr>
            <w:tcW w:w="1901" w:type="pct"/>
            <w:vAlign w:val="center"/>
          </w:tcPr>
          <w:p w14:paraId="3D0B3BBB">
            <w:pPr>
              <w:adjustRightInd w:val="0"/>
              <w:jc w:val="center"/>
              <w:rPr>
                <w:rFonts w:ascii="Calibri" w:hAnsi="Calibri"/>
                <w:kern w:val="0"/>
                <w:sz w:val="21"/>
                <w:szCs w:val="21"/>
              </w:rPr>
            </w:pPr>
            <w:r>
              <w:rPr>
                <w:rFonts w:hint="eastAsia" w:ascii="Calibri" w:hAnsi="Calibri"/>
                <w:sz w:val="21"/>
                <w:szCs w:val="21"/>
              </w:rPr>
              <w:t>正确检出率</w:t>
            </w:r>
          </w:p>
        </w:tc>
      </w:tr>
      <w:tr w14:paraId="61FE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44E2F19B">
            <w:pPr>
              <w:adjustRightInd w:val="0"/>
              <w:jc w:val="center"/>
              <w:rPr>
                <w:rFonts w:ascii="Calibri" w:hAnsi="Calibri"/>
                <w:sz w:val="21"/>
                <w:szCs w:val="21"/>
              </w:rPr>
            </w:pPr>
            <w:bookmarkStart w:id="791" w:name="OLE_LINK35"/>
            <w:r>
              <w:rPr>
                <w:rFonts w:ascii="Calibri" w:hAnsi="Calibri"/>
                <w:sz w:val="21"/>
                <w:szCs w:val="21"/>
              </w:rPr>
              <w:t>CI</w:t>
            </w:r>
            <w:bookmarkEnd w:id="791"/>
          </w:p>
        </w:tc>
        <w:tc>
          <w:tcPr>
            <w:tcW w:w="2000" w:type="pct"/>
            <w:shd w:val="clear" w:color="auto" w:fill="auto"/>
            <w:vAlign w:val="center"/>
          </w:tcPr>
          <w:p w14:paraId="515B9DDA">
            <w:pPr>
              <w:adjustRightInd w:val="0"/>
              <w:jc w:val="center"/>
              <w:rPr>
                <w:rFonts w:ascii="Calibri" w:hAnsi="Calibri"/>
                <w:kern w:val="0"/>
                <w:sz w:val="21"/>
                <w:szCs w:val="21"/>
                <w:lang w:val="en-GB"/>
              </w:rPr>
            </w:pPr>
            <w:r>
              <w:rPr>
                <w:rFonts w:ascii="Calibri" w:hAnsi="Calibri"/>
                <w:kern w:val="0"/>
                <w:sz w:val="21"/>
                <w:szCs w:val="21"/>
                <w:lang w:val="en-GB"/>
              </w:rPr>
              <w:t>Confidence Interval</w:t>
            </w:r>
          </w:p>
        </w:tc>
        <w:tc>
          <w:tcPr>
            <w:tcW w:w="1901" w:type="pct"/>
            <w:vAlign w:val="center"/>
          </w:tcPr>
          <w:p w14:paraId="42C3862B">
            <w:pPr>
              <w:adjustRightInd w:val="0"/>
              <w:jc w:val="center"/>
              <w:rPr>
                <w:rFonts w:ascii="Calibri" w:hAnsi="Calibri"/>
                <w:sz w:val="21"/>
                <w:szCs w:val="21"/>
              </w:rPr>
            </w:pPr>
            <w:r>
              <w:rPr>
                <w:rFonts w:hint="eastAsia" w:ascii="Calibri" w:hAnsi="Calibri"/>
                <w:sz w:val="21"/>
                <w:szCs w:val="21"/>
              </w:rPr>
              <w:t>置信区间</w:t>
            </w:r>
          </w:p>
        </w:tc>
      </w:tr>
      <w:tr w14:paraId="69E1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C11486D">
            <w:pPr>
              <w:adjustRightInd w:val="0"/>
              <w:jc w:val="center"/>
              <w:rPr>
                <w:rFonts w:ascii="Calibri" w:hAnsi="Calibri"/>
                <w:sz w:val="21"/>
                <w:szCs w:val="21"/>
              </w:rPr>
            </w:pPr>
            <w:r>
              <w:rPr>
                <w:rFonts w:ascii="Calibri" w:hAnsi="Calibri"/>
                <w:sz w:val="21"/>
                <w:szCs w:val="21"/>
              </w:rPr>
              <w:t>CL</w:t>
            </w:r>
          </w:p>
        </w:tc>
        <w:tc>
          <w:tcPr>
            <w:tcW w:w="2000" w:type="pct"/>
            <w:shd w:val="clear" w:color="auto" w:fill="auto"/>
            <w:vAlign w:val="center"/>
          </w:tcPr>
          <w:p w14:paraId="0E14247D">
            <w:pPr>
              <w:adjustRightInd w:val="0"/>
              <w:jc w:val="center"/>
              <w:rPr>
                <w:rFonts w:ascii="Calibri" w:hAnsi="Calibri"/>
                <w:sz w:val="21"/>
                <w:szCs w:val="21"/>
                <w:lang w:val="en-GB"/>
              </w:rPr>
            </w:pPr>
            <w:r>
              <w:rPr>
                <w:rFonts w:ascii="Calibri" w:hAnsi="Calibri"/>
                <w:sz w:val="21"/>
                <w:szCs w:val="21"/>
                <w:lang w:val="en-GB"/>
              </w:rPr>
              <w:t>Clearance</w:t>
            </w:r>
          </w:p>
        </w:tc>
        <w:tc>
          <w:tcPr>
            <w:tcW w:w="1901" w:type="pct"/>
            <w:vAlign w:val="center"/>
          </w:tcPr>
          <w:p w14:paraId="35C88D4D">
            <w:pPr>
              <w:adjustRightInd w:val="0"/>
              <w:jc w:val="center"/>
              <w:rPr>
                <w:rFonts w:ascii="Calibri" w:hAnsi="Calibri"/>
                <w:sz w:val="21"/>
                <w:szCs w:val="21"/>
              </w:rPr>
            </w:pPr>
            <w:r>
              <w:rPr>
                <w:rFonts w:hint="eastAsia" w:ascii="Calibri" w:hAnsi="Calibri"/>
                <w:sz w:val="21"/>
                <w:szCs w:val="21"/>
                <w:lang w:val="en-GB"/>
              </w:rPr>
              <w:t>清除率</w:t>
            </w:r>
          </w:p>
        </w:tc>
      </w:tr>
      <w:tr w14:paraId="50EC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F7D66E9">
            <w:pPr>
              <w:adjustRightInd w:val="0"/>
              <w:jc w:val="center"/>
              <w:rPr>
                <w:rFonts w:ascii="Calibri" w:hAnsi="Calibri"/>
                <w:kern w:val="0"/>
                <w:sz w:val="21"/>
                <w:szCs w:val="21"/>
              </w:rPr>
            </w:pPr>
            <w:bookmarkStart w:id="792" w:name="OLE_LINK25"/>
            <w:r>
              <w:rPr>
                <w:rFonts w:ascii="Calibri" w:hAnsi="Calibri"/>
                <w:sz w:val="21"/>
                <w:szCs w:val="21"/>
              </w:rPr>
              <w:t>CLR</w:t>
            </w:r>
            <w:bookmarkEnd w:id="792"/>
          </w:p>
        </w:tc>
        <w:tc>
          <w:tcPr>
            <w:tcW w:w="2000" w:type="pct"/>
            <w:shd w:val="clear" w:color="auto" w:fill="auto"/>
            <w:vAlign w:val="center"/>
          </w:tcPr>
          <w:p w14:paraId="58E1AE38">
            <w:pPr>
              <w:adjustRightInd w:val="0"/>
              <w:jc w:val="center"/>
              <w:rPr>
                <w:rFonts w:ascii="Calibri" w:hAnsi="Calibri"/>
                <w:kern w:val="0"/>
                <w:sz w:val="21"/>
                <w:szCs w:val="21"/>
                <w:lang w:val="en-GB"/>
              </w:rPr>
            </w:pPr>
            <w:r>
              <w:rPr>
                <w:rFonts w:ascii="Calibri" w:hAnsi="Calibri"/>
                <w:kern w:val="0"/>
                <w:sz w:val="21"/>
                <w:szCs w:val="21"/>
                <w:lang w:val="en-GB"/>
              </w:rPr>
              <w:t>Correct Localization Rate</w:t>
            </w:r>
          </w:p>
        </w:tc>
        <w:tc>
          <w:tcPr>
            <w:tcW w:w="1901" w:type="pct"/>
            <w:vAlign w:val="center"/>
          </w:tcPr>
          <w:p w14:paraId="64E56F4F">
            <w:pPr>
              <w:adjustRightInd w:val="0"/>
              <w:jc w:val="center"/>
              <w:rPr>
                <w:rFonts w:ascii="Calibri" w:hAnsi="Calibri"/>
                <w:kern w:val="0"/>
                <w:sz w:val="21"/>
                <w:szCs w:val="21"/>
              </w:rPr>
            </w:pPr>
            <w:r>
              <w:rPr>
                <w:rFonts w:hint="eastAsia" w:ascii="Calibri" w:hAnsi="Calibri"/>
                <w:sz w:val="21"/>
                <w:szCs w:val="21"/>
              </w:rPr>
              <w:t>正确定位率</w:t>
            </w:r>
          </w:p>
        </w:tc>
      </w:tr>
      <w:tr w14:paraId="4C16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EF395E3">
            <w:pPr>
              <w:adjustRightInd w:val="0"/>
              <w:jc w:val="center"/>
              <w:rPr>
                <w:rFonts w:ascii="Calibri" w:hAnsi="Calibri"/>
                <w:sz w:val="21"/>
                <w:szCs w:val="21"/>
              </w:rPr>
            </w:pPr>
            <w:r>
              <w:rPr>
                <w:rFonts w:ascii="Calibri" w:hAnsi="Calibri"/>
                <w:kern w:val="0"/>
                <w:sz w:val="21"/>
                <w:szCs w:val="21"/>
              </w:rPr>
              <w:t>CT</w:t>
            </w:r>
          </w:p>
        </w:tc>
        <w:tc>
          <w:tcPr>
            <w:tcW w:w="2000" w:type="pct"/>
            <w:vAlign w:val="center"/>
          </w:tcPr>
          <w:p w14:paraId="31C9DB57">
            <w:pPr>
              <w:adjustRightInd w:val="0"/>
              <w:jc w:val="center"/>
              <w:rPr>
                <w:rFonts w:ascii="Calibri" w:hAnsi="Calibri"/>
                <w:kern w:val="0"/>
                <w:sz w:val="21"/>
                <w:szCs w:val="21"/>
                <w:lang w:val="en-GB"/>
              </w:rPr>
            </w:pPr>
            <w:r>
              <w:rPr>
                <w:rFonts w:ascii="Calibri" w:hAnsi="Calibri"/>
                <w:kern w:val="0"/>
                <w:sz w:val="21"/>
                <w:szCs w:val="21"/>
                <w:lang w:val="en-GB"/>
              </w:rPr>
              <w:t>Computed Tomography</w:t>
            </w:r>
          </w:p>
        </w:tc>
        <w:tc>
          <w:tcPr>
            <w:tcW w:w="1901" w:type="pct"/>
            <w:vAlign w:val="center"/>
          </w:tcPr>
          <w:p w14:paraId="27F06316">
            <w:pPr>
              <w:adjustRightInd w:val="0"/>
              <w:jc w:val="center"/>
              <w:rPr>
                <w:rFonts w:ascii="Calibri" w:hAnsi="Calibri"/>
                <w:sz w:val="21"/>
                <w:szCs w:val="21"/>
              </w:rPr>
            </w:pPr>
            <w:r>
              <w:rPr>
                <w:rFonts w:hint="eastAsia" w:ascii="Calibri" w:hAnsi="Calibri"/>
                <w:kern w:val="0"/>
                <w:sz w:val="21"/>
                <w:szCs w:val="21"/>
              </w:rPr>
              <w:t>计算机断层成像</w:t>
            </w:r>
          </w:p>
        </w:tc>
      </w:tr>
      <w:tr w14:paraId="2C9A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4C7C6CD">
            <w:pPr>
              <w:adjustRightInd w:val="0"/>
              <w:jc w:val="center"/>
              <w:rPr>
                <w:rFonts w:ascii="Calibri" w:hAnsi="Calibri"/>
                <w:spacing w:val="15"/>
                <w:sz w:val="21"/>
                <w:szCs w:val="21"/>
              </w:rPr>
            </w:pPr>
            <w:r>
              <w:rPr>
                <w:rFonts w:ascii="Calibri" w:hAnsi="Calibri"/>
                <w:sz w:val="21"/>
                <w:szCs w:val="21"/>
              </w:rPr>
              <w:t>DRE</w:t>
            </w:r>
          </w:p>
        </w:tc>
        <w:tc>
          <w:tcPr>
            <w:tcW w:w="2000" w:type="pct"/>
            <w:vAlign w:val="center"/>
          </w:tcPr>
          <w:p w14:paraId="7F224E42">
            <w:pPr>
              <w:adjustRightInd w:val="0"/>
              <w:jc w:val="center"/>
              <w:rPr>
                <w:rFonts w:ascii="Calibri" w:hAnsi="Calibri"/>
                <w:spacing w:val="15"/>
                <w:sz w:val="21"/>
                <w:szCs w:val="21"/>
              </w:rPr>
            </w:pPr>
            <w:r>
              <w:rPr>
                <w:rFonts w:ascii="Calibri" w:hAnsi="Calibri"/>
                <w:kern w:val="0"/>
                <w:sz w:val="21"/>
                <w:szCs w:val="21"/>
              </w:rPr>
              <w:t>Digital Rectal Examination</w:t>
            </w:r>
          </w:p>
        </w:tc>
        <w:tc>
          <w:tcPr>
            <w:tcW w:w="1901" w:type="pct"/>
            <w:vAlign w:val="center"/>
          </w:tcPr>
          <w:p w14:paraId="6221251F">
            <w:pPr>
              <w:adjustRightInd w:val="0"/>
              <w:jc w:val="center"/>
              <w:rPr>
                <w:rFonts w:ascii="Calibri" w:hAnsi="Calibri"/>
                <w:spacing w:val="15"/>
                <w:sz w:val="21"/>
                <w:szCs w:val="21"/>
              </w:rPr>
            </w:pPr>
            <w:r>
              <w:rPr>
                <w:rFonts w:hint="eastAsia" w:ascii="Calibri" w:hAnsi="Calibri"/>
                <w:sz w:val="21"/>
                <w:szCs w:val="21"/>
              </w:rPr>
              <w:t>直肠指诊</w:t>
            </w:r>
          </w:p>
        </w:tc>
      </w:tr>
      <w:tr w14:paraId="6B1ED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2CECB575">
            <w:pPr>
              <w:adjustRightInd w:val="0"/>
              <w:jc w:val="center"/>
              <w:rPr>
                <w:rFonts w:ascii="Calibri" w:hAnsi="Calibri"/>
                <w:kern w:val="0"/>
                <w:sz w:val="21"/>
                <w:szCs w:val="21"/>
              </w:rPr>
            </w:pPr>
            <w:r>
              <w:rPr>
                <w:rFonts w:ascii="Calibri" w:hAnsi="Calibri"/>
                <w:kern w:val="0"/>
                <w:sz w:val="21"/>
                <w:szCs w:val="21"/>
              </w:rPr>
              <w:t>EANM/SNMMI</w:t>
            </w:r>
          </w:p>
        </w:tc>
        <w:tc>
          <w:tcPr>
            <w:tcW w:w="2000" w:type="pct"/>
            <w:vAlign w:val="center"/>
          </w:tcPr>
          <w:p w14:paraId="0FFA194E">
            <w:pPr>
              <w:adjustRightInd w:val="0"/>
              <w:jc w:val="center"/>
              <w:rPr>
                <w:rFonts w:ascii="Calibri" w:hAnsi="Calibri"/>
                <w:kern w:val="0"/>
                <w:sz w:val="21"/>
                <w:szCs w:val="21"/>
                <w:lang w:val="en-GB"/>
              </w:rPr>
            </w:pPr>
            <w:r>
              <w:rPr>
                <w:rFonts w:ascii="Calibri" w:hAnsi="Calibri"/>
                <w:kern w:val="0"/>
                <w:sz w:val="21"/>
                <w:szCs w:val="21"/>
                <w:lang w:val="en-GB"/>
              </w:rPr>
              <w:t>European Association of Nuclear Medicine/Society of Nuclear Medicine and Molecular Imaging</w:t>
            </w:r>
          </w:p>
        </w:tc>
        <w:tc>
          <w:tcPr>
            <w:tcW w:w="1901" w:type="pct"/>
            <w:vAlign w:val="center"/>
          </w:tcPr>
          <w:p w14:paraId="08A989F9">
            <w:pPr>
              <w:adjustRightInd w:val="0"/>
              <w:jc w:val="center"/>
              <w:rPr>
                <w:rFonts w:ascii="Calibri" w:hAnsi="Calibri"/>
                <w:kern w:val="0"/>
                <w:sz w:val="21"/>
                <w:szCs w:val="21"/>
                <w:lang w:val="en-GB"/>
              </w:rPr>
            </w:pPr>
            <w:r>
              <w:rPr>
                <w:rFonts w:hint="eastAsia" w:ascii="Calibri" w:hAnsi="Calibri"/>
                <w:kern w:val="0"/>
                <w:sz w:val="21"/>
                <w:szCs w:val="21"/>
                <w:lang w:val="en-GB"/>
              </w:rPr>
              <w:t>欧洲核医学会</w:t>
            </w:r>
            <w:r>
              <w:rPr>
                <w:rFonts w:ascii="Calibri" w:hAnsi="Calibri"/>
                <w:kern w:val="0"/>
                <w:sz w:val="21"/>
                <w:szCs w:val="21"/>
                <w:lang w:val="en-GB"/>
              </w:rPr>
              <w:t>/</w:t>
            </w:r>
            <w:r>
              <w:rPr>
                <w:rFonts w:hint="eastAsia" w:ascii="Calibri" w:hAnsi="Calibri"/>
                <w:kern w:val="0"/>
                <w:sz w:val="21"/>
                <w:szCs w:val="21"/>
                <w:lang w:val="en-GB"/>
              </w:rPr>
              <w:t>核医学和分子成像学会</w:t>
            </w:r>
          </w:p>
        </w:tc>
      </w:tr>
      <w:tr w14:paraId="6460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1942B127">
            <w:pPr>
              <w:adjustRightInd w:val="0"/>
              <w:jc w:val="center"/>
              <w:rPr>
                <w:rFonts w:ascii="Calibri" w:hAnsi="Calibri"/>
                <w:sz w:val="21"/>
                <w:szCs w:val="21"/>
              </w:rPr>
            </w:pPr>
            <w:bookmarkStart w:id="793" w:name="OLE_LINK19"/>
            <w:r>
              <w:rPr>
                <w:rFonts w:ascii="Calibri" w:hAnsi="Calibri"/>
                <w:kern w:val="0"/>
                <w:sz w:val="21"/>
                <w:szCs w:val="21"/>
              </w:rPr>
              <w:t>EGF</w:t>
            </w:r>
            <w:bookmarkEnd w:id="793"/>
          </w:p>
        </w:tc>
        <w:tc>
          <w:tcPr>
            <w:tcW w:w="2000" w:type="pct"/>
            <w:vAlign w:val="center"/>
          </w:tcPr>
          <w:p w14:paraId="2E92D63F">
            <w:pPr>
              <w:adjustRightInd w:val="0"/>
              <w:jc w:val="center"/>
              <w:rPr>
                <w:rFonts w:ascii="Calibri" w:hAnsi="Calibri"/>
                <w:sz w:val="21"/>
                <w:szCs w:val="21"/>
                <w:lang w:val="en-GB"/>
              </w:rPr>
            </w:pPr>
            <w:r>
              <w:rPr>
                <w:rFonts w:ascii="Calibri" w:hAnsi="Calibri"/>
                <w:kern w:val="0"/>
                <w:sz w:val="21"/>
                <w:szCs w:val="21"/>
                <w:lang w:val="en-GB"/>
              </w:rPr>
              <w:t>Epidermal Growth Factor</w:t>
            </w:r>
          </w:p>
        </w:tc>
        <w:tc>
          <w:tcPr>
            <w:tcW w:w="1901" w:type="pct"/>
            <w:vAlign w:val="center"/>
          </w:tcPr>
          <w:p w14:paraId="523207C0">
            <w:pPr>
              <w:adjustRightInd w:val="0"/>
              <w:jc w:val="center"/>
              <w:rPr>
                <w:rFonts w:ascii="Calibri" w:hAnsi="Calibri"/>
                <w:sz w:val="21"/>
                <w:szCs w:val="21"/>
                <w:lang w:val="en-GB"/>
              </w:rPr>
            </w:pPr>
            <w:r>
              <w:rPr>
                <w:rFonts w:hint="eastAsia" w:ascii="Calibri" w:hAnsi="Calibri"/>
                <w:kern w:val="0"/>
                <w:sz w:val="21"/>
                <w:szCs w:val="21"/>
              </w:rPr>
              <w:t>表皮生长因子</w:t>
            </w:r>
          </w:p>
        </w:tc>
      </w:tr>
      <w:tr w14:paraId="2F51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AC15855">
            <w:pPr>
              <w:adjustRightInd w:val="0"/>
              <w:jc w:val="center"/>
              <w:rPr>
                <w:rFonts w:ascii="Calibri" w:hAnsi="Calibri"/>
                <w:sz w:val="21"/>
                <w:szCs w:val="21"/>
              </w:rPr>
            </w:pPr>
            <w:r>
              <w:rPr>
                <w:rFonts w:ascii="Calibri" w:hAnsi="Calibri"/>
                <w:sz w:val="21"/>
                <w:szCs w:val="21"/>
                <w:lang w:val="en-GB"/>
              </w:rPr>
              <w:t>FAS</w:t>
            </w:r>
          </w:p>
        </w:tc>
        <w:tc>
          <w:tcPr>
            <w:tcW w:w="2000" w:type="pct"/>
            <w:vAlign w:val="center"/>
          </w:tcPr>
          <w:p w14:paraId="4666A499">
            <w:pPr>
              <w:adjustRightInd w:val="0"/>
              <w:jc w:val="center"/>
              <w:rPr>
                <w:rFonts w:ascii="Calibri" w:hAnsi="Calibri"/>
                <w:sz w:val="21"/>
                <w:szCs w:val="21"/>
                <w:lang w:val="en-GB"/>
              </w:rPr>
            </w:pPr>
            <w:r>
              <w:rPr>
                <w:rFonts w:ascii="Calibri" w:hAnsi="Calibri"/>
                <w:sz w:val="21"/>
                <w:szCs w:val="21"/>
                <w:lang w:val="en-GB"/>
              </w:rPr>
              <w:t>Full Analysis Set</w:t>
            </w:r>
          </w:p>
        </w:tc>
        <w:tc>
          <w:tcPr>
            <w:tcW w:w="1901" w:type="pct"/>
            <w:vAlign w:val="center"/>
          </w:tcPr>
          <w:p w14:paraId="6AC554C0">
            <w:pPr>
              <w:adjustRightInd w:val="0"/>
              <w:jc w:val="center"/>
              <w:rPr>
                <w:rFonts w:ascii="Calibri" w:hAnsi="Calibri"/>
                <w:sz w:val="21"/>
                <w:szCs w:val="21"/>
                <w:lang w:val="en-GB"/>
              </w:rPr>
            </w:pPr>
            <w:r>
              <w:rPr>
                <w:rFonts w:hint="eastAsia" w:ascii="Calibri" w:hAnsi="Calibri"/>
                <w:sz w:val="21"/>
                <w:szCs w:val="21"/>
                <w:lang w:val="en-GB"/>
              </w:rPr>
              <w:t>全分析集</w:t>
            </w:r>
          </w:p>
        </w:tc>
      </w:tr>
      <w:tr w14:paraId="0C5B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A61407A">
            <w:pPr>
              <w:adjustRightInd w:val="0"/>
              <w:jc w:val="center"/>
              <w:rPr>
                <w:rFonts w:ascii="Calibri" w:hAnsi="Calibri"/>
                <w:kern w:val="0"/>
                <w:sz w:val="21"/>
                <w:szCs w:val="21"/>
              </w:rPr>
            </w:pPr>
            <w:r>
              <w:rPr>
                <w:rFonts w:ascii="Calibri" w:hAnsi="Calibri"/>
                <w:sz w:val="21"/>
                <w:szCs w:val="21"/>
              </w:rPr>
              <w:t>FDA</w:t>
            </w:r>
          </w:p>
        </w:tc>
        <w:tc>
          <w:tcPr>
            <w:tcW w:w="2000" w:type="pct"/>
            <w:vAlign w:val="center"/>
          </w:tcPr>
          <w:p w14:paraId="5FF36288">
            <w:pPr>
              <w:adjustRightInd w:val="0"/>
              <w:jc w:val="center"/>
              <w:rPr>
                <w:rFonts w:ascii="Calibri" w:hAnsi="Calibri"/>
                <w:kern w:val="0"/>
                <w:sz w:val="21"/>
                <w:szCs w:val="21"/>
                <w:lang w:val="en-GB"/>
              </w:rPr>
            </w:pPr>
            <w:r>
              <w:rPr>
                <w:rFonts w:ascii="Calibri" w:hAnsi="Calibri"/>
                <w:kern w:val="0"/>
                <w:sz w:val="21"/>
                <w:szCs w:val="21"/>
                <w:lang w:val="en-GB"/>
              </w:rPr>
              <w:t>Food and Drug Administration</w:t>
            </w:r>
          </w:p>
        </w:tc>
        <w:tc>
          <w:tcPr>
            <w:tcW w:w="1901" w:type="pct"/>
            <w:vAlign w:val="center"/>
          </w:tcPr>
          <w:p w14:paraId="1717EFEC">
            <w:pPr>
              <w:adjustRightInd w:val="0"/>
              <w:jc w:val="center"/>
              <w:rPr>
                <w:rFonts w:ascii="Calibri" w:hAnsi="Calibri"/>
                <w:kern w:val="0"/>
                <w:sz w:val="21"/>
                <w:szCs w:val="21"/>
                <w:lang w:val="en-GB"/>
              </w:rPr>
            </w:pPr>
            <w:r>
              <w:rPr>
                <w:rFonts w:hint="eastAsia" w:ascii="Calibri" w:hAnsi="Calibri"/>
                <w:kern w:val="0"/>
                <w:sz w:val="21"/>
                <w:szCs w:val="21"/>
                <w:lang w:val="en-GB"/>
              </w:rPr>
              <w:t>美国食品药品监督管理局</w:t>
            </w:r>
          </w:p>
        </w:tc>
      </w:tr>
      <w:tr w14:paraId="5D0D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3EE6BF6A">
            <w:pPr>
              <w:adjustRightInd w:val="0"/>
              <w:jc w:val="center"/>
              <w:rPr>
                <w:rFonts w:ascii="Calibri" w:hAnsi="Calibri"/>
                <w:sz w:val="21"/>
                <w:szCs w:val="21"/>
              </w:rPr>
            </w:pPr>
            <w:r>
              <w:rPr>
                <w:rFonts w:ascii="Calibri" w:hAnsi="Calibri"/>
                <w:sz w:val="21"/>
                <w:szCs w:val="21"/>
              </w:rPr>
              <w:t>FN</w:t>
            </w:r>
          </w:p>
        </w:tc>
        <w:tc>
          <w:tcPr>
            <w:tcW w:w="2000" w:type="pct"/>
            <w:vAlign w:val="center"/>
          </w:tcPr>
          <w:p w14:paraId="354A2604">
            <w:pPr>
              <w:adjustRightInd w:val="0"/>
              <w:jc w:val="center"/>
              <w:rPr>
                <w:rFonts w:ascii="Calibri" w:hAnsi="Calibri"/>
                <w:kern w:val="0"/>
                <w:sz w:val="21"/>
                <w:szCs w:val="21"/>
                <w:lang w:val="en-GB"/>
              </w:rPr>
            </w:pPr>
            <w:r>
              <w:rPr>
                <w:rFonts w:ascii="Calibri" w:hAnsi="Calibri"/>
                <w:kern w:val="0"/>
                <w:sz w:val="21"/>
                <w:szCs w:val="21"/>
                <w:lang w:val="en-GB"/>
              </w:rPr>
              <w:t>False Negative</w:t>
            </w:r>
          </w:p>
        </w:tc>
        <w:tc>
          <w:tcPr>
            <w:tcW w:w="1901" w:type="pct"/>
            <w:vAlign w:val="center"/>
          </w:tcPr>
          <w:p w14:paraId="78A13F7E">
            <w:pPr>
              <w:adjustRightInd w:val="0"/>
              <w:jc w:val="center"/>
              <w:rPr>
                <w:rFonts w:ascii="Calibri" w:hAnsi="Calibri"/>
                <w:kern w:val="0"/>
                <w:sz w:val="21"/>
                <w:szCs w:val="21"/>
                <w:lang w:val="en-GB"/>
              </w:rPr>
            </w:pPr>
            <w:r>
              <w:rPr>
                <w:rFonts w:hint="eastAsia" w:ascii="Calibri" w:hAnsi="Calibri"/>
                <w:kern w:val="0"/>
                <w:sz w:val="21"/>
                <w:szCs w:val="21"/>
                <w:lang w:val="en-GB"/>
              </w:rPr>
              <w:t>假阴性</w:t>
            </w:r>
          </w:p>
        </w:tc>
      </w:tr>
      <w:tr w14:paraId="1F9A9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71004288">
            <w:pPr>
              <w:adjustRightInd w:val="0"/>
              <w:jc w:val="center"/>
              <w:rPr>
                <w:rFonts w:ascii="Calibri" w:hAnsi="Calibri"/>
                <w:sz w:val="21"/>
                <w:szCs w:val="21"/>
              </w:rPr>
            </w:pPr>
            <w:r>
              <w:rPr>
                <w:rFonts w:ascii="Calibri" w:hAnsi="Calibri"/>
                <w:sz w:val="21"/>
                <w:szCs w:val="21"/>
              </w:rPr>
              <w:t>FOB</w:t>
            </w:r>
          </w:p>
        </w:tc>
        <w:tc>
          <w:tcPr>
            <w:tcW w:w="2000" w:type="pct"/>
            <w:vAlign w:val="center"/>
          </w:tcPr>
          <w:p w14:paraId="320554F1">
            <w:pPr>
              <w:adjustRightInd w:val="0"/>
              <w:jc w:val="center"/>
              <w:rPr>
                <w:rFonts w:ascii="Calibri" w:hAnsi="Calibri"/>
                <w:sz w:val="21"/>
                <w:szCs w:val="21"/>
                <w:lang w:val="en-GB"/>
              </w:rPr>
            </w:pPr>
            <w:r>
              <w:rPr>
                <w:rFonts w:ascii="Calibri" w:hAnsi="Calibri"/>
                <w:kern w:val="0"/>
                <w:sz w:val="21"/>
                <w:szCs w:val="21"/>
                <w:lang w:val="en-GB"/>
              </w:rPr>
              <w:t>Functional Observational Battery</w:t>
            </w:r>
          </w:p>
        </w:tc>
        <w:tc>
          <w:tcPr>
            <w:tcW w:w="1901" w:type="pct"/>
            <w:vAlign w:val="center"/>
          </w:tcPr>
          <w:p w14:paraId="11986D02">
            <w:pPr>
              <w:adjustRightInd w:val="0"/>
              <w:jc w:val="center"/>
              <w:rPr>
                <w:rFonts w:ascii="Calibri" w:hAnsi="Calibri"/>
                <w:sz w:val="21"/>
                <w:szCs w:val="21"/>
                <w:lang w:val="en-GB"/>
              </w:rPr>
            </w:pPr>
            <w:r>
              <w:rPr>
                <w:rFonts w:hint="eastAsia" w:ascii="Calibri" w:hAnsi="Calibri"/>
                <w:kern w:val="0"/>
                <w:sz w:val="21"/>
                <w:szCs w:val="21"/>
                <w:lang w:val="en-GB"/>
              </w:rPr>
              <w:t>功能观察组合试验</w:t>
            </w:r>
          </w:p>
        </w:tc>
      </w:tr>
      <w:tr w14:paraId="1769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872D763">
            <w:pPr>
              <w:adjustRightInd w:val="0"/>
              <w:jc w:val="center"/>
              <w:rPr>
                <w:rFonts w:ascii="Calibri" w:hAnsi="Calibri"/>
                <w:sz w:val="21"/>
                <w:szCs w:val="21"/>
              </w:rPr>
            </w:pPr>
            <w:r>
              <w:rPr>
                <w:rFonts w:ascii="Calibri" w:hAnsi="Calibri"/>
                <w:sz w:val="21"/>
                <w:szCs w:val="21"/>
              </w:rPr>
              <w:t>FP</w:t>
            </w:r>
          </w:p>
        </w:tc>
        <w:tc>
          <w:tcPr>
            <w:tcW w:w="2000" w:type="pct"/>
            <w:vAlign w:val="center"/>
          </w:tcPr>
          <w:p w14:paraId="38BD9D9F">
            <w:pPr>
              <w:adjustRightInd w:val="0"/>
              <w:jc w:val="center"/>
              <w:rPr>
                <w:rFonts w:ascii="Calibri" w:hAnsi="Calibri"/>
                <w:kern w:val="0"/>
                <w:sz w:val="21"/>
                <w:szCs w:val="21"/>
                <w:lang w:val="en-GB"/>
              </w:rPr>
            </w:pPr>
            <w:r>
              <w:rPr>
                <w:rFonts w:ascii="Calibri" w:hAnsi="Calibri"/>
                <w:kern w:val="0"/>
                <w:sz w:val="21"/>
                <w:szCs w:val="21"/>
                <w:lang w:val="en-GB"/>
              </w:rPr>
              <w:t>False Positive</w:t>
            </w:r>
          </w:p>
        </w:tc>
        <w:tc>
          <w:tcPr>
            <w:tcW w:w="1901" w:type="pct"/>
            <w:vAlign w:val="center"/>
          </w:tcPr>
          <w:p w14:paraId="5D54C07D">
            <w:pPr>
              <w:adjustRightInd w:val="0"/>
              <w:jc w:val="center"/>
              <w:rPr>
                <w:rFonts w:ascii="Calibri" w:hAnsi="Calibri"/>
                <w:kern w:val="0"/>
                <w:sz w:val="21"/>
                <w:szCs w:val="21"/>
                <w:lang w:val="en-GB"/>
              </w:rPr>
            </w:pPr>
            <w:r>
              <w:rPr>
                <w:rFonts w:hint="eastAsia" w:ascii="Calibri" w:hAnsi="Calibri"/>
                <w:kern w:val="0"/>
                <w:sz w:val="21"/>
                <w:szCs w:val="21"/>
                <w:lang w:val="en-GB"/>
              </w:rPr>
              <w:t>假阳性</w:t>
            </w:r>
          </w:p>
        </w:tc>
      </w:tr>
      <w:tr w14:paraId="06489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435C375B">
            <w:pPr>
              <w:adjustRightInd w:val="0"/>
              <w:jc w:val="center"/>
              <w:rPr>
                <w:rFonts w:ascii="Calibri" w:hAnsi="Calibri"/>
                <w:sz w:val="21"/>
                <w:szCs w:val="21"/>
              </w:rPr>
            </w:pPr>
            <w:r>
              <w:rPr>
                <w:rFonts w:ascii="Calibri" w:hAnsi="Calibri"/>
                <w:sz w:val="21"/>
                <w:szCs w:val="21"/>
              </w:rPr>
              <w:t>GCP</w:t>
            </w:r>
          </w:p>
        </w:tc>
        <w:tc>
          <w:tcPr>
            <w:tcW w:w="2000" w:type="pct"/>
            <w:vAlign w:val="center"/>
          </w:tcPr>
          <w:p w14:paraId="43C47760">
            <w:pPr>
              <w:adjustRightInd w:val="0"/>
              <w:jc w:val="center"/>
              <w:rPr>
                <w:rFonts w:ascii="Calibri" w:hAnsi="Calibri"/>
                <w:kern w:val="0"/>
                <w:sz w:val="21"/>
                <w:szCs w:val="21"/>
                <w:lang w:val="en-GB"/>
              </w:rPr>
            </w:pPr>
            <w:r>
              <w:rPr>
                <w:rFonts w:ascii="Calibri" w:hAnsi="Calibri"/>
                <w:kern w:val="0"/>
                <w:sz w:val="21"/>
                <w:szCs w:val="21"/>
                <w:lang w:val="en-GB"/>
              </w:rPr>
              <w:t>Good Clinical Practice</w:t>
            </w:r>
          </w:p>
        </w:tc>
        <w:tc>
          <w:tcPr>
            <w:tcW w:w="1901" w:type="pct"/>
            <w:vAlign w:val="center"/>
          </w:tcPr>
          <w:p w14:paraId="63246521">
            <w:pPr>
              <w:adjustRightInd w:val="0"/>
              <w:jc w:val="center"/>
              <w:rPr>
                <w:rFonts w:ascii="Calibri" w:hAnsi="Calibri"/>
                <w:kern w:val="0"/>
                <w:sz w:val="21"/>
                <w:szCs w:val="21"/>
                <w:lang w:val="en-GB"/>
              </w:rPr>
            </w:pPr>
            <w:r>
              <w:rPr>
                <w:rFonts w:hint="eastAsia" w:ascii="Calibri" w:hAnsi="Calibri"/>
                <w:kern w:val="0"/>
                <w:sz w:val="21"/>
                <w:szCs w:val="21"/>
                <w:lang w:val="en-GB"/>
              </w:rPr>
              <w:t>药物临床试验质量管理规范</w:t>
            </w:r>
          </w:p>
        </w:tc>
      </w:tr>
      <w:tr w14:paraId="205A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2A2B11AD">
            <w:pPr>
              <w:adjustRightInd w:val="0"/>
              <w:jc w:val="center"/>
              <w:rPr>
                <w:rFonts w:ascii="Calibri" w:hAnsi="Calibri"/>
                <w:sz w:val="21"/>
                <w:szCs w:val="21"/>
              </w:rPr>
            </w:pPr>
            <w:r>
              <w:rPr>
                <w:rFonts w:ascii="Calibri" w:hAnsi="Calibri"/>
                <w:sz w:val="21"/>
                <w:szCs w:val="21"/>
              </w:rPr>
              <w:t>hERG</w:t>
            </w:r>
          </w:p>
        </w:tc>
        <w:tc>
          <w:tcPr>
            <w:tcW w:w="2000" w:type="pct"/>
            <w:vAlign w:val="center"/>
          </w:tcPr>
          <w:p w14:paraId="5151D7E3">
            <w:pPr>
              <w:adjustRightInd w:val="0"/>
              <w:jc w:val="center"/>
              <w:rPr>
                <w:rFonts w:ascii="Calibri" w:hAnsi="Calibri"/>
                <w:sz w:val="21"/>
                <w:szCs w:val="21"/>
                <w:lang w:val="en-GB"/>
              </w:rPr>
            </w:pPr>
            <w:r>
              <w:rPr>
                <w:rFonts w:ascii="Calibri" w:hAnsi="Calibri"/>
                <w:kern w:val="0"/>
                <w:sz w:val="21"/>
                <w:szCs w:val="21"/>
                <w:lang w:val="en-GB"/>
              </w:rPr>
              <w:t>human Ether-à-go-go-Related Gene</w:t>
            </w:r>
          </w:p>
        </w:tc>
        <w:tc>
          <w:tcPr>
            <w:tcW w:w="1901" w:type="pct"/>
            <w:vAlign w:val="center"/>
          </w:tcPr>
          <w:p w14:paraId="4BD40897">
            <w:pPr>
              <w:adjustRightInd w:val="0"/>
              <w:jc w:val="center"/>
              <w:rPr>
                <w:rFonts w:ascii="Calibri" w:hAnsi="Calibri"/>
                <w:sz w:val="21"/>
                <w:szCs w:val="21"/>
                <w:lang w:val="en-GB"/>
              </w:rPr>
            </w:pPr>
            <w:r>
              <w:rPr>
                <w:rFonts w:hint="eastAsia" w:ascii="Calibri" w:hAnsi="Calibri"/>
                <w:kern w:val="0"/>
                <w:sz w:val="21"/>
                <w:szCs w:val="21"/>
              </w:rPr>
              <w:t>钾离子通过编码</w:t>
            </w:r>
            <w:r>
              <w:rPr>
                <w:rFonts w:hint="eastAsia" w:ascii="Calibri" w:hAnsi="Calibri"/>
                <w:kern w:val="0"/>
                <w:sz w:val="21"/>
                <w:szCs w:val="21"/>
                <w:lang w:val="en-GB"/>
              </w:rPr>
              <w:t>基因</w:t>
            </w:r>
            <w:r>
              <w:rPr>
                <w:rFonts w:ascii="Calibri" w:hAnsi="Calibri"/>
                <w:kern w:val="0"/>
                <w:sz w:val="21"/>
                <w:szCs w:val="21"/>
                <w:lang w:val="en-GB"/>
              </w:rPr>
              <w:t>KCNH2</w:t>
            </w:r>
          </w:p>
        </w:tc>
      </w:tr>
      <w:tr w14:paraId="2E30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45A042D0">
            <w:pPr>
              <w:adjustRightInd w:val="0"/>
              <w:jc w:val="center"/>
              <w:rPr>
                <w:rFonts w:ascii="Calibri" w:hAnsi="Calibri"/>
                <w:spacing w:val="15"/>
                <w:sz w:val="21"/>
                <w:szCs w:val="21"/>
              </w:rPr>
            </w:pPr>
            <w:r>
              <w:rPr>
                <w:rFonts w:ascii="Calibri" w:hAnsi="Calibri"/>
                <w:sz w:val="21"/>
                <w:szCs w:val="21"/>
              </w:rPr>
              <w:t>HIFU</w:t>
            </w:r>
          </w:p>
        </w:tc>
        <w:tc>
          <w:tcPr>
            <w:tcW w:w="2000" w:type="pct"/>
            <w:vAlign w:val="center"/>
          </w:tcPr>
          <w:p w14:paraId="302FF37D">
            <w:pPr>
              <w:adjustRightInd w:val="0"/>
              <w:jc w:val="center"/>
              <w:rPr>
                <w:rFonts w:ascii="Calibri" w:hAnsi="Calibri"/>
                <w:kern w:val="0"/>
                <w:sz w:val="21"/>
                <w:szCs w:val="21"/>
                <w:lang w:val="en-GB"/>
              </w:rPr>
            </w:pPr>
            <w:r>
              <w:rPr>
                <w:rFonts w:ascii="Calibri" w:hAnsi="Calibri"/>
                <w:kern w:val="0"/>
                <w:sz w:val="21"/>
                <w:szCs w:val="21"/>
                <w:lang w:val="en-GB"/>
              </w:rPr>
              <w:t>High Intensity Focused Ultrasound</w:t>
            </w:r>
          </w:p>
        </w:tc>
        <w:tc>
          <w:tcPr>
            <w:tcW w:w="1901" w:type="pct"/>
            <w:vAlign w:val="center"/>
          </w:tcPr>
          <w:p w14:paraId="3A9CD8A7">
            <w:pPr>
              <w:adjustRightInd w:val="0"/>
              <w:jc w:val="center"/>
              <w:rPr>
                <w:rFonts w:ascii="Calibri" w:hAnsi="Calibri"/>
                <w:kern w:val="0"/>
                <w:sz w:val="21"/>
                <w:szCs w:val="21"/>
                <w:lang w:val="en-GB"/>
              </w:rPr>
            </w:pPr>
            <w:r>
              <w:rPr>
                <w:rFonts w:hint="eastAsia" w:ascii="Calibri" w:hAnsi="Calibri"/>
                <w:kern w:val="0"/>
                <w:sz w:val="21"/>
                <w:szCs w:val="21"/>
                <w:lang w:val="en-GB"/>
              </w:rPr>
              <w:t>高能聚焦超声</w:t>
            </w:r>
          </w:p>
        </w:tc>
      </w:tr>
      <w:tr w14:paraId="32A6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1024E060">
            <w:pPr>
              <w:adjustRightInd w:val="0"/>
              <w:jc w:val="center"/>
              <w:rPr>
                <w:rFonts w:ascii="Calibri" w:hAnsi="Calibri"/>
                <w:kern w:val="0"/>
                <w:sz w:val="21"/>
                <w:szCs w:val="21"/>
              </w:rPr>
            </w:pPr>
            <w:r>
              <w:rPr>
                <w:rFonts w:ascii="Calibri" w:hAnsi="Calibri"/>
                <w:sz w:val="21"/>
                <w:szCs w:val="21"/>
              </w:rPr>
              <w:t>HMA</w:t>
            </w:r>
          </w:p>
        </w:tc>
        <w:tc>
          <w:tcPr>
            <w:tcW w:w="2000" w:type="pct"/>
            <w:vAlign w:val="center"/>
          </w:tcPr>
          <w:p w14:paraId="71C07F1D">
            <w:pPr>
              <w:adjustRightInd w:val="0"/>
              <w:jc w:val="center"/>
              <w:rPr>
                <w:rFonts w:ascii="Calibri" w:hAnsi="Calibri"/>
                <w:kern w:val="0"/>
                <w:sz w:val="21"/>
                <w:szCs w:val="21"/>
                <w:lang w:val="en-GB"/>
              </w:rPr>
            </w:pPr>
            <w:r>
              <w:rPr>
                <w:rFonts w:ascii="Calibri" w:hAnsi="Calibri"/>
                <w:kern w:val="0"/>
                <w:sz w:val="21"/>
                <w:szCs w:val="21"/>
                <w:lang w:val="en-GB"/>
              </w:rPr>
              <w:t>Heads of Medicines Agencies</w:t>
            </w:r>
          </w:p>
        </w:tc>
        <w:tc>
          <w:tcPr>
            <w:tcW w:w="1901" w:type="pct"/>
            <w:vAlign w:val="center"/>
          </w:tcPr>
          <w:p w14:paraId="00D97D3D">
            <w:pPr>
              <w:adjustRightInd w:val="0"/>
              <w:jc w:val="center"/>
              <w:rPr>
                <w:rFonts w:ascii="Calibri" w:hAnsi="Calibri"/>
                <w:kern w:val="0"/>
                <w:sz w:val="21"/>
                <w:szCs w:val="21"/>
                <w:lang w:val="en-GB"/>
              </w:rPr>
            </w:pPr>
            <w:r>
              <w:rPr>
                <w:rFonts w:hint="eastAsia" w:ascii="Calibri" w:hAnsi="Calibri"/>
                <w:kern w:val="0"/>
                <w:sz w:val="21"/>
                <w:szCs w:val="21"/>
                <w:lang w:val="en-GB"/>
              </w:rPr>
              <w:t>欧洲药品局总部</w:t>
            </w:r>
          </w:p>
        </w:tc>
      </w:tr>
      <w:tr w14:paraId="42DE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317762F4">
            <w:pPr>
              <w:adjustRightInd w:val="0"/>
              <w:jc w:val="center"/>
              <w:rPr>
                <w:rFonts w:ascii="Calibri" w:hAnsi="Calibri"/>
                <w:bCs/>
                <w:kern w:val="0"/>
                <w:sz w:val="21"/>
                <w:szCs w:val="21"/>
              </w:rPr>
            </w:pPr>
            <w:r>
              <w:rPr>
                <w:rFonts w:ascii="Calibri" w:hAnsi="Calibri"/>
                <w:kern w:val="0"/>
                <w:sz w:val="21"/>
                <w:szCs w:val="21"/>
              </w:rPr>
              <w:t>LN</w:t>
            </w:r>
          </w:p>
        </w:tc>
        <w:tc>
          <w:tcPr>
            <w:tcW w:w="2000" w:type="pct"/>
            <w:vAlign w:val="center"/>
          </w:tcPr>
          <w:p w14:paraId="4C1C07BD">
            <w:pPr>
              <w:adjustRightInd w:val="0"/>
              <w:jc w:val="center"/>
              <w:rPr>
                <w:rFonts w:ascii="Calibri" w:hAnsi="Calibri"/>
                <w:kern w:val="0"/>
                <w:sz w:val="21"/>
                <w:szCs w:val="21"/>
                <w:lang w:val="en-GB"/>
              </w:rPr>
            </w:pPr>
            <w:r>
              <w:rPr>
                <w:rFonts w:ascii="Calibri" w:hAnsi="Calibri"/>
                <w:kern w:val="0"/>
                <w:sz w:val="21"/>
                <w:szCs w:val="21"/>
                <w:lang w:val="en-GB"/>
              </w:rPr>
              <w:t>Lymph Nodes</w:t>
            </w:r>
          </w:p>
        </w:tc>
        <w:tc>
          <w:tcPr>
            <w:tcW w:w="1901" w:type="pct"/>
            <w:vAlign w:val="center"/>
          </w:tcPr>
          <w:p w14:paraId="6A61BEBA">
            <w:pPr>
              <w:adjustRightInd w:val="0"/>
              <w:jc w:val="center"/>
              <w:rPr>
                <w:rFonts w:ascii="Calibri" w:hAnsi="Calibri"/>
                <w:kern w:val="0"/>
                <w:sz w:val="21"/>
                <w:szCs w:val="21"/>
                <w:lang w:val="en-GB"/>
              </w:rPr>
            </w:pPr>
            <w:r>
              <w:rPr>
                <w:rFonts w:hint="eastAsia" w:ascii="Calibri" w:hAnsi="Calibri"/>
                <w:kern w:val="0"/>
                <w:sz w:val="21"/>
                <w:szCs w:val="21"/>
                <w:lang w:val="en-GB"/>
              </w:rPr>
              <w:t>淋巴结</w:t>
            </w:r>
          </w:p>
        </w:tc>
      </w:tr>
      <w:tr w14:paraId="1CD6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7B109AE2">
            <w:pPr>
              <w:adjustRightInd w:val="0"/>
              <w:jc w:val="center"/>
              <w:rPr>
                <w:rFonts w:ascii="Calibri" w:hAnsi="Calibri"/>
                <w:kern w:val="0"/>
                <w:sz w:val="21"/>
                <w:szCs w:val="21"/>
              </w:rPr>
            </w:pPr>
            <w:bookmarkStart w:id="794" w:name="OLE_LINK41"/>
            <w:r>
              <w:rPr>
                <w:rFonts w:ascii="Calibri" w:hAnsi="Calibri"/>
                <w:kern w:val="0"/>
                <w:sz w:val="21"/>
                <w:szCs w:val="21"/>
              </w:rPr>
              <w:t>mCi</w:t>
            </w:r>
            <w:bookmarkEnd w:id="794"/>
          </w:p>
        </w:tc>
        <w:tc>
          <w:tcPr>
            <w:tcW w:w="2000" w:type="pct"/>
            <w:vAlign w:val="center"/>
          </w:tcPr>
          <w:p w14:paraId="4712D7B9">
            <w:pPr>
              <w:adjustRightInd w:val="0"/>
              <w:jc w:val="center"/>
              <w:rPr>
                <w:rFonts w:ascii="Calibri" w:hAnsi="Calibri"/>
                <w:kern w:val="0"/>
                <w:sz w:val="21"/>
                <w:szCs w:val="21"/>
                <w:lang w:val="en-GB"/>
              </w:rPr>
            </w:pPr>
            <w:r>
              <w:rPr>
                <w:rFonts w:ascii="Calibri" w:hAnsi="Calibri"/>
                <w:kern w:val="0"/>
                <w:sz w:val="21"/>
                <w:szCs w:val="21"/>
                <w:lang w:val="en-GB"/>
              </w:rPr>
              <w:t>Millicurie</w:t>
            </w:r>
          </w:p>
        </w:tc>
        <w:tc>
          <w:tcPr>
            <w:tcW w:w="1901" w:type="pct"/>
            <w:vAlign w:val="center"/>
          </w:tcPr>
          <w:p w14:paraId="38EAA55B">
            <w:pPr>
              <w:adjustRightInd w:val="0"/>
              <w:jc w:val="center"/>
              <w:rPr>
                <w:rFonts w:ascii="Calibri" w:hAnsi="Calibri"/>
                <w:kern w:val="0"/>
                <w:sz w:val="21"/>
                <w:szCs w:val="21"/>
                <w:lang w:val="en-GB"/>
              </w:rPr>
            </w:pPr>
            <w:r>
              <w:rPr>
                <w:rFonts w:hint="eastAsia" w:ascii="Calibri" w:hAnsi="Calibri"/>
                <w:kern w:val="0"/>
                <w:sz w:val="21"/>
                <w:szCs w:val="21"/>
                <w:lang w:val="en-GB"/>
              </w:rPr>
              <w:t>毫居里</w:t>
            </w:r>
          </w:p>
        </w:tc>
      </w:tr>
      <w:tr w14:paraId="70419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67A214FA">
            <w:pPr>
              <w:adjustRightInd w:val="0"/>
              <w:jc w:val="center"/>
              <w:rPr>
                <w:rFonts w:ascii="Calibri" w:hAnsi="Calibri"/>
                <w:spacing w:val="15"/>
                <w:sz w:val="21"/>
                <w:szCs w:val="21"/>
              </w:rPr>
            </w:pPr>
            <w:r>
              <w:rPr>
                <w:rFonts w:ascii="Calibri" w:hAnsi="Calibri"/>
                <w:sz w:val="21"/>
                <w:szCs w:val="21"/>
              </w:rPr>
              <w:t>mpMRI</w:t>
            </w:r>
          </w:p>
        </w:tc>
        <w:tc>
          <w:tcPr>
            <w:tcW w:w="2000" w:type="pct"/>
            <w:vAlign w:val="center"/>
          </w:tcPr>
          <w:p w14:paraId="500BAA50">
            <w:pPr>
              <w:adjustRightInd w:val="0"/>
              <w:jc w:val="center"/>
              <w:rPr>
                <w:rFonts w:ascii="Calibri" w:hAnsi="Calibri"/>
                <w:kern w:val="0"/>
                <w:sz w:val="21"/>
                <w:szCs w:val="21"/>
                <w:lang w:val="en-GB"/>
              </w:rPr>
            </w:pPr>
            <w:r>
              <w:rPr>
                <w:rFonts w:ascii="Calibri" w:hAnsi="Calibri"/>
                <w:kern w:val="0"/>
                <w:sz w:val="21"/>
                <w:szCs w:val="21"/>
                <w:lang w:val="en-GB"/>
              </w:rPr>
              <w:t>Multi Parametric MRI</w:t>
            </w:r>
          </w:p>
        </w:tc>
        <w:tc>
          <w:tcPr>
            <w:tcW w:w="1901" w:type="pct"/>
            <w:vAlign w:val="center"/>
          </w:tcPr>
          <w:p w14:paraId="6A91A3B0">
            <w:pPr>
              <w:adjustRightInd w:val="0"/>
              <w:jc w:val="center"/>
              <w:rPr>
                <w:rFonts w:ascii="Calibri" w:hAnsi="Calibri"/>
                <w:kern w:val="0"/>
                <w:sz w:val="21"/>
                <w:szCs w:val="21"/>
                <w:lang w:val="en-GB"/>
              </w:rPr>
            </w:pPr>
            <w:r>
              <w:rPr>
                <w:rFonts w:hint="eastAsia" w:ascii="Calibri" w:hAnsi="Calibri"/>
                <w:kern w:val="0"/>
                <w:sz w:val="21"/>
                <w:szCs w:val="21"/>
                <w:lang w:val="en-GB"/>
              </w:rPr>
              <w:t>多参数磁共振成像</w:t>
            </w:r>
          </w:p>
        </w:tc>
      </w:tr>
      <w:tr w14:paraId="2E3E3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1EFCB581">
            <w:pPr>
              <w:adjustRightInd w:val="0"/>
              <w:jc w:val="center"/>
              <w:rPr>
                <w:rFonts w:ascii="Calibri" w:hAnsi="Calibri"/>
                <w:sz w:val="21"/>
                <w:szCs w:val="21"/>
              </w:rPr>
            </w:pPr>
            <w:r>
              <w:rPr>
                <w:rFonts w:ascii="Calibri" w:hAnsi="Calibri"/>
                <w:sz w:val="21"/>
                <w:szCs w:val="21"/>
              </w:rPr>
              <w:t>MedDRA</w:t>
            </w:r>
          </w:p>
        </w:tc>
        <w:tc>
          <w:tcPr>
            <w:tcW w:w="2000" w:type="pct"/>
            <w:vAlign w:val="center"/>
          </w:tcPr>
          <w:p w14:paraId="5FCBCD62">
            <w:pPr>
              <w:adjustRightInd w:val="0"/>
              <w:jc w:val="center"/>
              <w:rPr>
                <w:rFonts w:ascii="Calibri" w:hAnsi="Calibri"/>
                <w:sz w:val="21"/>
                <w:szCs w:val="21"/>
                <w:lang w:val="en-GB"/>
              </w:rPr>
            </w:pPr>
            <w:r>
              <w:rPr>
                <w:rFonts w:ascii="Calibri" w:hAnsi="Calibri"/>
                <w:sz w:val="21"/>
                <w:szCs w:val="21"/>
                <w:lang w:val="en-GB"/>
              </w:rPr>
              <w:t>Medical Dictionary for Regulatory Activities</w:t>
            </w:r>
          </w:p>
        </w:tc>
        <w:tc>
          <w:tcPr>
            <w:tcW w:w="1901" w:type="pct"/>
            <w:vAlign w:val="center"/>
          </w:tcPr>
          <w:p w14:paraId="2893194C">
            <w:pPr>
              <w:adjustRightInd w:val="0"/>
              <w:jc w:val="center"/>
              <w:rPr>
                <w:rFonts w:ascii="Calibri" w:hAnsi="Calibri"/>
                <w:sz w:val="21"/>
                <w:szCs w:val="21"/>
                <w:lang w:val="en-GB"/>
              </w:rPr>
            </w:pPr>
            <w:r>
              <w:rPr>
                <w:rFonts w:hint="eastAsia" w:ascii="Calibri" w:hAnsi="Calibri"/>
                <w:sz w:val="21"/>
                <w:szCs w:val="21"/>
                <w:lang w:val="en-GB"/>
              </w:rPr>
              <w:t>国际医学用语词典</w:t>
            </w:r>
          </w:p>
        </w:tc>
      </w:tr>
      <w:tr w14:paraId="7EE3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23420D40">
            <w:pPr>
              <w:adjustRightInd w:val="0"/>
              <w:jc w:val="center"/>
              <w:rPr>
                <w:rFonts w:ascii="Calibri" w:hAnsi="Calibri"/>
                <w:sz w:val="21"/>
                <w:szCs w:val="21"/>
              </w:rPr>
            </w:pPr>
            <w:r>
              <w:rPr>
                <w:rFonts w:ascii="Calibri" w:hAnsi="Calibri"/>
                <w:sz w:val="21"/>
                <w:szCs w:val="21"/>
              </w:rPr>
              <w:t>MBq</w:t>
            </w:r>
          </w:p>
        </w:tc>
        <w:tc>
          <w:tcPr>
            <w:tcW w:w="2000" w:type="pct"/>
            <w:vAlign w:val="center"/>
          </w:tcPr>
          <w:p w14:paraId="38031DA7">
            <w:pPr>
              <w:adjustRightInd w:val="0"/>
              <w:jc w:val="center"/>
              <w:rPr>
                <w:rFonts w:ascii="Calibri" w:hAnsi="Calibri"/>
                <w:sz w:val="21"/>
                <w:szCs w:val="21"/>
                <w:lang w:val="en-GB"/>
              </w:rPr>
            </w:pPr>
            <w:r>
              <w:rPr>
                <w:rFonts w:ascii="Calibri" w:hAnsi="Calibri"/>
                <w:kern w:val="0"/>
                <w:sz w:val="21"/>
                <w:szCs w:val="21"/>
                <w:lang w:val="en-GB"/>
              </w:rPr>
              <w:t>Megabyte Becquerel</w:t>
            </w:r>
          </w:p>
        </w:tc>
        <w:tc>
          <w:tcPr>
            <w:tcW w:w="1901" w:type="pct"/>
            <w:vAlign w:val="center"/>
          </w:tcPr>
          <w:p w14:paraId="6A955B7E">
            <w:pPr>
              <w:adjustRightInd w:val="0"/>
              <w:jc w:val="center"/>
              <w:rPr>
                <w:rFonts w:ascii="Calibri" w:hAnsi="Calibri"/>
                <w:sz w:val="21"/>
                <w:szCs w:val="21"/>
                <w:lang w:val="en-GB"/>
              </w:rPr>
            </w:pPr>
            <w:r>
              <w:rPr>
                <w:rFonts w:hint="eastAsia" w:ascii="Calibri" w:hAnsi="Calibri"/>
                <w:kern w:val="0"/>
                <w:sz w:val="21"/>
                <w:szCs w:val="21"/>
                <w:lang w:val="en-GB"/>
              </w:rPr>
              <w:t>兆贝克</w:t>
            </w:r>
          </w:p>
        </w:tc>
      </w:tr>
      <w:tr w14:paraId="7560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8980465">
            <w:pPr>
              <w:adjustRightInd w:val="0"/>
              <w:jc w:val="center"/>
              <w:rPr>
                <w:rFonts w:ascii="Calibri" w:hAnsi="Calibri"/>
                <w:sz w:val="21"/>
                <w:szCs w:val="21"/>
              </w:rPr>
            </w:pPr>
            <w:r>
              <w:rPr>
                <w:rFonts w:ascii="Calibri" w:hAnsi="Calibri"/>
                <w:kern w:val="0"/>
                <w:sz w:val="21"/>
                <w:szCs w:val="21"/>
              </w:rPr>
              <w:t>MRI</w:t>
            </w:r>
          </w:p>
        </w:tc>
        <w:tc>
          <w:tcPr>
            <w:tcW w:w="2000" w:type="pct"/>
            <w:vAlign w:val="center"/>
          </w:tcPr>
          <w:p w14:paraId="4AED455F">
            <w:pPr>
              <w:adjustRightInd w:val="0"/>
              <w:jc w:val="center"/>
              <w:rPr>
                <w:rFonts w:ascii="Calibri" w:hAnsi="Calibri"/>
                <w:kern w:val="0"/>
                <w:sz w:val="21"/>
                <w:szCs w:val="21"/>
                <w:lang w:val="en-GB"/>
              </w:rPr>
            </w:pPr>
            <w:r>
              <w:rPr>
                <w:rFonts w:ascii="Calibri" w:hAnsi="Calibri"/>
                <w:kern w:val="0"/>
                <w:sz w:val="21"/>
                <w:szCs w:val="21"/>
                <w:lang w:val="en-GB"/>
              </w:rPr>
              <w:t>Magnetic Resonance Imaging</w:t>
            </w:r>
          </w:p>
        </w:tc>
        <w:tc>
          <w:tcPr>
            <w:tcW w:w="1901" w:type="pct"/>
            <w:vAlign w:val="center"/>
          </w:tcPr>
          <w:p w14:paraId="0B8B2D93">
            <w:pPr>
              <w:adjustRightInd w:val="0"/>
              <w:jc w:val="center"/>
              <w:rPr>
                <w:rFonts w:ascii="Calibri" w:hAnsi="Calibri"/>
                <w:kern w:val="0"/>
                <w:sz w:val="21"/>
                <w:szCs w:val="21"/>
                <w:lang w:val="en-GB"/>
              </w:rPr>
            </w:pPr>
            <w:r>
              <w:rPr>
                <w:rFonts w:hint="eastAsia" w:ascii="Calibri" w:hAnsi="Calibri"/>
                <w:kern w:val="0"/>
                <w:sz w:val="21"/>
                <w:szCs w:val="21"/>
                <w:lang w:val="en-GB"/>
              </w:rPr>
              <w:t>磁共振成像</w:t>
            </w:r>
          </w:p>
        </w:tc>
      </w:tr>
      <w:tr w14:paraId="50693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11E3978">
            <w:pPr>
              <w:adjustRightInd w:val="0"/>
              <w:jc w:val="center"/>
              <w:rPr>
                <w:rFonts w:ascii="Calibri" w:hAnsi="Calibri"/>
                <w:spacing w:val="15"/>
                <w:sz w:val="21"/>
                <w:szCs w:val="21"/>
              </w:rPr>
            </w:pPr>
            <w:r>
              <w:rPr>
                <w:rFonts w:ascii="Calibri" w:hAnsi="Calibri"/>
                <w:sz w:val="21"/>
                <w:szCs w:val="21"/>
              </w:rPr>
              <w:t>MRSI</w:t>
            </w:r>
          </w:p>
        </w:tc>
        <w:tc>
          <w:tcPr>
            <w:tcW w:w="2000" w:type="pct"/>
            <w:vAlign w:val="center"/>
          </w:tcPr>
          <w:p w14:paraId="7F8F512F">
            <w:pPr>
              <w:adjustRightInd w:val="0"/>
              <w:jc w:val="center"/>
              <w:rPr>
                <w:rFonts w:ascii="Calibri" w:hAnsi="Calibri"/>
                <w:kern w:val="0"/>
                <w:sz w:val="21"/>
                <w:szCs w:val="21"/>
                <w:lang w:val="en-GB"/>
              </w:rPr>
            </w:pPr>
            <w:r>
              <w:rPr>
                <w:rFonts w:ascii="Calibri" w:hAnsi="Calibri"/>
                <w:kern w:val="0"/>
                <w:sz w:val="21"/>
                <w:szCs w:val="21"/>
                <w:lang w:val="en-GB"/>
              </w:rPr>
              <w:t>Magnetic Resonance Spectroscopy Imaging</w:t>
            </w:r>
          </w:p>
        </w:tc>
        <w:tc>
          <w:tcPr>
            <w:tcW w:w="1901" w:type="pct"/>
            <w:vAlign w:val="center"/>
          </w:tcPr>
          <w:p w14:paraId="382A78CE">
            <w:pPr>
              <w:adjustRightInd w:val="0"/>
              <w:jc w:val="center"/>
              <w:rPr>
                <w:rFonts w:ascii="Calibri" w:hAnsi="Calibri"/>
                <w:kern w:val="0"/>
                <w:sz w:val="21"/>
                <w:szCs w:val="21"/>
                <w:lang w:val="en-GB"/>
              </w:rPr>
            </w:pPr>
            <w:r>
              <w:rPr>
                <w:rFonts w:hint="eastAsia" w:ascii="Calibri" w:hAnsi="Calibri"/>
                <w:kern w:val="0"/>
                <w:sz w:val="21"/>
                <w:szCs w:val="21"/>
                <w:lang w:val="en-GB"/>
              </w:rPr>
              <w:t>磁共振波谱成像</w:t>
            </w:r>
          </w:p>
        </w:tc>
      </w:tr>
      <w:tr w14:paraId="4BD3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6F99F8F0">
            <w:pPr>
              <w:adjustRightInd w:val="0"/>
              <w:jc w:val="center"/>
              <w:rPr>
                <w:rFonts w:ascii="Calibri" w:hAnsi="Calibri"/>
                <w:sz w:val="21"/>
                <w:szCs w:val="21"/>
              </w:rPr>
            </w:pPr>
            <w:r>
              <w:rPr>
                <w:rFonts w:ascii="Calibri" w:hAnsi="Calibri"/>
                <w:kern w:val="0"/>
                <w:sz w:val="21"/>
                <w:szCs w:val="21"/>
              </w:rPr>
              <w:t>NCCN</w:t>
            </w:r>
          </w:p>
        </w:tc>
        <w:tc>
          <w:tcPr>
            <w:tcW w:w="2000" w:type="pct"/>
            <w:vAlign w:val="center"/>
          </w:tcPr>
          <w:p w14:paraId="00EFF193">
            <w:pPr>
              <w:adjustRightInd w:val="0"/>
              <w:jc w:val="center"/>
              <w:rPr>
                <w:rFonts w:ascii="Calibri" w:hAnsi="Calibri"/>
                <w:kern w:val="0"/>
                <w:sz w:val="21"/>
                <w:szCs w:val="21"/>
                <w:lang w:val="en-GB"/>
              </w:rPr>
            </w:pPr>
            <w:r>
              <w:rPr>
                <w:rFonts w:ascii="Calibri" w:hAnsi="Calibri"/>
                <w:kern w:val="0"/>
                <w:sz w:val="21"/>
                <w:szCs w:val="21"/>
                <w:lang w:val="en-GB"/>
              </w:rPr>
              <w:t>National Comprehensive Cancer Network</w:t>
            </w:r>
          </w:p>
        </w:tc>
        <w:tc>
          <w:tcPr>
            <w:tcW w:w="1901" w:type="pct"/>
            <w:vAlign w:val="center"/>
          </w:tcPr>
          <w:p w14:paraId="1013348D">
            <w:pPr>
              <w:adjustRightInd w:val="0"/>
              <w:jc w:val="center"/>
              <w:rPr>
                <w:rFonts w:ascii="Calibri" w:hAnsi="Calibri"/>
                <w:kern w:val="0"/>
                <w:sz w:val="21"/>
                <w:szCs w:val="21"/>
                <w:lang w:val="en-GB"/>
              </w:rPr>
            </w:pPr>
            <w:r>
              <w:rPr>
                <w:rFonts w:hint="eastAsia" w:ascii="Calibri" w:hAnsi="Calibri"/>
                <w:kern w:val="0"/>
                <w:sz w:val="21"/>
                <w:szCs w:val="21"/>
                <w:lang w:val="en-GB"/>
              </w:rPr>
              <w:t>美国国立综合癌症网络</w:t>
            </w:r>
          </w:p>
        </w:tc>
      </w:tr>
      <w:tr w14:paraId="5E42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13F16D3F">
            <w:pPr>
              <w:adjustRightInd w:val="0"/>
              <w:jc w:val="center"/>
              <w:rPr>
                <w:rFonts w:ascii="Calibri" w:hAnsi="Calibri"/>
                <w:sz w:val="21"/>
                <w:szCs w:val="21"/>
              </w:rPr>
            </w:pPr>
            <w:r>
              <w:rPr>
                <w:rFonts w:ascii="Calibri" w:hAnsi="Calibri"/>
                <w:sz w:val="21"/>
                <w:szCs w:val="21"/>
              </w:rPr>
              <w:t>NOAEL</w:t>
            </w:r>
          </w:p>
        </w:tc>
        <w:tc>
          <w:tcPr>
            <w:tcW w:w="2000" w:type="pct"/>
            <w:vAlign w:val="center"/>
          </w:tcPr>
          <w:p w14:paraId="2FF8D2DE">
            <w:pPr>
              <w:adjustRightInd w:val="0"/>
              <w:jc w:val="center"/>
              <w:rPr>
                <w:rFonts w:ascii="Calibri" w:hAnsi="Calibri"/>
                <w:sz w:val="21"/>
                <w:szCs w:val="21"/>
                <w:lang w:val="en-GB"/>
              </w:rPr>
            </w:pPr>
            <w:r>
              <w:rPr>
                <w:rFonts w:ascii="Calibri" w:hAnsi="Calibri"/>
                <w:kern w:val="0"/>
                <w:sz w:val="21"/>
                <w:szCs w:val="21"/>
              </w:rPr>
              <w:t>N</w:t>
            </w:r>
            <w:r>
              <w:rPr>
                <w:rFonts w:ascii="Calibri" w:hAnsi="Calibri"/>
                <w:kern w:val="0"/>
                <w:sz w:val="21"/>
                <w:szCs w:val="21"/>
                <w:lang w:val="en-GB"/>
              </w:rPr>
              <w:t>o Observed Adverse Effect Level</w:t>
            </w:r>
          </w:p>
        </w:tc>
        <w:tc>
          <w:tcPr>
            <w:tcW w:w="1901" w:type="pct"/>
            <w:vAlign w:val="center"/>
          </w:tcPr>
          <w:p w14:paraId="77BE6556">
            <w:pPr>
              <w:adjustRightInd w:val="0"/>
              <w:jc w:val="center"/>
              <w:rPr>
                <w:rFonts w:ascii="Calibri" w:hAnsi="Calibri"/>
                <w:sz w:val="21"/>
                <w:szCs w:val="21"/>
                <w:lang w:val="en-GB"/>
              </w:rPr>
            </w:pPr>
            <w:r>
              <w:rPr>
                <w:rFonts w:hint="eastAsia" w:ascii="Calibri" w:hAnsi="Calibri"/>
                <w:sz w:val="21"/>
                <w:szCs w:val="21"/>
              </w:rPr>
              <w:t>无明显毒性反应剂量</w:t>
            </w:r>
          </w:p>
        </w:tc>
      </w:tr>
      <w:tr w14:paraId="6E8D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3C2E809C">
            <w:pPr>
              <w:adjustRightInd w:val="0"/>
              <w:jc w:val="center"/>
              <w:rPr>
                <w:rFonts w:ascii="Calibri" w:hAnsi="Calibri"/>
                <w:kern w:val="0"/>
                <w:sz w:val="21"/>
                <w:szCs w:val="21"/>
              </w:rPr>
            </w:pPr>
            <w:bookmarkStart w:id="795" w:name="OLE_LINK42"/>
            <w:r>
              <w:rPr>
                <w:rFonts w:ascii="Calibri" w:hAnsi="Calibri"/>
                <w:kern w:val="0"/>
                <w:sz w:val="21"/>
                <w:szCs w:val="21"/>
              </w:rPr>
              <w:t>PCa</w:t>
            </w:r>
            <w:bookmarkEnd w:id="795"/>
          </w:p>
        </w:tc>
        <w:tc>
          <w:tcPr>
            <w:tcW w:w="2000" w:type="pct"/>
            <w:vAlign w:val="center"/>
          </w:tcPr>
          <w:p w14:paraId="5F08C586">
            <w:pPr>
              <w:adjustRightInd w:val="0"/>
              <w:jc w:val="center"/>
              <w:rPr>
                <w:rFonts w:ascii="Calibri" w:hAnsi="Calibri"/>
                <w:kern w:val="0"/>
                <w:sz w:val="21"/>
                <w:szCs w:val="21"/>
                <w:lang w:val="en-GB"/>
              </w:rPr>
            </w:pPr>
            <w:r>
              <w:rPr>
                <w:rFonts w:ascii="Calibri" w:hAnsi="Calibri"/>
                <w:kern w:val="0"/>
                <w:sz w:val="21"/>
                <w:szCs w:val="21"/>
                <w:lang w:val="en-GB"/>
              </w:rPr>
              <w:t>Prostate Cancer</w:t>
            </w:r>
          </w:p>
        </w:tc>
        <w:tc>
          <w:tcPr>
            <w:tcW w:w="1901" w:type="pct"/>
            <w:vAlign w:val="center"/>
          </w:tcPr>
          <w:p w14:paraId="6E8E9240">
            <w:pPr>
              <w:adjustRightInd w:val="0"/>
              <w:jc w:val="center"/>
              <w:rPr>
                <w:rFonts w:ascii="Calibri" w:hAnsi="Calibri"/>
                <w:kern w:val="0"/>
                <w:sz w:val="21"/>
                <w:szCs w:val="21"/>
                <w:lang w:val="en-GB"/>
              </w:rPr>
            </w:pPr>
            <w:r>
              <w:rPr>
                <w:rFonts w:hint="eastAsia" w:ascii="Calibri" w:hAnsi="Calibri"/>
                <w:kern w:val="0"/>
                <w:sz w:val="21"/>
                <w:szCs w:val="21"/>
                <w:lang w:val="en-GB"/>
              </w:rPr>
              <w:t>前列腺癌</w:t>
            </w:r>
          </w:p>
        </w:tc>
      </w:tr>
      <w:tr w14:paraId="7077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45DA45F7">
            <w:pPr>
              <w:adjustRightInd w:val="0"/>
              <w:jc w:val="center"/>
              <w:rPr>
                <w:rFonts w:ascii="Calibri" w:hAnsi="Calibri"/>
                <w:sz w:val="21"/>
                <w:szCs w:val="21"/>
              </w:rPr>
            </w:pPr>
            <w:r>
              <w:rPr>
                <w:rFonts w:ascii="Calibri" w:hAnsi="Calibri"/>
                <w:kern w:val="0"/>
                <w:sz w:val="21"/>
                <w:szCs w:val="21"/>
              </w:rPr>
              <w:t>PET</w:t>
            </w:r>
          </w:p>
        </w:tc>
        <w:tc>
          <w:tcPr>
            <w:tcW w:w="2000" w:type="pct"/>
            <w:vAlign w:val="center"/>
          </w:tcPr>
          <w:p w14:paraId="61BAF3F6">
            <w:pPr>
              <w:adjustRightInd w:val="0"/>
              <w:jc w:val="center"/>
              <w:rPr>
                <w:rFonts w:ascii="Calibri" w:hAnsi="Calibri"/>
                <w:spacing w:val="15"/>
                <w:sz w:val="21"/>
                <w:szCs w:val="21"/>
              </w:rPr>
            </w:pPr>
            <w:r>
              <w:rPr>
                <w:rFonts w:ascii="Calibri" w:hAnsi="Calibri"/>
                <w:kern w:val="0"/>
                <w:sz w:val="21"/>
                <w:szCs w:val="21"/>
                <w:lang w:val="en-GB"/>
              </w:rPr>
              <w:t>Positron Emission Tomography</w:t>
            </w:r>
          </w:p>
        </w:tc>
        <w:tc>
          <w:tcPr>
            <w:tcW w:w="1901" w:type="pct"/>
            <w:vAlign w:val="center"/>
          </w:tcPr>
          <w:p w14:paraId="5C2E1F66">
            <w:pPr>
              <w:adjustRightInd w:val="0"/>
              <w:jc w:val="center"/>
              <w:rPr>
                <w:rFonts w:ascii="Calibri" w:hAnsi="Calibri"/>
                <w:sz w:val="21"/>
                <w:szCs w:val="21"/>
              </w:rPr>
            </w:pPr>
            <w:r>
              <w:rPr>
                <w:rFonts w:hint="eastAsia" w:ascii="Calibri" w:hAnsi="Calibri"/>
                <w:kern w:val="0"/>
                <w:sz w:val="21"/>
                <w:szCs w:val="21"/>
                <w:lang w:val="en-GB"/>
              </w:rPr>
              <w:t>正电子发射断层</w:t>
            </w:r>
            <w:r>
              <w:rPr>
                <w:rFonts w:hint="eastAsia" w:ascii="Calibri" w:hAnsi="Calibri"/>
                <w:kern w:val="0"/>
                <w:sz w:val="21"/>
                <w:szCs w:val="21"/>
              </w:rPr>
              <w:t>成像</w:t>
            </w:r>
          </w:p>
        </w:tc>
      </w:tr>
      <w:tr w14:paraId="009A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3102830D">
            <w:pPr>
              <w:adjustRightInd w:val="0"/>
              <w:jc w:val="center"/>
              <w:rPr>
                <w:rFonts w:ascii="Calibri" w:hAnsi="Calibri"/>
                <w:bCs/>
                <w:kern w:val="0"/>
                <w:sz w:val="21"/>
                <w:szCs w:val="21"/>
              </w:rPr>
            </w:pPr>
            <w:r>
              <w:rPr>
                <w:rFonts w:ascii="Calibri" w:hAnsi="Calibri"/>
                <w:sz w:val="21"/>
                <w:szCs w:val="21"/>
              </w:rPr>
              <w:t>PHI</w:t>
            </w:r>
          </w:p>
        </w:tc>
        <w:tc>
          <w:tcPr>
            <w:tcW w:w="2000" w:type="pct"/>
            <w:vAlign w:val="center"/>
          </w:tcPr>
          <w:p w14:paraId="486A6476">
            <w:pPr>
              <w:adjustRightInd w:val="0"/>
              <w:jc w:val="center"/>
              <w:rPr>
                <w:rFonts w:ascii="Calibri" w:hAnsi="Calibri"/>
                <w:sz w:val="21"/>
                <w:szCs w:val="21"/>
                <w:shd w:val="clear" w:color="auto" w:fill="FFFFFF"/>
              </w:rPr>
            </w:pPr>
            <w:r>
              <w:rPr>
                <w:rFonts w:ascii="Calibri" w:hAnsi="Calibri"/>
                <w:kern w:val="0"/>
                <w:sz w:val="21"/>
                <w:szCs w:val="21"/>
                <w:lang w:val="en-GB"/>
              </w:rPr>
              <w:t>Prostate Health Index</w:t>
            </w:r>
          </w:p>
        </w:tc>
        <w:tc>
          <w:tcPr>
            <w:tcW w:w="1901" w:type="pct"/>
            <w:vAlign w:val="center"/>
          </w:tcPr>
          <w:p w14:paraId="349CDB6F">
            <w:pPr>
              <w:adjustRightInd w:val="0"/>
              <w:jc w:val="center"/>
              <w:rPr>
                <w:rFonts w:ascii="Calibri" w:hAnsi="Calibri"/>
                <w:sz w:val="21"/>
                <w:szCs w:val="21"/>
                <w:shd w:val="clear" w:color="auto" w:fill="FFFFFF"/>
              </w:rPr>
            </w:pPr>
            <w:r>
              <w:rPr>
                <w:rFonts w:hint="eastAsia" w:ascii="Calibri" w:hAnsi="Calibri"/>
                <w:kern w:val="0"/>
                <w:sz w:val="21"/>
                <w:szCs w:val="21"/>
                <w:lang w:val="en-GB"/>
              </w:rPr>
              <w:t>前列腺健康指数</w:t>
            </w:r>
          </w:p>
        </w:tc>
      </w:tr>
      <w:tr w14:paraId="6F9C8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54D6FD8">
            <w:pPr>
              <w:adjustRightInd w:val="0"/>
              <w:jc w:val="center"/>
              <w:rPr>
                <w:rFonts w:ascii="Calibri" w:hAnsi="Calibri"/>
                <w:sz w:val="21"/>
                <w:szCs w:val="21"/>
              </w:rPr>
            </w:pPr>
            <w:r>
              <w:rPr>
                <w:rFonts w:ascii="Calibri" w:hAnsi="Calibri"/>
                <w:sz w:val="21"/>
                <w:szCs w:val="21"/>
                <w:lang w:val="en-GB"/>
              </w:rPr>
              <w:t>PK</w:t>
            </w:r>
          </w:p>
        </w:tc>
        <w:tc>
          <w:tcPr>
            <w:tcW w:w="2000" w:type="pct"/>
            <w:vAlign w:val="center"/>
          </w:tcPr>
          <w:p w14:paraId="16C89FB1">
            <w:pPr>
              <w:adjustRightInd w:val="0"/>
              <w:jc w:val="center"/>
              <w:rPr>
                <w:rFonts w:ascii="Calibri" w:hAnsi="Calibri"/>
                <w:sz w:val="21"/>
                <w:szCs w:val="21"/>
                <w:lang w:val="en-GB"/>
              </w:rPr>
            </w:pPr>
            <w:r>
              <w:rPr>
                <w:rFonts w:ascii="Calibri" w:hAnsi="Calibri"/>
                <w:sz w:val="21"/>
                <w:szCs w:val="21"/>
                <w:lang w:val="en-GB"/>
              </w:rPr>
              <w:t>Pharmacokinetics</w:t>
            </w:r>
          </w:p>
        </w:tc>
        <w:tc>
          <w:tcPr>
            <w:tcW w:w="1901" w:type="pct"/>
            <w:vAlign w:val="center"/>
          </w:tcPr>
          <w:p w14:paraId="29A30FA9">
            <w:pPr>
              <w:adjustRightInd w:val="0"/>
              <w:jc w:val="center"/>
              <w:rPr>
                <w:rFonts w:ascii="Calibri" w:hAnsi="Calibri"/>
                <w:sz w:val="21"/>
                <w:szCs w:val="21"/>
                <w:lang w:val="en-GB"/>
              </w:rPr>
            </w:pPr>
            <w:r>
              <w:rPr>
                <w:rFonts w:hint="eastAsia" w:ascii="Calibri" w:hAnsi="Calibri"/>
                <w:sz w:val="21"/>
                <w:szCs w:val="21"/>
                <w:lang w:val="en-GB"/>
              </w:rPr>
              <w:t>药代动力学</w:t>
            </w:r>
          </w:p>
        </w:tc>
      </w:tr>
      <w:tr w14:paraId="24146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64352C91">
            <w:pPr>
              <w:jc w:val="center"/>
              <w:rPr>
                <w:rFonts w:ascii="Calibri" w:hAnsi="Calibri"/>
                <w:sz w:val="21"/>
                <w:szCs w:val="21"/>
                <w:lang w:val="en-GB"/>
              </w:rPr>
            </w:pPr>
            <w:r>
              <w:rPr>
                <w:rFonts w:ascii="Calibri" w:hAnsi="Calibri"/>
                <w:sz w:val="21"/>
                <w:szCs w:val="21"/>
                <w:lang w:val="en-GB"/>
              </w:rPr>
              <w:t>PKS</w:t>
            </w:r>
          </w:p>
        </w:tc>
        <w:tc>
          <w:tcPr>
            <w:tcW w:w="2000" w:type="pct"/>
            <w:vAlign w:val="center"/>
          </w:tcPr>
          <w:p w14:paraId="66FB96A8">
            <w:pPr>
              <w:adjustRightInd w:val="0"/>
              <w:jc w:val="center"/>
              <w:rPr>
                <w:rFonts w:ascii="Calibri" w:hAnsi="Calibri"/>
                <w:sz w:val="21"/>
                <w:szCs w:val="21"/>
                <w:lang w:val="en-GB"/>
              </w:rPr>
            </w:pPr>
            <w:r>
              <w:rPr>
                <w:rFonts w:ascii="Calibri" w:hAnsi="Calibri"/>
                <w:sz w:val="21"/>
                <w:szCs w:val="21"/>
                <w:lang w:val="en-GB"/>
              </w:rPr>
              <w:t>Pharmacokinetics Set</w:t>
            </w:r>
          </w:p>
        </w:tc>
        <w:tc>
          <w:tcPr>
            <w:tcW w:w="1901" w:type="pct"/>
            <w:vAlign w:val="center"/>
          </w:tcPr>
          <w:p w14:paraId="5CCF9F05">
            <w:pPr>
              <w:adjustRightInd w:val="0"/>
              <w:jc w:val="center"/>
              <w:rPr>
                <w:rFonts w:ascii="Calibri" w:hAnsi="Calibri"/>
                <w:sz w:val="21"/>
                <w:szCs w:val="21"/>
                <w:lang w:val="en-GB"/>
              </w:rPr>
            </w:pPr>
            <w:r>
              <w:rPr>
                <w:rFonts w:hint="eastAsia" w:ascii="Calibri" w:hAnsi="Calibri"/>
                <w:sz w:val="21"/>
                <w:szCs w:val="21"/>
                <w:lang w:val="en-GB"/>
              </w:rPr>
              <w:t>药代动力学分析集</w:t>
            </w:r>
          </w:p>
        </w:tc>
      </w:tr>
      <w:tr w14:paraId="5108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3D3BDECE">
            <w:pPr>
              <w:adjustRightInd w:val="0"/>
              <w:jc w:val="center"/>
              <w:rPr>
                <w:rFonts w:ascii="Calibri" w:hAnsi="Calibri"/>
                <w:sz w:val="21"/>
                <w:szCs w:val="21"/>
              </w:rPr>
            </w:pPr>
            <w:r>
              <w:rPr>
                <w:rFonts w:ascii="Calibri" w:hAnsi="Calibri"/>
                <w:sz w:val="21"/>
                <w:szCs w:val="21"/>
                <w:lang w:val="en-GB"/>
              </w:rPr>
              <w:t>PPS</w:t>
            </w:r>
          </w:p>
        </w:tc>
        <w:tc>
          <w:tcPr>
            <w:tcW w:w="2000" w:type="pct"/>
            <w:vAlign w:val="center"/>
          </w:tcPr>
          <w:p w14:paraId="3CDF62B9">
            <w:pPr>
              <w:adjustRightInd w:val="0"/>
              <w:jc w:val="center"/>
              <w:rPr>
                <w:rFonts w:ascii="Calibri" w:hAnsi="Calibri"/>
                <w:sz w:val="21"/>
                <w:szCs w:val="21"/>
                <w:lang w:val="en-GB"/>
              </w:rPr>
            </w:pPr>
            <w:r>
              <w:rPr>
                <w:rFonts w:ascii="Calibri" w:hAnsi="Calibri"/>
                <w:sz w:val="21"/>
                <w:szCs w:val="21"/>
                <w:lang w:val="en-GB"/>
              </w:rPr>
              <w:t>Per Protocol Set</w:t>
            </w:r>
          </w:p>
        </w:tc>
        <w:tc>
          <w:tcPr>
            <w:tcW w:w="1901" w:type="pct"/>
            <w:vAlign w:val="center"/>
          </w:tcPr>
          <w:p w14:paraId="60DB1D89">
            <w:pPr>
              <w:adjustRightInd w:val="0"/>
              <w:jc w:val="center"/>
              <w:rPr>
                <w:rFonts w:ascii="Calibri" w:hAnsi="Calibri"/>
                <w:sz w:val="21"/>
                <w:szCs w:val="21"/>
                <w:lang w:val="en-GB"/>
              </w:rPr>
            </w:pPr>
            <w:r>
              <w:rPr>
                <w:rFonts w:hint="eastAsia" w:ascii="Calibri" w:hAnsi="Calibri"/>
                <w:sz w:val="21"/>
                <w:szCs w:val="21"/>
                <w:lang w:val="en-GB"/>
              </w:rPr>
              <w:t>符合方案集</w:t>
            </w:r>
          </w:p>
        </w:tc>
      </w:tr>
      <w:tr w14:paraId="1CD1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F3127ED">
            <w:pPr>
              <w:adjustRightInd w:val="0"/>
              <w:jc w:val="center"/>
              <w:rPr>
                <w:rFonts w:ascii="Calibri" w:hAnsi="Calibri"/>
                <w:spacing w:val="15"/>
                <w:sz w:val="21"/>
                <w:szCs w:val="21"/>
              </w:rPr>
            </w:pPr>
            <w:r>
              <w:rPr>
                <w:rFonts w:ascii="Calibri" w:hAnsi="Calibri"/>
                <w:sz w:val="21"/>
                <w:szCs w:val="21"/>
                <w:lang w:eastAsia="zh-TW"/>
              </w:rPr>
              <w:t>PPV</w:t>
            </w:r>
          </w:p>
        </w:tc>
        <w:tc>
          <w:tcPr>
            <w:tcW w:w="2000" w:type="pct"/>
            <w:vAlign w:val="center"/>
          </w:tcPr>
          <w:p w14:paraId="7BD5A2DC">
            <w:pPr>
              <w:adjustRightInd w:val="0"/>
              <w:jc w:val="center"/>
              <w:rPr>
                <w:rFonts w:ascii="Calibri" w:hAnsi="Calibri"/>
                <w:kern w:val="0"/>
                <w:sz w:val="21"/>
                <w:szCs w:val="21"/>
                <w:lang w:val="en-GB"/>
              </w:rPr>
            </w:pPr>
            <w:r>
              <w:rPr>
                <w:rFonts w:ascii="Calibri" w:hAnsi="Calibri"/>
                <w:kern w:val="0"/>
                <w:sz w:val="21"/>
                <w:szCs w:val="21"/>
                <w:lang w:val="en-GB"/>
              </w:rPr>
              <w:t>Positive Predictive Value</w:t>
            </w:r>
          </w:p>
        </w:tc>
        <w:tc>
          <w:tcPr>
            <w:tcW w:w="1901" w:type="pct"/>
            <w:vAlign w:val="center"/>
          </w:tcPr>
          <w:p w14:paraId="4DD5C41D">
            <w:pPr>
              <w:adjustRightInd w:val="0"/>
              <w:jc w:val="center"/>
              <w:rPr>
                <w:rFonts w:ascii="Calibri" w:hAnsi="Calibri"/>
                <w:kern w:val="0"/>
                <w:sz w:val="21"/>
                <w:szCs w:val="21"/>
                <w:lang w:val="en-GB"/>
              </w:rPr>
            </w:pPr>
            <w:r>
              <w:rPr>
                <w:rFonts w:hint="eastAsia" w:ascii="Calibri" w:hAnsi="Calibri"/>
                <w:kern w:val="0"/>
                <w:sz w:val="21"/>
                <w:szCs w:val="21"/>
                <w:lang w:val="en-GB"/>
              </w:rPr>
              <w:t>阳性预测值</w:t>
            </w:r>
          </w:p>
        </w:tc>
      </w:tr>
      <w:tr w14:paraId="01AC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2748CE72">
            <w:pPr>
              <w:adjustRightInd w:val="0"/>
              <w:jc w:val="center"/>
              <w:rPr>
                <w:rFonts w:ascii="Calibri" w:hAnsi="Calibri"/>
                <w:spacing w:val="15"/>
                <w:sz w:val="21"/>
                <w:szCs w:val="21"/>
              </w:rPr>
            </w:pPr>
            <w:r>
              <w:rPr>
                <w:rFonts w:ascii="Calibri" w:hAnsi="Calibri"/>
                <w:sz w:val="21"/>
                <w:szCs w:val="21"/>
              </w:rPr>
              <w:t>PSA</w:t>
            </w:r>
          </w:p>
        </w:tc>
        <w:tc>
          <w:tcPr>
            <w:tcW w:w="2000" w:type="pct"/>
            <w:vAlign w:val="center"/>
          </w:tcPr>
          <w:p w14:paraId="2F24C04F">
            <w:pPr>
              <w:adjustRightInd w:val="0"/>
              <w:jc w:val="center"/>
              <w:rPr>
                <w:rFonts w:ascii="Calibri" w:hAnsi="Calibri"/>
                <w:kern w:val="0"/>
                <w:sz w:val="21"/>
                <w:szCs w:val="21"/>
                <w:lang w:val="en-GB"/>
              </w:rPr>
            </w:pPr>
            <w:r>
              <w:rPr>
                <w:rFonts w:ascii="Calibri" w:hAnsi="Calibri"/>
                <w:kern w:val="0"/>
                <w:sz w:val="21"/>
                <w:szCs w:val="21"/>
                <w:lang w:val="en-GB"/>
              </w:rPr>
              <w:t>Prostate-Specific Antigen</w:t>
            </w:r>
          </w:p>
        </w:tc>
        <w:tc>
          <w:tcPr>
            <w:tcW w:w="1901" w:type="pct"/>
            <w:vAlign w:val="center"/>
          </w:tcPr>
          <w:p w14:paraId="2FF268D2">
            <w:pPr>
              <w:adjustRightInd w:val="0"/>
              <w:jc w:val="center"/>
              <w:rPr>
                <w:rFonts w:ascii="Calibri" w:hAnsi="Calibri"/>
                <w:kern w:val="0"/>
                <w:sz w:val="21"/>
                <w:szCs w:val="21"/>
                <w:lang w:val="en-GB"/>
              </w:rPr>
            </w:pPr>
            <w:r>
              <w:rPr>
                <w:rFonts w:hint="eastAsia" w:ascii="Calibri" w:hAnsi="Calibri"/>
                <w:kern w:val="0"/>
                <w:sz w:val="21"/>
                <w:szCs w:val="21"/>
                <w:lang w:val="en-GB"/>
              </w:rPr>
              <w:t>前列腺特异抗原</w:t>
            </w:r>
          </w:p>
        </w:tc>
      </w:tr>
      <w:tr w14:paraId="358D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42E6307D">
            <w:pPr>
              <w:adjustRightInd w:val="0"/>
              <w:jc w:val="center"/>
              <w:rPr>
                <w:rFonts w:ascii="Calibri" w:hAnsi="Calibri"/>
                <w:bCs/>
                <w:kern w:val="0"/>
                <w:sz w:val="21"/>
                <w:szCs w:val="21"/>
              </w:rPr>
            </w:pPr>
            <w:r>
              <w:rPr>
                <w:rFonts w:ascii="Calibri" w:hAnsi="Calibri"/>
                <w:sz w:val="21"/>
                <w:szCs w:val="21"/>
              </w:rPr>
              <w:t>PSMA</w:t>
            </w:r>
          </w:p>
        </w:tc>
        <w:tc>
          <w:tcPr>
            <w:tcW w:w="2000" w:type="pct"/>
            <w:vAlign w:val="center"/>
          </w:tcPr>
          <w:p w14:paraId="13DEF96A">
            <w:pPr>
              <w:adjustRightInd w:val="0"/>
              <w:jc w:val="center"/>
              <w:rPr>
                <w:rFonts w:ascii="Calibri" w:hAnsi="Calibri"/>
                <w:kern w:val="0"/>
                <w:sz w:val="21"/>
                <w:szCs w:val="21"/>
                <w:lang w:val="en-GB"/>
              </w:rPr>
            </w:pPr>
            <w:r>
              <w:rPr>
                <w:rFonts w:ascii="Calibri" w:hAnsi="Calibri"/>
                <w:kern w:val="0"/>
                <w:sz w:val="21"/>
                <w:szCs w:val="21"/>
                <w:lang w:val="en-GB"/>
              </w:rPr>
              <w:t>Prostate-Specific Membrane Antigen</w:t>
            </w:r>
          </w:p>
        </w:tc>
        <w:tc>
          <w:tcPr>
            <w:tcW w:w="1901" w:type="pct"/>
            <w:vAlign w:val="center"/>
          </w:tcPr>
          <w:p w14:paraId="6C13255B">
            <w:pPr>
              <w:adjustRightInd w:val="0"/>
              <w:jc w:val="center"/>
              <w:rPr>
                <w:rFonts w:ascii="Calibri" w:hAnsi="Calibri"/>
                <w:kern w:val="0"/>
                <w:sz w:val="21"/>
                <w:szCs w:val="21"/>
                <w:lang w:val="en-GB"/>
              </w:rPr>
            </w:pPr>
            <w:r>
              <w:rPr>
                <w:rFonts w:hint="eastAsia" w:ascii="Calibri" w:hAnsi="Calibri"/>
                <w:kern w:val="0"/>
                <w:sz w:val="21"/>
                <w:szCs w:val="21"/>
                <w:lang w:val="en-GB"/>
              </w:rPr>
              <w:t>前列腺特异性膜抗原</w:t>
            </w:r>
          </w:p>
        </w:tc>
      </w:tr>
      <w:tr w14:paraId="6D90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7EB9D265">
            <w:pPr>
              <w:adjustRightInd w:val="0"/>
              <w:jc w:val="center"/>
              <w:rPr>
                <w:rFonts w:ascii="Calibri" w:hAnsi="Calibri"/>
                <w:sz w:val="21"/>
                <w:szCs w:val="21"/>
              </w:rPr>
            </w:pPr>
            <w:r>
              <w:rPr>
                <w:rFonts w:ascii="Calibri" w:hAnsi="Calibri"/>
                <w:sz w:val="21"/>
                <w:szCs w:val="21"/>
              </w:rPr>
              <w:t>PT</w:t>
            </w:r>
          </w:p>
        </w:tc>
        <w:tc>
          <w:tcPr>
            <w:tcW w:w="2000" w:type="pct"/>
            <w:vAlign w:val="center"/>
          </w:tcPr>
          <w:p w14:paraId="39C959A3">
            <w:pPr>
              <w:adjustRightInd w:val="0"/>
              <w:jc w:val="center"/>
              <w:rPr>
                <w:rFonts w:ascii="Calibri" w:hAnsi="Calibri"/>
                <w:sz w:val="21"/>
                <w:szCs w:val="21"/>
                <w:lang w:val="en-GB"/>
              </w:rPr>
            </w:pPr>
            <w:r>
              <w:rPr>
                <w:rFonts w:ascii="Calibri" w:hAnsi="Calibri"/>
                <w:sz w:val="21"/>
                <w:szCs w:val="21"/>
                <w:lang w:val="en-GB"/>
              </w:rPr>
              <w:t>Preferred Terms</w:t>
            </w:r>
          </w:p>
        </w:tc>
        <w:tc>
          <w:tcPr>
            <w:tcW w:w="1901" w:type="pct"/>
            <w:vAlign w:val="center"/>
          </w:tcPr>
          <w:p w14:paraId="7C80A03F">
            <w:pPr>
              <w:adjustRightInd w:val="0"/>
              <w:jc w:val="center"/>
              <w:rPr>
                <w:rFonts w:ascii="Calibri" w:hAnsi="Calibri"/>
                <w:sz w:val="21"/>
                <w:szCs w:val="21"/>
                <w:lang w:val="en-GB"/>
              </w:rPr>
            </w:pPr>
            <w:r>
              <w:rPr>
                <w:rFonts w:hint="eastAsia" w:ascii="Calibri" w:hAnsi="Calibri"/>
                <w:sz w:val="21"/>
                <w:szCs w:val="21"/>
                <w:lang w:val="en-GB"/>
              </w:rPr>
              <w:t>首选术语</w:t>
            </w:r>
          </w:p>
        </w:tc>
      </w:tr>
      <w:tr w14:paraId="7DC8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DDE93E4">
            <w:pPr>
              <w:adjustRightInd w:val="0"/>
              <w:jc w:val="center"/>
              <w:rPr>
                <w:rFonts w:ascii="Calibri" w:hAnsi="Calibri"/>
                <w:sz w:val="21"/>
                <w:szCs w:val="21"/>
              </w:rPr>
            </w:pPr>
            <w:r>
              <w:rPr>
                <w:rFonts w:ascii="Calibri" w:hAnsi="Calibri"/>
                <w:sz w:val="21"/>
                <w:szCs w:val="21"/>
              </w:rPr>
              <w:t>SD</w:t>
            </w:r>
          </w:p>
        </w:tc>
        <w:tc>
          <w:tcPr>
            <w:tcW w:w="2000" w:type="pct"/>
            <w:vAlign w:val="center"/>
          </w:tcPr>
          <w:p w14:paraId="3EDC830C">
            <w:pPr>
              <w:adjustRightInd w:val="0"/>
              <w:jc w:val="center"/>
              <w:rPr>
                <w:rFonts w:ascii="Calibri" w:hAnsi="Calibri"/>
                <w:sz w:val="21"/>
                <w:szCs w:val="21"/>
                <w:lang w:val="en-GB"/>
              </w:rPr>
            </w:pPr>
            <w:r>
              <w:rPr>
                <w:rFonts w:ascii="Calibri" w:hAnsi="Calibri"/>
                <w:kern w:val="0"/>
                <w:sz w:val="21"/>
                <w:szCs w:val="21"/>
                <w:lang w:val="en-GB"/>
              </w:rPr>
              <w:t>Sprague-Dawley</w:t>
            </w:r>
          </w:p>
        </w:tc>
        <w:tc>
          <w:tcPr>
            <w:tcW w:w="1901" w:type="pct"/>
            <w:vAlign w:val="center"/>
          </w:tcPr>
          <w:p w14:paraId="2C9C2872">
            <w:pPr>
              <w:adjustRightInd w:val="0"/>
              <w:jc w:val="center"/>
              <w:rPr>
                <w:rFonts w:ascii="Calibri" w:hAnsi="Calibri"/>
                <w:sz w:val="21"/>
                <w:szCs w:val="21"/>
                <w:lang w:val="en-GB"/>
              </w:rPr>
            </w:pPr>
            <w:r>
              <w:rPr>
                <w:rFonts w:hint="eastAsia" w:ascii="Calibri" w:hAnsi="Calibri"/>
                <w:kern w:val="0"/>
                <w:sz w:val="21"/>
                <w:szCs w:val="21"/>
                <w:lang w:val="en-GB"/>
              </w:rPr>
              <w:t>美国斯</w:t>
            </w:r>
            <w:r>
              <w:rPr>
                <w:rFonts w:ascii="Calibri" w:hAnsi="Calibri"/>
                <w:kern w:val="0"/>
                <w:sz w:val="21"/>
                <w:szCs w:val="21"/>
                <w:lang w:val="en-GB"/>
              </w:rPr>
              <w:t>Sprague Dawley</w:t>
            </w:r>
            <w:r>
              <w:rPr>
                <w:rFonts w:hint="eastAsia" w:ascii="Calibri" w:hAnsi="Calibri"/>
                <w:kern w:val="0"/>
                <w:sz w:val="21"/>
                <w:szCs w:val="21"/>
                <w:lang w:val="en-GB"/>
              </w:rPr>
              <w:t>农场用</w:t>
            </w:r>
            <w:r>
              <w:rPr>
                <w:rFonts w:ascii="Calibri" w:hAnsi="Calibri"/>
                <w:kern w:val="0"/>
                <w:sz w:val="21"/>
                <w:szCs w:val="21"/>
                <w:lang w:val="en-GB"/>
              </w:rPr>
              <w:t>Wistar</w:t>
            </w:r>
            <w:r>
              <w:rPr>
                <w:rFonts w:hint="eastAsia" w:ascii="Calibri" w:hAnsi="Calibri"/>
                <w:kern w:val="0"/>
                <w:sz w:val="21"/>
                <w:szCs w:val="21"/>
                <w:lang w:val="en-GB"/>
              </w:rPr>
              <w:t>大鼠培育而成</w:t>
            </w:r>
            <w:r>
              <w:rPr>
                <w:rFonts w:hint="eastAsia" w:ascii="Calibri" w:hAnsi="Calibri"/>
                <w:kern w:val="0"/>
                <w:sz w:val="21"/>
                <w:szCs w:val="21"/>
              </w:rPr>
              <w:t>的大鼠品系</w:t>
            </w:r>
          </w:p>
        </w:tc>
      </w:tr>
      <w:tr w14:paraId="1BF5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B8BAD35">
            <w:pPr>
              <w:adjustRightInd w:val="0"/>
              <w:jc w:val="center"/>
              <w:rPr>
                <w:rFonts w:ascii="Calibri" w:hAnsi="Calibri"/>
                <w:sz w:val="21"/>
                <w:szCs w:val="21"/>
              </w:rPr>
            </w:pPr>
            <w:r>
              <w:rPr>
                <w:rFonts w:ascii="Calibri" w:hAnsi="Calibri"/>
                <w:sz w:val="21"/>
                <w:szCs w:val="21"/>
              </w:rPr>
              <w:t>SOC</w:t>
            </w:r>
          </w:p>
        </w:tc>
        <w:tc>
          <w:tcPr>
            <w:tcW w:w="2000" w:type="pct"/>
            <w:vAlign w:val="center"/>
          </w:tcPr>
          <w:p w14:paraId="08807D6F">
            <w:pPr>
              <w:adjustRightInd w:val="0"/>
              <w:jc w:val="center"/>
              <w:rPr>
                <w:rFonts w:ascii="Calibri" w:hAnsi="Calibri"/>
                <w:sz w:val="21"/>
                <w:szCs w:val="21"/>
                <w:lang w:val="en-GB"/>
              </w:rPr>
            </w:pPr>
            <w:r>
              <w:rPr>
                <w:rFonts w:ascii="Calibri" w:hAnsi="Calibri"/>
                <w:sz w:val="21"/>
                <w:szCs w:val="21"/>
                <w:lang w:val="en-GB"/>
              </w:rPr>
              <w:t>Systematic Organ Classification</w:t>
            </w:r>
          </w:p>
        </w:tc>
        <w:tc>
          <w:tcPr>
            <w:tcW w:w="1901" w:type="pct"/>
            <w:vAlign w:val="center"/>
          </w:tcPr>
          <w:p w14:paraId="4458C11F">
            <w:pPr>
              <w:adjustRightInd w:val="0"/>
              <w:jc w:val="center"/>
              <w:rPr>
                <w:rFonts w:ascii="Calibri" w:hAnsi="Calibri"/>
                <w:sz w:val="21"/>
                <w:szCs w:val="21"/>
                <w:lang w:val="en-GB"/>
              </w:rPr>
            </w:pPr>
            <w:r>
              <w:rPr>
                <w:rFonts w:hint="eastAsia" w:ascii="Calibri" w:hAnsi="Calibri"/>
                <w:sz w:val="21"/>
                <w:szCs w:val="21"/>
                <w:lang w:val="en-GB"/>
              </w:rPr>
              <w:t>系统器官分类</w:t>
            </w:r>
          </w:p>
        </w:tc>
      </w:tr>
      <w:tr w14:paraId="505B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3AD98771">
            <w:pPr>
              <w:adjustRightInd w:val="0"/>
              <w:jc w:val="center"/>
              <w:rPr>
                <w:rFonts w:ascii="Calibri" w:hAnsi="Calibri"/>
                <w:sz w:val="21"/>
                <w:szCs w:val="21"/>
              </w:rPr>
            </w:pPr>
            <w:bookmarkStart w:id="796" w:name="OLE_LINK43"/>
            <w:r>
              <w:rPr>
                <w:rFonts w:ascii="Calibri" w:hAnsi="Calibri"/>
                <w:sz w:val="21"/>
                <w:szCs w:val="21"/>
              </w:rPr>
              <w:t>SoT</w:t>
            </w:r>
            <w:bookmarkEnd w:id="796"/>
          </w:p>
        </w:tc>
        <w:tc>
          <w:tcPr>
            <w:tcW w:w="2000" w:type="pct"/>
            <w:vAlign w:val="center"/>
          </w:tcPr>
          <w:p w14:paraId="462DD3E4">
            <w:pPr>
              <w:adjustRightInd w:val="0"/>
              <w:jc w:val="center"/>
              <w:rPr>
                <w:rFonts w:ascii="Calibri" w:hAnsi="Calibri"/>
                <w:kern w:val="0"/>
                <w:sz w:val="21"/>
                <w:szCs w:val="21"/>
                <w:lang w:val="en-GB"/>
              </w:rPr>
            </w:pPr>
            <w:r>
              <w:rPr>
                <w:rFonts w:ascii="Calibri" w:hAnsi="Calibri"/>
                <w:kern w:val="0"/>
                <w:sz w:val="21"/>
                <w:szCs w:val="21"/>
                <w:lang w:val="en-GB"/>
              </w:rPr>
              <w:t>Standard of Truth</w:t>
            </w:r>
          </w:p>
        </w:tc>
        <w:tc>
          <w:tcPr>
            <w:tcW w:w="1901" w:type="pct"/>
            <w:vAlign w:val="center"/>
          </w:tcPr>
          <w:p w14:paraId="6726A37F">
            <w:pPr>
              <w:adjustRightInd w:val="0"/>
              <w:jc w:val="center"/>
              <w:rPr>
                <w:rFonts w:ascii="Calibri" w:hAnsi="Calibri"/>
                <w:kern w:val="0"/>
                <w:sz w:val="21"/>
                <w:szCs w:val="21"/>
                <w:lang w:val="en-GB"/>
              </w:rPr>
            </w:pPr>
            <w:r>
              <w:rPr>
                <w:rFonts w:hint="eastAsia" w:ascii="Calibri" w:hAnsi="Calibri"/>
                <w:kern w:val="0"/>
                <w:sz w:val="21"/>
                <w:szCs w:val="21"/>
                <w:lang w:val="en-GB"/>
              </w:rPr>
              <w:t>真实性标准</w:t>
            </w:r>
          </w:p>
        </w:tc>
      </w:tr>
      <w:tr w14:paraId="07E9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7887F0D">
            <w:pPr>
              <w:adjustRightInd w:val="0"/>
              <w:jc w:val="center"/>
              <w:rPr>
                <w:rFonts w:ascii="Calibri" w:hAnsi="Calibri"/>
                <w:sz w:val="21"/>
                <w:szCs w:val="21"/>
              </w:rPr>
            </w:pPr>
            <w:r>
              <w:rPr>
                <w:rFonts w:ascii="Calibri" w:hAnsi="Calibri"/>
                <w:sz w:val="21"/>
                <w:szCs w:val="21"/>
              </w:rPr>
              <w:t>SS</w:t>
            </w:r>
          </w:p>
        </w:tc>
        <w:tc>
          <w:tcPr>
            <w:tcW w:w="2000" w:type="pct"/>
            <w:vAlign w:val="center"/>
          </w:tcPr>
          <w:p w14:paraId="2A7F07D7">
            <w:pPr>
              <w:adjustRightInd w:val="0"/>
              <w:jc w:val="center"/>
              <w:rPr>
                <w:rFonts w:ascii="Calibri" w:hAnsi="Calibri"/>
                <w:sz w:val="21"/>
                <w:szCs w:val="21"/>
                <w:lang w:val="en-GB"/>
              </w:rPr>
            </w:pPr>
            <w:r>
              <w:rPr>
                <w:rFonts w:ascii="Calibri" w:hAnsi="Calibri"/>
                <w:sz w:val="21"/>
                <w:szCs w:val="21"/>
                <w:lang w:val="en-GB"/>
              </w:rPr>
              <w:t>Safety Analysis Set</w:t>
            </w:r>
          </w:p>
        </w:tc>
        <w:tc>
          <w:tcPr>
            <w:tcW w:w="1901" w:type="pct"/>
            <w:vAlign w:val="center"/>
          </w:tcPr>
          <w:p w14:paraId="665C8F15">
            <w:pPr>
              <w:adjustRightInd w:val="0"/>
              <w:jc w:val="center"/>
              <w:rPr>
                <w:rFonts w:ascii="Calibri" w:hAnsi="Calibri"/>
                <w:sz w:val="21"/>
                <w:szCs w:val="21"/>
                <w:lang w:val="en-GB"/>
              </w:rPr>
            </w:pPr>
            <w:r>
              <w:rPr>
                <w:rFonts w:hint="eastAsia" w:ascii="Calibri" w:hAnsi="Calibri"/>
                <w:sz w:val="21"/>
                <w:szCs w:val="21"/>
                <w:lang w:val="en-GB"/>
              </w:rPr>
              <w:t>安全性分析集</w:t>
            </w:r>
          </w:p>
        </w:tc>
      </w:tr>
      <w:tr w14:paraId="70F0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3615EB1C">
            <w:pPr>
              <w:adjustRightInd w:val="0"/>
              <w:jc w:val="center"/>
              <w:rPr>
                <w:rFonts w:ascii="Calibri" w:hAnsi="Calibri"/>
                <w:sz w:val="21"/>
                <w:szCs w:val="21"/>
              </w:rPr>
            </w:pPr>
            <w:r>
              <w:rPr>
                <w:rFonts w:ascii="Calibri" w:hAnsi="Calibri"/>
                <w:sz w:val="21"/>
                <w:szCs w:val="21"/>
              </w:rPr>
              <w:t>SUSAR</w:t>
            </w:r>
          </w:p>
        </w:tc>
        <w:tc>
          <w:tcPr>
            <w:tcW w:w="2000" w:type="pct"/>
            <w:vAlign w:val="center"/>
          </w:tcPr>
          <w:p w14:paraId="01E966D2">
            <w:pPr>
              <w:adjustRightInd w:val="0"/>
              <w:jc w:val="center"/>
              <w:rPr>
                <w:rFonts w:ascii="Calibri" w:hAnsi="Calibri"/>
                <w:kern w:val="0"/>
                <w:sz w:val="21"/>
                <w:szCs w:val="21"/>
                <w:lang w:val="en-GB"/>
              </w:rPr>
            </w:pPr>
            <w:r>
              <w:rPr>
                <w:rFonts w:ascii="Calibri" w:hAnsi="Calibri"/>
                <w:kern w:val="0"/>
                <w:sz w:val="21"/>
                <w:szCs w:val="21"/>
                <w:lang w:val="en-GB"/>
              </w:rPr>
              <w:t>Serious and Unexpected Suspected Adverse Reaction</w:t>
            </w:r>
          </w:p>
        </w:tc>
        <w:tc>
          <w:tcPr>
            <w:tcW w:w="1901" w:type="pct"/>
            <w:vAlign w:val="center"/>
          </w:tcPr>
          <w:p w14:paraId="721A2B00">
            <w:pPr>
              <w:adjustRightInd w:val="0"/>
              <w:jc w:val="center"/>
              <w:rPr>
                <w:rFonts w:ascii="Calibri" w:hAnsi="Calibri"/>
                <w:kern w:val="0"/>
                <w:sz w:val="21"/>
                <w:szCs w:val="21"/>
                <w:lang w:val="en-GB"/>
              </w:rPr>
            </w:pPr>
            <w:r>
              <w:rPr>
                <w:rFonts w:hint="eastAsia" w:ascii="Calibri" w:hAnsi="Calibri"/>
                <w:kern w:val="0"/>
                <w:sz w:val="21"/>
                <w:szCs w:val="21"/>
                <w:lang w:val="en-GB"/>
              </w:rPr>
              <w:t>可疑且非预期严重不良反应</w:t>
            </w:r>
          </w:p>
        </w:tc>
      </w:tr>
      <w:tr w14:paraId="7560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A1E364E">
            <w:pPr>
              <w:adjustRightInd w:val="0"/>
              <w:jc w:val="center"/>
              <w:rPr>
                <w:rFonts w:ascii="Calibri" w:hAnsi="Calibri"/>
                <w:sz w:val="21"/>
                <w:szCs w:val="21"/>
              </w:rPr>
            </w:pPr>
            <w:r>
              <w:rPr>
                <w:rFonts w:ascii="Calibri" w:hAnsi="Calibri"/>
                <w:sz w:val="21"/>
                <w:szCs w:val="21"/>
              </w:rPr>
              <w:t>SUV</w:t>
            </w:r>
          </w:p>
        </w:tc>
        <w:tc>
          <w:tcPr>
            <w:tcW w:w="2000" w:type="pct"/>
            <w:vAlign w:val="center"/>
          </w:tcPr>
          <w:p w14:paraId="54163CDB">
            <w:pPr>
              <w:adjustRightInd w:val="0"/>
              <w:jc w:val="center"/>
              <w:rPr>
                <w:rFonts w:ascii="Calibri" w:hAnsi="Calibri"/>
                <w:sz w:val="21"/>
                <w:szCs w:val="21"/>
                <w:lang w:val="en-GB"/>
              </w:rPr>
            </w:pPr>
            <w:r>
              <w:rPr>
                <w:rFonts w:ascii="Calibri" w:hAnsi="Calibri"/>
                <w:sz w:val="21"/>
                <w:szCs w:val="21"/>
                <w:lang w:val="en-GB"/>
              </w:rPr>
              <w:t>Standard Uptake Value</w:t>
            </w:r>
          </w:p>
        </w:tc>
        <w:tc>
          <w:tcPr>
            <w:tcW w:w="1901" w:type="pct"/>
            <w:vAlign w:val="center"/>
          </w:tcPr>
          <w:p w14:paraId="74297453">
            <w:pPr>
              <w:adjustRightInd w:val="0"/>
              <w:jc w:val="center"/>
              <w:rPr>
                <w:rFonts w:ascii="Calibri" w:hAnsi="Calibri"/>
                <w:sz w:val="21"/>
                <w:szCs w:val="21"/>
                <w:lang w:val="en-GB"/>
              </w:rPr>
            </w:pPr>
            <w:r>
              <w:rPr>
                <w:rFonts w:hint="eastAsia" w:ascii="Calibri" w:hAnsi="Calibri"/>
                <w:sz w:val="21"/>
                <w:szCs w:val="21"/>
                <w:lang w:val="en-GB"/>
              </w:rPr>
              <w:t>标准摄取值</w:t>
            </w:r>
          </w:p>
        </w:tc>
      </w:tr>
      <w:tr w14:paraId="41F46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115CA485">
            <w:pPr>
              <w:adjustRightInd w:val="0"/>
              <w:jc w:val="center"/>
              <w:rPr>
                <w:rFonts w:ascii="Calibri" w:hAnsi="Calibri"/>
                <w:sz w:val="21"/>
                <w:szCs w:val="21"/>
              </w:rPr>
            </w:pPr>
            <w:r>
              <w:rPr>
                <w:rFonts w:ascii="Calibri" w:hAnsi="Calibri"/>
                <w:sz w:val="21"/>
                <w:szCs w:val="21"/>
              </w:rPr>
              <w:t>SUV</w:t>
            </w:r>
            <w:r>
              <w:rPr>
                <w:rFonts w:ascii="Calibri" w:hAnsi="Calibri"/>
                <w:sz w:val="21"/>
                <w:szCs w:val="21"/>
                <w:vertAlign w:val="subscript"/>
              </w:rPr>
              <w:t>max</w:t>
            </w:r>
          </w:p>
        </w:tc>
        <w:tc>
          <w:tcPr>
            <w:tcW w:w="2000" w:type="pct"/>
            <w:vAlign w:val="center"/>
          </w:tcPr>
          <w:p w14:paraId="2A20483A">
            <w:pPr>
              <w:adjustRightInd w:val="0"/>
              <w:jc w:val="center"/>
              <w:rPr>
                <w:rFonts w:ascii="Calibri" w:hAnsi="Calibri"/>
                <w:sz w:val="21"/>
                <w:szCs w:val="21"/>
                <w:lang w:val="en-GB"/>
              </w:rPr>
            </w:pPr>
            <w:r>
              <w:rPr>
                <w:rFonts w:ascii="Calibri" w:hAnsi="Calibri"/>
                <w:sz w:val="21"/>
                <w:szCs w:val="21"/>
                <w:lang w:val="en-GB"/>
              </w:rPr>
              <w:t>Maximum Standard Uptake Value</w:t>
            </w:r>
          </w:p>
        </w:tc>
        <w:tc>
          <w:tcPr>
            <w:tcW w:w="1901" w:type="pct"/>
            <w:vAlign w:val="center"/>
          </w:tcPr>
          <w:p w14:paraId="337F9E9B">
            <w:pPr>
              <w:adjustRightInd w:val="0"/>
              <w:jc w:val="center"/>
              <w:rPr>
                <w:rFonts w:ascii="Calibri" w:hAnsi="Calibri"/>
                <w:sz w:val="21"/>
                <w:szCs w:val="21"/>
                <w:lang w:val="en-GB"/>
              </w:rPr>
            </w:pPr>
            <w:r>
              <w:rPr>
                <w:rFonts w:hint="eastAsia" w:ascii="Calibri" w:hAnsi="Calibri"/>
                <w:sz w:val="21"/>
                <w:szCs w:val="21"/>
                <w:lang w:val="en-GB"/>
              </w:rPr>
              <w:t>最大标准摄取值</w:t>
            </w:r>
          </w:p>
        </w:tc>
      </w:tr>
      <w:tr w14:paraId="7114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87AF272">
            <w:pPr>
              <w:adjustRightInd w:val="0"/>
              <w:jc w:val="center"/>
              <w:rPr>
                <w:rFonts w:ascii="Calibri" w:hAnsi="Calibri"/>
                <w:sz w:val="21"/>
                <w:szCs w:val="21"/>
              </w:rPr>
            </w:pPr>
            <w:r>
              <w:rPr>
                <w:rFonts w:ascii="Calibri" w:hAnsi="Calibri"/>
                <w:sz w:val="21"/>
                <w:szCs w:val="21"/>
              </w:rPr>
              <w:t>SUV</w:t>
            </w:r>
            <w:r>
              <w:rPr>
                <w:rFonts w:ascii="Calibri" w:hAnsi="Calibri"/>
                <w:sz w:val="21"/>
                <w:szCs w:val="21"/>
                <w:vertAlign w:val="subscript"/>
              </w:rPr>
              <w:t>mean</w:t>
            </w:r>
          </w:p>
        </w:tc>
        <w:tc>
          <w:tcPr>
            <w:tcW w:w="2000" w:type="pct"/>
            <w:vAlign w:val="center"/>
          </w:tcPr>
          <w:p w14:paraId="7FB3DB33">
            <w:pPr>
              <w:adjustRightInd w:val="0"/>
              <w:jc w:val="center"/>
              <w:rPr>
                <w:rFonts w:ascii="Calibri" w:hAnsi="Calibri"/>
                <w:sz w:val="21"/>
                <w:szCs w:val="21"/>
                <w:lang w:val="en-GB"/>
              </w:rPr>
            </w:pPr>
            <w:r>
              <w:rPr>
                <w:rFonts w:ascii="Calibri" w:hAnsi="Calibri"/>
                <w:sz w:val="21"/>
                <w:szCs w:val="21"/>
                <w:lang w:val="en-GB"/>
              </w:rPr>
              <w:t>Mean Standard Uptake Value</w:t>
            </w:r>
          </w:p>
        </w:tc>
        <w:tc>
          <w:tcPr>
            <w:tcW w:w="1901" w:type="pct"/>
            <w:vAlign w:val="center"/>
          </w:tcPr>
          <w:p w14:paraId="31ED20ED">
            <w:pPr>
              <w:adjustRightInd w:val="0"/>
              <w:jc w:val="center"/>
              <w:rPr>
                <w:rFonts w:ascii="Calibri" w:hAnsi="Calibri"/>
                <w:sz w:val="21"/>
                <w:szCs w:val="21"/>
                <w:lang w:val="en-GB"/>
              </w:rPr>
            </w:pPr>
            <w:r>
              <w:rPr>
                <w:rFonts w:hint="eastAsia" w:ascii="Calibri" w:hAnsi="Calibri"/>
                <w:sz w:val="21"/>
                <w:szCs w:val="21"/>
                <w:lang w:val="en-GB"/>
              </w:rPr>
              <w:t>标准摄取值平均值</w:t>
            </w:r>
          </w:p>
        </w:tc>
      </w:tr>
      <w:tr w14:paraId="4C55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48BE6724">
            <w:pPr>
              <w:adjustRightInd w:val="0"/>
              <w:jc w:val="center"/>
              <w:rPr>
                <w:rFonts w:ascii="Calibri" w:hAnsi="Calibri"/>
                <w:sz w:val="21"/>
                <w:szCs w:val="21"/>
              </w:rPr>
            </w:pPr>
            <w:r>
              <w:rPr>
                <w:rFonts w:ascii="Calibri" w:hAnsi="Calibri"/>
                <w:sz w:val="21"/>
                <w:szCs w:val="21"/>
              </w:rPr>
              <w:t>TN</w:t>
            </w:r>
          </w:p>
        </w:tc>
        <w:tc>
          <w:tcPr>
            <w:tcW w:w="2000" w:type="pct"/>
            <w:vAlign w:val="center"/>
          </w:tcPr>
          <w:p w14:paraId="4B87B382">
            <w:pPr>
              <w:adjustRightInd w:val="0"/>
              <w:jc w:val="center"/>
              <w:rPr>
                <w:rFonts w:ascii="Calibri" w:hAnsi="Calibri"/>
                <w:kern w:val="0"/>
                <w:sz w:val="21"/>
                <w:szCs w:val="21"/>
                <w:lang w:val="en-GB"/>
              </w:rPr>
            </w:pPr>
            <w:r>
              <w:rPr>
                <w:rFonts w:ascii="Calibri" w:hAnsi="Calibri"/>
                <w:kern w:val="0"/>
                <w:sz w:val="21"/>
                <w:szCs w:val="21"/>
                <w:lang w:val="en-GB"/>
              </w:rPr>
              <w:t>True Negative</w:t>
            </w:r>
          </w:p>
        </w:tc>
        <w:tc>
          <w:tcPr>
            <w:tcW w:w="1901" w:type="pct"/>
            <w:vAlign w:val="center"/>
          </w:tcPr>
          <w:p w14:paraId="2FFE5D7E">
            <w:pPr>
              <w:adjustRightInd w:val="0"/>
              <w:jc w:val="center"/>
              <w:rPr>
                <w:rFonts w:ascii="Calibri" w:hAnsi="Calibri"/>
                <w:kern w:val="0"/>
                <w:sz w:val="21"/>
                <w:szCs w:val="21"/>
                <w:lang w:val="en-GB"/>
              </w:rPr>
            </w:pPr>
            <w:r>
              <w:rPr>
                <w:rFonts w:hint="eastAsia" w:ascii="Calibri" w:hAnsi="Calibri"/>
                <w:kern w:val="0"/>
                <w:sz w:val="21"/>
                <w:szCs w:val="21"/>
                <w:lang w:val="en-GB"/>
              </w:rPr>
              <w:t>真阴性</w:t>
            </w:r>
          </w:p>
        </w:tc>
      </w:tr>
      <w:tr w14:paraId="5B98A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36C3F26">
            <w:pPr>
              <w:adjustRightInd w:val="0"/>
              <w:jc w:val="center"/>
              <w:rPr>
                <w:rFonts w:ascii="Calibri" w:hAnsi="Calibri"/>
                <w:sz w:val="21"/>
                <w:szCs w:val="21"/>
              </w:rPr>
            </w:pPr>
            <w:r>
              <w:rPr>
                <w:rFonts w:ascii="Calibri" w:hAnsi="Calibri"/>
                <w:sz w:val="21"/>
                <w:szCs w:val="21"/>
              </w:rPr>
              <w:t>TP</w:t>
            </w:r>
          </w:p>
        </w:tc>
        <w:tc>
          <w:tcPr>
            <w:tcW w:w="2000" w:type="pct"/>
            <w:vAlign w:val="center"/>
          </w:tcPr>
          <w:p w14:paraId="6ABF43C8">
            <w:pPr>
              <w:adjustRightInd w:val="0"/>
              <w:jc w:val="center"/>
              <w:rPr>
                <w:rFonts w:ascii="Calibri" w:hAnsi="Calibri"/>
                <w:kern w:val="0"/>
                <w:sz w:val="21"/>
                <w:szCs w:val="21"/>
                <w:lang w:val="en-GB"/>
              </w:rPr>
            </w:pPr>
            <w:r>
              <w:rPr>
                <w:rFonts w:ascii="Calibri" w:hAnsi="Calibri"/>
                <w:kern w:val="0"/>
                <w:sz w:val="21"/>
                <w:szCs w:val="21"/>
                <w:lang w:val="en-GB"/>
              </w:rPr>
              <w:t>True Positive</w:t>
            </w:r>
          </w:p>
        </w:tc>
        <w:tc>
          <w:tcPr>
            <w:tcW w:w="1901" w:type="pct"/>
            <w:vAlign w:val="center"/>
          </w:tcPr>
          <w:p w14:paraId="46984B96">
            <w:pPr>
              <w:adjustRightInd w:val="0"/>
              <w:jc w:val="center"/>
              <w:rPr>
                <w:rFonts w:ascii="Calibri" w:hAnsi="Calibri"/>
                <w:kern w:val="0"/>
                <w:sz w:val="21"/>
                <w:szCs w:val="21"/>
                <w:lang w:val="en-GB"/>
              </w:rPr>
            </w:pPr>
            <w:r>
              <w:rPr>
                <w:rFonts w:hint="eastAsia" w:ascii="Calibri" w:hAnsi="Calibri"/>
                <w:kern w:val="0"/>
                <w:sz w:val="21"/>
                <w:szCs w:val="21"/>
                <w:lang w:val="en-GB"/>
              </w:rPr>
              <w:t>真阳性</w:t>
            </w:r>
          </w:p>
        </w:tc>
      </w:tr>
      <w:tr w14:paraId="17C68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9D718D8">
            <w:pPr>
              <w:adjustRightInd w:val="0"/>
              <w:jc w:val="center"/>
              <w:rPr>
                <w:rFonts w:ascii="Calibri" w:hAnsi="Calibri"/>
                <w:sz w:val="21"/>
                <w:szCs w:val="21"/>
                <w:lang w:eastAsia="zh-TW"/>
              </w:rPr>
            </w:pPr>
            <w:r>
              <w:rPr>
                <w:rFonts w:ascii="Calibri" w:hAnsi="Calibri"/>
                <w:sz w:val="21"/>
                <w:szCs w:val="21"/>
                <w:lang w:val="en-GB"/>
              </w:rPr>
              <w:t>T/L</w:t>
            </w:r>
          </w:p>
        </w:tc>
        <w:tc>
          <w:tcPr>
            <w:tcW w:w="2000" w:type="pct"/>
            <w:vAlign w:val="center"/>
          </w:tcPr>
          <w:p w14:paraId="1BE0CF58">
            <w:pPr>
              <w:adjustRightInd w:val="0"/>
              <w:jc w:val="center"/>
              <w:rPr>
                <w:rFonts w:ascii="Calibri" w:hAnsi="Calibri"/>
                <w:sz w:val="21"/>
                <w:szCs w:val="21"/>
                <w:lang w:val="en-GB"/>
              </w:rPr>
            </w:pPr>
            <w:r>
              <w:rPr>
                <w:rFonts w:ascii="Calibri" w:hAnsi="Calibri"/>
                <w:sz w:val="21"/>
                <w:szCs w:val="21"/>
                <w:lang w:val="en-GB"/>
              </w:rPr>
              <w:t>Tumor SUV</w:t>
            </w:r>
            <w:r>
              <w:rPr>
                <w:rFonts w:ascii="Calibri" w:hAnsi="Calibri"/>
                <w:sz w:val="21"/>
                <w:szCs w:val="21"/>
                <w:vertAlign w:val="subscript"/>
                <w:lang w:val="en-GB"/>
              </w:rPr>
              <w:t>max</w:t>
            </w:r>
            <w:r>
              <w:rPr>
                <w:rFonts w:ascii="Calibri" w:hAnsi="Calibri"/>
                <w:sz w:val="21"/>
                <w:szCs w:val="21"/>
                <w:lang w:val="en-GB"/>
              </w:rPr>
              <w:t xml:space="preserve"> / Liver SUV</w:t>
            </w:r>
            <w:r>
              <w:rPr>
                <w:rFonts w:ascii="Calibri" w:hAnsi="Calibri"/>
                <w:sz w:val="21"/>
                <w:szCs w:val="21"/>
                <w:vertAlign w:val="subscript"/>
                <w:lang w:val="en-GB"/>
              </w:rPr>
              <w:t>mean</w:t>
            </w:r>
          </w:p>
        </w:tc>
        <w:tc>
          <w:tcPr>
            <w:tcW w:w="1901" w:type="pct"/>
            <w:vAlign w:val="center"/>
          </w:tcPr>
          <w:p w14:paraId="1A7F1147">
            <w:pPr>
              <w:adjustRightInd w:val="0"/>
              <w:jc w:val="center"/>
              <w:rPr>
                <w:rFonts w:ascii="Calibri" w:hAnsi="Calibri"/>
                <w:sz w:val="21"/>
                <w:szCs w:val="21"/>
                <w:lang w:val="en-GB"/>
              </w:rPr>
            </w:pPr>
            <w:r>
              <w:rPr>
                <w:rFonts w:hint="eastAsia" w:ascii="Calibri" w:hAnsi="Calibri"/>
                <w:sz w:val="21"/>
                <w:szCs w:val="21"/>
                <w:lang w:val="en-GB"/>
              </w:rPr>
              <w:t>肿瘤的</w:t>
            </w:r>
            <w:r>
              <w:rPr>
                <w:rFonts w:ascii="Calibri" w:hAnsi="Calibri"/>
                <w:sz w:val="21"/>
                <w:szCs w:val="21"/>
                <w:lang w:val="en-GB"/>
              </w:rPr>
              <w:t>SUV</w:t>
            </w:r>
            <w:r>
              <w:rPr>
                <w:rFonts w:ascii="Calibri" w:hAnsi="Calibri"/>
                <w:sz w:val="21"/>
                <w:szCs w:val="21"/>
                <w:vertAlign w:val="subscript"/>
                <w:lang w:val="en-GB"/>
              </w:rPr>
              <w:t>max</w:t>
            </w:r>
            <w:r>
              <w:rPr>
                <w:rFonts w:ascii="Calibri" w:hAnsi="Calibri"/>
                <w:sz w:val="21"/>
                <w:szCs w:val="21"/>
                <w:lang w:val="en-GB"/>
              </w:rPr>
              <w:t>/</w:t>
            </w:r>
            <w:r>
              <w:rPr>
                <w:rFonts w:hint="eastAsia" w:ascii="Calibri" w:hAnsi="Calibri"/>
                <w:sz w:val="21"/>
                <w:szCs w:val="21"/>
                <w:lang w:val="en-GB"/>
              </w:rPr>
              <w:t>肝脏的</w:t>
            </w:r>
            <w:r>
              <w:rPr>
                <w:rFonts w:ascii="Calibri" w:hAnsi="Calibri"/>
                <w:sz w:val="21"/>
                <w:szCs w:val="21"/>
                <w:lang w:val="en-GB"/>
              </w:rPr>
              <w:t>SUV</w:t>
            </w:r>
            <w:r>
              <w:rPr>
                <w:rFonts w:ascii="Calibri" w:hAnsi="Calibri"/>
                <w:sz w:val="21"/>
                <w:szCs w:val="21"/>
                <w:vertAlign w:val="subscript"/>
                <w:lang w:val="en-GB"/>
              </w:rPr>
              <w:t>mean</w:t>
            </w:r>
          </w:p>
        </w:tc>
      </w:tr>
      <w:tr w14:paraId="696B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3742CBED">
            <w:pPr>
              <w:adjustRightInd w:val="0"/>
              <w:jc w:val="center"/>
              <w:rPr>
                <w:rFonts w:ascii="Calibri" w:hAnsi="Calibri"/>
                <w:sz w:val="21"/>
                <w:szCs w:val="21"/>
                <w:lang w:eastAsia="zh-TW"/>
              </w:rPr>
            </w:pPr>
            <w:r>
              <w:rPr>
                <w:rFonts w:ascii="Calibri" w:hAnsi="Calibri"/>
                <w:sz w:val="21"/>
                <w:szCs w:val="21"/>
                <w:lang w:val="en-GB"/>
              </w:rPr>
              <w:t>T/B</w:t>
            </w:r>
          </w:p>
        </w:tc>
        <w:tc>
          <w:tcPr>
            <w:tcW w:w="2000" w:type="pct"/>
            <w:vAlign w:val="center"/>
          </w:tcPr>
          <w:p w14:paraId="18961DD7">
            <w:pPr>
              <w:adjustRightInd w:val="0"/>
              <w:jc w:val="center"/>
              <w:rPr>
                <w:rFonts w:ascii="Calibri" w:hAnsi="Calibri"/>
                <w:sz w:val="21"/>
                <w:szCs w:val="21"/>
                <w:lang w:val="en-GB"/>
              </w:rPr>
            </w:pPr>
            <w:r>
              <w:rPr>
                <w:rFonts w:ascii="Calibri" w:hAnsi="Calibri"/>
                <w:sz w:val="21"/>
                <w:szCs w:val="21"/>
                <w:lang w:val="en-GB"/>
              </w:rPr>
              <w:t>Tumor SUV</w:t>
            </w:r>
            <w:r>
              <w:rPr>
                <w:rFonts w:ascii="Calibri" w:hAnsi="Calibri"/>
                <w:sz w:val="21"/>
                <w:szCs w:val="21"/>
                <w:vertAlign w:val="subscript"/>
                <w:lang w:val="en-GB"/>
              </w:rPr>
              <w:t>max</w:t>
            </w:r>
            <w:r>
              <w:rPr>
                <w:rFonts w:ascii="Calibri" w:hAnsi="Calibri"/>
                <w:sz w:val="21"/>
                <w:szCs w:val="21"/>
                <w:lang w:val="en-GB"/>
              </w:rPr>
              <w:t xml:space="preserve"> / Blood SUV</w:t>
            </w:r>
            <w:r>
              <w:rPr>
                <w:rFonts w:ascii="Calibri" w:hAnsi="Calibri"/>
                <w:sz w:val="21"/>
                <w:szCs w:val="21"/>
                <w:vertAlign w:val="subscript"/>
                <w:lang w:val="en-GB"/>
              </w:rPr>
              <w:t>mean</w:t>
            </w:r>
          </w:p>
        </w:tc>
        <w:tc>
          <w:tcPr>
            <w:tcW w:w="1901" w:type="pct"/>
            <w:vAlign w:val="center"/>
          </w:tcPr>
          <w:p w14:paraId="5203734F">
            <w:pPr>
              <w:adjustRightInd w:val="0"/>
              <w:jc w:val="center"/>
              <w:rPr>
                <w:rFonts w:ascii="Calibri" w:hAnsi="Calibri"/>
                <w:sz w:val="21"/>
                <w:szCs w:val="21"/>
                <w:lang w:val="en-GB"/>
              </w:rPr>
            </w:pPr>
            <w:r>
              <w:rPr>
                <w:rFonts w:hint="eastAsia" w:ascii="Calibri" w:hAnsi="Calibri"/>
                <w:sz w:val="21"/>
                <w:szCs w:val="21"/>
                <w:lang w:val="en-GB"/>
              </w:rPr>
              <w:t>肿瘤的</w:t>
            </w:r>
            <w:r>
              <w:rPr>
                <w:rFonts w:ascii="Calibri" w:hAnsi="Calibri"/>
                <w:sz w:val="21"/>
                <w:szCs w:val="21"/>
                <w:lang w:val="en-GB"/>
              </w:rPr>
              <w:t>SUV</w:t>
            </w:r>
            <w:r>
              <w:rPr>
                <w:rFonts w:ascii="Calibri" w:hAnsi="Calibri"/>
                <w:sz w:val="21"/>
                <w:szCs w:val="21"/>
                <w:vertAlign w:val="subscript"/>
                <w:lang w:val="en-GB"/>
              </w:rPr>
              <w:t>max</w:t>
            </w:r>
            <w:r>
              <w:rPr>
                <w:rFonts w:ascii="Calibri" w:hAnsi="Calibri"/>
                <w:sz w:val="21"/>
                <w:szCs w:val="21"/>
                <w:lang w:val="en-GB"/>
              </w:rPr>
              <w:t>/</w:t>
            </w:r>
            <w:r>
              <w:rPr>
                <w:rFonts w:hint="eastAsia" w:ascii="Calibri" w:hAnsi="Calibri"/>
                <w:sz w:val="21"/>
                <w:szCs w:val="21"/>
                <w:lang w:val="en-GB"/>
              </w:rPr>
              <w:t>血液的</w:t>
            </w:r>
            <w:r>
              <w:rPr>
                <w:rFonts w:ascii="Calibri" w:hAnsi="Calibri"/>
                <w:sz w:val="21"/>
                <w:szCs w:val="21"/>
                <w:lang w:val="en-GB"/>
              </w:rPr>
              <w:t>SUV</w:t>
            </w:r>
            <w:r>
              <w:rPr>
                <w:rFonts w:ascii="Calibri" w:hAnsi="Calibri"/>
                <w:sz w:val="21"/>
                <w:szCs w:val="21"/>
                <w:vertAlign w:val="subscript"/>
                <w:lang w:val="en-GB"/>
              </w:rPr>
              <w:t>mean</w:t>
            </w:r>
          </w:p>
        </w:tc>
      </w:tr>
      <w:tr w14:paraId="17A7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91B0EB8">
            <w:pPr>
              <w:adjustRightInd w:val="0"/>
              <w:jc w:val="center"/>
              <w:rPr>
                <w:rFonts w:ascii="Calibri" w:hAnsi="Calibri"/>
                <w:sz w:val="21"/>
                <w:szCs w:val="21"/>
                <w:lang w:eastAsia="zh-TW"/>
              </w:rPr>
            </w:pPr>
            <w:r>
              <w:rPr>
                <w:rFonts w:ascii="Calibri" w:hAnsi="Calibri"/>
                <w:sz w:val="21"/>
                <w:szCs w:val="21"/>
              </w:rPr>
              <w:t>T-Bil</w:t>
            </w:r>
          </w:p>
        </w:tc>
        <w:tc>
          <w:tcPr>
            <w:tcW w:w="2000" w:type="pct"/>
            <w:vAlign w:val="center"/>
          </w:tcPr>
          <w:p w14:paraId="7E10970F">
            <w:pPr>
              <w:adjustRightInd w:val="0"/>
              <w:jc w:val="center"/>
              <w:rPr>
                <w:rFonts w:ascii="Calibri" w:hAnsi="Calibri"/>
                <w:sz w:val="21"/>
                <w:szCs w:val="21"/>
                <w:lang w:val="en-GB"/>
              </w:rPr>
            </w:pPr>
            <w:r>
              <w:rPr>
                <w:rFonts w:ascii="Calibri" w:hAnsi="Calibri"/>
                <w:sz w:val="21"/>
                <w:szCs w:val="21"/>
                <w:lang w:val="en-GB"/>
              </w:rPr>
              <w:t>Total Bilirubin</w:t>
            </w:r>
          </w:p>
        </w:tc>
        <w:tc>
          <w:tcPr>
            <w:tcW w:w="1901" w:type="pct"/>
            <w:vAlign w:val="center"/>
          </w:tcPr>
          <w:p w14:paraId="5D802211">
            <w:pPr>
              <w:adjustRightInd w:val="0"/>
              <w:jc w:val="center"/>
              <w:rPr>
                <w:rFonts w:ascii="Calibri" w:hAnsi="Calibri"/>
                <w:sz w:val="21"/>
                <w:szCs w:val="21"/>
                <w:lang w:val="en-GB"/>
              </w:rPr>
            </w:pPr>
            <w:r>
              <w:rPr>
                <w:rFonts w:hint="eastAsia" w:ascii="Calibri" w:hAnsi="Calibri"/>
                <w:sz w:val="21"/>
                <w:szCs w:val="21"/>
                <w:lang w:val="en-GB"/>
              </w:rPr>
              <w:t>总胆红素</w:t>
            </w:r>
          </w:p>
        </w:tc>
      </w:tr>
      <w:tr w14:paraId="11D6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1DF077EA">
            <w:pPr>
              <w:adjustRightInd w:val="0"/>
              <w:jc w:val="center"/>
              <w:rPr>
                <w:rFonts w:ascii="Calibri" w:hAnsi="Calibri"/>
                <w:sz w:val="21"/>
                <w:szCs w:val="21"/>
              </w:rPr>
            </w:pPr>
            <w:r>
              <w:rPr>
                <w:rFonts w:ascii="Calibri" w:hAnsi="Calibri"/>
                <w:sz w:val="21"/>
                <w:szCs w:val="21"/>
                <w:lang w:val="en-GB"/>
              </w:rPr>
              <w:t>ULN</w:t>
            </w:r>
          </w:p>
        </w:tc>
        <w:tc>
          <w:tcPr>
            <w:tcW w:w="2000" w:type="pct"/>
            <w:vAlign w:val="center"/>
          </w:tcPr>
          <w:p w14:paraId="2D3510B8">
            <w:pPr>
              <w:adjustRightInd w:val="0"/>
              <w:jc w:val="center"/>
              <w:rPr>
                <w:rFonts w:ascii="Calibri" w:hAnsi="Calibri"/>
                <w:sz w:val="21"/>
                <w:szCs w:val="21"/>
                <w:lang w:val="en-GB"/>
              </w:rPr>
            </w:pPr>
            <w:r>
              <w:rPr>
                <w:rFonts w:ascii="Calibri" w:hAnsi="Calibri"/>
                <w:sz w:val="21"/>
                <w:szCs w:val="21"/>
                <w:lang w:val="en-GB"/>
              </w:rPr>
              <w:t>Upper Limits of Normal</w:t>
            </w:r>
          </w:p>
        </w:tc>
        <w:tc>
          <w:tcPr>
            <w:tcW w:w="1901" w:type="pct"/>
            <w:vAlign w:val="center"/>
          </w:tcPr>
          <w:p w14:paraId="67CF2BF9">
            <w:pPr>
              <w:adjustRightInd w:val="0"/>
              <w:jc w:val="center"/>
              <w:rPr>
                <w:rFonts w:ascii="Calibri" w:hAnsi="Calibri"/>
                <w:sz w:val="21"/>
                <w:szCs w:val="21"/>
                <w:lang w:val="en-GB"/>
              </w:rPr>
            </w:pPr>
            <w:r>
              <w:rPr>
                <w:rFonts w:hint="eastAsia" w:ascii="Calibri" w:hAnsi="Calibri"/>
                <w:sz w:val="21"/>
                <w:szCs w:val="21"/>
                <w:lang w:val="en-GB"/>
              </w:rPr>
              <w:t>正常上限</w:t>
            </w:r>
          </w:p>
        </w:tc>
      </w:tr>
      <w:tr w14:paraId="45A8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799327A8">
            <w:pPr>
              <w:adjustRightInd w:val="0"/>
              <w:jc w:val="center"/>
              <w:rPr>
                <w:rFonts w:ascii="Calibri" w:hAnsi="Calibri"/>
                <w:kern w:val="0"/>
                <w:sz w:val="21"/>
                <w:szCs w:val="21"/>
              </w:rPr>
            </w:pPr>
            <w:bookmarkStart w:id="797" w:name="OLE_LINK31"/>
            <w:r>
              <w:rPr>
                <w:rFonts w:ascii="Calibri" w:hAnsi="Calibri"/>
                <w:kern w:val="0"/>
                <w:sz w:val="21"/>
                <w:szCs w:val="21"/>
                <w:lang w:eastAsia="zh-TW"/>
              </w:rPr>
              <w:t>WHO</w:t>
            </w:r>
            <w:bookmarkEnd w:id="797"/>
          </w:p>
        </w:tc>
        <w:tc>
          <w:tcPr>
            <w:tcW w:w="2000" w:type="pct"/>
            <w:vAlign w:val="center"/>
          </w:tcPr>
          <w:p w14:paraId="1D6545CE">
            <w:pPr>
              <w:adjustRightInd w:val="0"/>
              <w:jc w:val="center"/>
              <w:rPr>
                <w:rFonts w:ascii="Calibri" w:hAnsi="Calibri"/>
                <w:kern w:val="0"/>
                <w:sz w:val="21"/>
                <w:szCs w:val="21"/>
                <w:lang w:val="en-GB"/>
              </w:rPr>
            </w:pPr>
            <w:r>
              <w:rPr>
                <w:rFonts w:ascii="Calibri" w:hAnsi="Calibri"/>
                <w:kern w:val="0"/>
                <w:sz w:val="21"/>
                <w:szCs w:val="21"/>
                <w:lang w:val="en-GB"/>
              </w:rPr>
              <w:t>World Health Organization</w:t>
            </w:r>
          </w:p>
        </w:tc>
        <w:tc>
          <w:tcPr>
            <w:tcW w:w="1901" w:type="pct"/>
            <w:vAlign w:val="center"/>
          </w:tcPr>
          <w:p w14:paraId="5133A75B">
            <w:pPr>
              <w:adjustRightInd w:val="0"/>
              <w:jc w:val="center"/>
              <w:rPr>
                <w:rFonts w:ascii="Calibri" w:hAnsi="Calibri"/>
                <w:kern w:val="0"/>
                <w:sz w:val="21"/>
                <w:szCs w:val="21"/>
                <w:lang w:val="en-GB"/>
              </w:rPr>
            </w:pPr>
            <w:r>
              <w:rPr>
                <w:rFonts w:ascii="Calibri" w:hAnsi="Calibri"/>
                <w:kern w:val="0"/>
                <w:sz w:val="21"/>
                <w:szCs w:val="21"/>
                <w:lang w:val="en-GB"/>
              </w:rPr>
              <w:t>世界卫生组织</w:t>
            </w:r>
          </w:p>
        </w:tc>
      </w:tr>
      <w:tr w14:paraId="0C0B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627C2CC8">
            <w:pPr>
              <w:adjustRightInd w:val="0"/>
              <w:jc w:val="center"/>
              <w:rPr>
                <w:rFonts w:ascii="Calibri" w:hAnsi="Calibri"/>
                <w:sz w:val="21"/>
                <w:szCs w:val="21"/>
              </w:rPr>
            </w:pPr>
            <w:r>
              <w:rPr>
                <w:rFonts w:ascii="Calibri" w:hAnsi="Calibri"/>
                <w:kern w:val="0"/>
                <w:sz w:val="21"/>
                <w:szCs w:val="21"/>
                <w:lang w:bidi="ar"/>
              </w:rPr>
              <w:t>mGy</w:t>
            </w:r>
          </w:p>
        </w:tc>
        <w:tc>
          <w:tcPr>
            <w:tcW w:w="2000" w:type="pct"/>
            <w:vAlign w:val="center"/>
          </w:tcPr>
          <w:p w14:paraId="50CED71C">
            <w:pPr>
              <w:adjustRightInd w:val="0"/>
              <w:jc w:val="center"/>
              <w:rPr>
                <w:rFonts w:ascii="Calibri" w:hAnsi="Calibri"/>
                <w:kern w:val="0"/>
                <w:sz w:val="21"/>
                <w:szCs w:val="21"/>
                <w:lang w:val="en-GB"/>
              </w:rPr>
            </w:pPr>
            <w:r>
              <w:rPr>
                <w:rFonts w:ascii="Calibri" w:hAnsi="Calibri"/>
                <w:kern w:val="0"/>
                <w:sz w:val="21"/>
                <w:szCs w:val="21"/>
              </w:rPr>
              <w:t>Milligray</w:t>
            </w:r>
          </w:p>
        </w:tc>
        <w:tc>
          <w:tcPr>
            <w:tcW w:w="1901" w:type="pct"/>
            <w:vAlign w:val="center"/>
          </w:tcPr>
          <w:p w14:paraId="2A1F40F0">
            <w:pPr>
              <w:adjustRightInd w:val="0"/>
              <w:jc w:val="center"/>
              <w:rPr>
                <w:rFonts w:ascii="Calibri" w:hAnsi="Calibri"/>
                <w:kern w:val="0"/>
                <w:sz w:val="21"/>
                <w:szCs w:val="21"/>
                <w:lang w:val="en-GB"/>
              </w:rPr>
            </w:pPr>
            <w:r>
              <w:rPr>
                <w:rFonts w:ascii="Calibri" w:hAnsi="Calibri"/>
                <w:kern w:val="0"/>
                <w:sz w:val="21"/>
                <w:szCs w:val="21"/>
                <w:lang w:val="en-GB"/>
              </w:rPr>
              <w:t>毫戈瑞</w:t>
            </w:r>
          </w:p>
        </w:tc>
      </w:tr>
      <w:tr w14:paraId="5E19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1D7F8367">
            <w:pPr>
              <w:adjustRightInd w:val="0"/>
              <w:jc w:val="center"/>
              <w:rPr>
                <w:rFonts w:ascii="Calibri" w:hAnsi="Calibri"/>
                <w:kern w:val="0"/>
                <w:sz w:val="21"/>
                <w:szCs w:val="21"/>
                <w:lang w:bidi="ar"/>
              </w:rPr>
            </w:pPr>
            <w:r>
              <w:rPr>
                <w:rFonts w:ascii="Calibri" w:hAnsi="Calibri"/>
                <w:sz w:val="21"/>
                <w:szCs w:val="21"/>
              </w:rPr>
              <w:t>mSv</w:t>
            </w:r>
          </w:p>
        </w:tc>
        <w:tc>
          <w:tcPr>
            <w:tcW w:w="2000" w:type="pct"/>
            <w:vAlign w:val="center"/>
          </w:tcPr>
          <w:p w14:paraId="3FE0BCD1">
            <w:pPr>
              <w:adjustRightInd w:val="0"/>
              <w:jc w:val="center"/>
              <w:rPr>
                <w:rFonts w:ascii="Calibri" w:hAnsi="Calibri"/>
                <w:kern w:val="0"/>
                <w:sz w:val="21"/>
                <w:szCs w:val="21"/>
                <w:lang w:val="en-GB"/>
              </w:rPr>
            </w:pPr>
            <w:r>
              <w:rPr>
                <w:rFonts w:ascii="Calibri" w:hAnsi="Calibri"/>
                <w:kern w:val="0"/>
                <w:sz w:val="21"/>
                <w:szCs w:val="21"/>
              </w:rPr>
              <w:t>M</w:t>
            </w:r>
            <w:r>
              <w:rPr>
                <w:rFonts w:ascii="Calibri" w:hAnsi="Calibri"/>
                <w:kern w:val="0"/>
                <w:sz w:val="21"/>
                <w:szCs w:val="21"/>
                <w:lang w:val="en-GB"/>
              </w:rPr>
              <w:t>illisievert</w:t>
            </w:r>
          </w:p>
        </w:tc>
        <w:tc>
          <w:tcPr>
            <w:tcW w:w="1901" w:type="pct"/>
            <w:vAlign w:val="center"/>
          </w:tcPr>
          <w:p w14:paraId="2BB872D2">
            <w:pPr>
              <w:adjustRightInd w:val="0"/>
              <w:jc w:val="center"/>
              <w:rPr>
                <w:rFonts w:ascii="Calibri" w:hAnsi="Calibri"/>
                <w:kern w:val="0"/>
                <w:sz w:val="21"/>
                <w:szCs w:val="21"/>
                <w:lang w:val="en-GB"/>
              </w:rPr>
            </w:pPr>
            <w:r>
              <w:rPr>
                <w:rFonts w:ascii="Calibri" w:hAnsi="Calibri"/>
                <w:kern w:val="0"/>
                <w:sz w:val="21"/>
                <w:szCs w:val="21"/>
                <w:lang w:val="en-GB"/>
              </w:rPr>
              <w:t>毫希沃特</w:t>
            </w:r>
          </w:p>
        </w:tc>
      </w:tr>
      <w:tr w14:paraId="4FF18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1B2AFCFC">
            <w:pPr>
              <w:adjustRightInd w:val="0"/>
              <w:jc w:val="center"/>
              <w:rPr>
                <w:rFonts w:ascii="Calibri" w:hAnsi="Calibri"/>
                <w:sz w:val="21"/>
                <w:szCs w:val="21"/>
              </w:rPr>
            </w:pPr>
            <w:r>
              <w:rPr>
                <w:rFonts w:ascii="Calibri" w:hAnsi="Calibri"/>
                <w:sz w:val="21"/>
                <w:szCs w:val="21"/>
              </w:rPr>
              <w:t>ECOG</w:t>
            </w:r>
          </w:p>
        </w:tc>
        <w:tc>
          <w:tcPr>
            <w:tcW w:w="2000" w:type="pct"/>
            <w:vAlign w:val="center"/>
          </w:tcPr>
          <w:p w14:paraId="5B38050B">
            <w:pPr>
              <w:adjustRightInd w:val="0"/>
              <w:jc w:val="center"/>
              <w:rPr>
                <w:rFonts w:ascii="Calibri" w:hAnsi="Calibri"/>
                <w:kern w:val="0"/>
                <w:sz w:val="21"/>
                <w:szCs w:val="21"/>
              </w:rPr>
            </w:pPr>
            <w:r>
              <w:rPr>
                <w:rFonts w:ascii="Calibri" w:hAnsi="Calibri"/>
                <w:kern w:val="0"/>
                <w:sz w:val="21"/>
                <w:szCs w:val="21"/>
              </w:rPr>
              <w:t>Eastern Cooperative Oncology Group</w:t>
            </w:r>
          </w:p>
        </w:tc>
        <w:tc>
          <w:tcPr>
            <w:tcW w:w="1901" w:type="pct"/>
            <w:vAlign w:val="center"/>
          </w:tcPr>
          <w:p w14:paraId="0F266B5D">
            <w:pPr>
              <w:adjustRightInd w:val="0"/>
              <w:jc w:val="center"/>
              <w:rPr>
                <w:rFonts w:ascii="Calibri" w:hAnsi="Calibri"/>
                <w:kern w:val="0"/>
                <w:sz w:val="21"/>
                <w:szCs w:val="21"/>
                <w:lang w:val="en-GB"/>
              </w:rPr>
            </w:pPr>
            <w:r>
              <w:rPr>
                <w:rFonts w:ascii="Calibri" w:hAnsi="Calibri"/>
                <w:kern w:val="0"/>
                <w:sz w:val="21"/>
                <w:szCs w:val="21"/>
                <w:lang w:val="en-GB"/>
              </w:rPr>
              <w:t>美国东部肿瘤协作组</w:t>
            </w:r>
          </w:p>
        </w:tc>
      </w:tr>
      <w:tr w14:paraId="6C14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7FA07030">
            <w:pPr>
              <w:adjustRightInd w:val="0"/>
              <w:jc w:val="center"/>
              <w:rPr>
                <w:rFonts w:ascii="Calibri" w:hAnsi="Calibri"/>
                <w:sz w:val="21"/>
                <w:szCs w:val="21"/>
              </w:rPr>
            </w:pPr>
            <w:r>
              <w:rPr>
                <w:rFonts w:ascii="Calibri" w:hAnsi="Calibri"/>
                <w:sz w:val="21"/>
                <w:szCs w:val="21"/>
              </w:rPr>
              <w:t>IUD</w:t>
            </w:r>
          </w:p>
        </w:tc>
        <w:tc>
          <w:tcPr>
            <w:tcW w:w="2000" w:type="pct"/>
            <w:vAlign w:val="center"/>
          </w:tcPr>
          <w:p w14:paraId="48FCE78F">
            <w:pPr>
              <w:adjustRightInd w:val="0"/>
              <w:jc w:val="center"/>
              <w:rPr>
                <w:rFonts w:ascii="Calibri" w:hAnsi="Calibri"/>
                <w:kern w:val="0"/>
                <w:sz w:val="21"/>
                <w:szCs w:val="21"/>
              </w:rPr>
            </w:pPr>
            <w:r>
              <w:rPr>
                <w:rFonts w:ascii="Calibri" w:hAnsi="Calibri"/>
                <w:kern w:val="0"/>
                <w:sz w:val="21"/>
                <w:szCs w:val="21"/>
              </w:rPr>
              <w:t>Intrauterine Device</w:t>
            </w:r>
          </w:p>
        </w:tc>
        <w:tc>
          <w:tcPr>
            <w:tcW w:w="1901" w:type="pct"/>
            <w:vAlign w:val="center"/>
          </w:tcPr>
          <w:p w14:paraId="294C382F">
            <w:pPr>
              <w:adjustRightInd w:val="0"/>
              <w:jc w:val="center"/>
              <w:rPr>
                <w:rFonts w:ascii="Calibri" w:hAnsi="Calibri"/>
                <w:kern w:val="0"/>
                <w:sz w:val="21"/>
                <w:szCs w:val="21"/>
                <w:lang w:val="en-GB"/>
              </w:rPr>
            </w:pPr>
            <w:r>
              <w:rPr>
                <w:rFonts w:ascii="Calibri" w:hAnsi="Calibri"/>
                <w:kern w:val="0"/>
                <w:sz w:val="21"/>
                <w:szCs w:val="21"/>
              </w:rPr>
              <w:t>宫内节育器</w:t>
            </w:r>
          </w:p>
        </w:tc>
      </w:tr>
      <w:tr w14:paraId="2888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EAB579A">
            <w:pPr>
              <w:adjustRightInd w:val="0"/>
              <w:jc w:val="center"/>
              <w:rPr>
                <w:rFonts w:ascii="Calibri" w:hAnsi="Calibri"/>
                <w:sz w:val="21"/>
                <w:szCs w:val="21"/>
              </w:rPr>
            </w:pPr>
            <w:r>
              <w:rPr>
                <w:rFonts w:ascii="Calibri" w:hAnsi="Calibri"/>
                <w:sz w:val="21"/>
                <w:szCs w:val="21"/>
              </w:rPr>
              <w:t>SAE</w:t>
            </w:r>
          </w:p>
        </w:tc>
        <w:tc>
          <w:tcPr>
            <w:tcW w:w="2000" w:type="pct"/>
            <w:vAlign w:val="center"/>
          </w:tcPr>
          <w:p w14:paraId="6E4C9838">
            <w:pPr>
              <w:adjustRightInd w:val="0"/>
              <w:jc w:val="center"/>
              <w:rPr>
                <w:rFonts w:ascii="Calibri" w:hAnsi="Calibri"/>
                <w:kern w:val="0"/>
                <w:sz w:val="21"/>
                <w:szCs w:val="21"/>
              </w:rPr>
            </w:pPr>
            <w:r>
              <w:rPr>
                <w:rFonts w:ascii="Calibri" w:hAnsi="Calibri"/>
                <w:kern w:val="0"/>
                <w:sz w:val="21"/>
                <w:szCs w:val="21"/>
              </w:rPr>
              <w:t>Serious Adverse Event</w:t>
            </w:r>
          </w:p>
        </w:tc>
        <w:tc>
          <w:tcPr>
            <w:tcW w:w="1901" w:type="pct"/>
            <w:vAlign w:val="center"/>
          </w:tcPr>
          <w:p w14:paraId="0B787E0E">
            <w:pPr>
              <w:adjustRightInd w:val="0"/>
              <w:jc w:val="center"/>
              <w:rPr>
                <w:rFonts w:ascii="Calibri" w:hAnsi="Calibri"/>
                <w:kern w:val="0"/>
                <w:sz w:val="21"/>
                <w:szCs w:val="21"/>
              </w:rPr>
            </w:pPr>
            <w:r>
              <w:rPr>
                <w:rFonts w:ascii="Calibri" w:hAnsi="Calibri"/>
                <w:kern w:val="0"/>
                <w:sz w:val="21"/>
                <w:szCs w:val="21"/>
              </w:rPr>
              <w:t>严重不良事件</w:t>
            </w:r>
          </w:p>
        </w:tc>
      </w:tr>
      <w:tr w14:paraId="678F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199C794C">
            <w:pPr>
              <w:adjustRightInd w:val="0"/>
              <w:jc w:val="center"/>
              <w:rPr>
                <w:rFonts w:ascii="Calibri" w:hAnsi="Calibri"/>
                <w:sz w:val="21"/>
                <w:szCs w:val="21"/>
              </w:rPr>
            </w:pPr>
            <w:r>
              <w:rPr>
                <w:rFonts w:ascii="Calibri" w:hAnsi="Calibri"/>
                <w:sz w:val="21"/>
                <w:szCs w:val="21"/>
              </w:rPr>
              <w:t>CSCO</w:t>
            </w:r>
          </w:p>
        </w:tc>
        <w:tc>
          <w:tcPr>
            <w:tcW w:w="2000" w:type="pct"/>
          </w:tcPr>
          <w:p w14:paraId="22E627D0">
            <w:pPr>
              <w:adjustRightInd w:val="0"/>
              <w:jc w:val="center"/>
              <w:rPr>
                <w:rFonts w:ascii="Calibri" w:hAnsi="Calibri"/>
                <w:kern w:val="0"/>
                <w:sz w:val="21"/>
                <w:szCs w:val="21"/>
              </w:rPr>
            </w:pPr>
            <w:r>
              <w:rPr>
                <w:rFonts w:ascii="Calibri" w:hAnsi="Calibri"/>
                <w:sz w:val="21"/>
                <w:szCs w:val="21"/>
              </w:rPr>
              <w:t>Chinese Society of Clinical Oncology</w:t>
            </w:r>
          </w:p>
        </w:tc>
        <w:tc>
          <w:tcPr>
            <w:tcW w:w="1901" w:type="pct"/>
          </w:tcPr>
          <w:p w14:paraId="729209D0">
            <w:pPr>
              <w:adjustRightInd w:val="0"/>
              <w:jc w:val="center"/>
              <w:rPr>
                <w:rFonts w:ascii="Calibri" w:hAnsi="Calibri"/>
                <w:kern w:val="0"/>
                <w:sz w:val="21"/>
                <w:szCs w:val="21"/>
              </w:rPr>
            </w:pPr>
            <w:r>
              <w:rPr>
                <w:rFonts w:ascii="Calibri" w:hAnsi="Calibri"/>
                <w:sz w:val="21"/>
                <w:szCs w:val="21"/>
              </w:rPr>
              <w:t>中国临床肿瘤学会</w:t>
            </w:r>
          </w:p>
        </w:tc>
      </w:tr>
      <w:tr w14:paraId="34D4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08A9322">
            <w:pPr>
              <w:adjustRightInd w:val="0"/>
              <w:jc w:val="center"/>
              <w:rPr>
                <w:rFonts w:ascii="Calibri" w:hAnsi="Calibri"/>
                <w:sz w:val="21"/>
                <w:szCs w:val="21"/>
              </w:rPr>
            </w:pPr>
            <w:r>
              <w:rPr>
                <w:rFonts w:hint="eastAsia" w:ascii="Calibri" w:hAnsi="Calibri"/>
                <w:sz w:val="21"/>
                <w:szCs w:val="21"/>
              </w:rPr>
              <w:t>CRA</w:t>
            </w:r>
          </w:p>
        </w:tc>
        <w:tc>
          <w:tcPr>
            <w:tcW w:w="2000" w:type="pct"/>
          </w:tcPr>
          <w:p w14:paraId="5F3B2D0E">
            <w:pPr>
              <w:adjustRightInd w:val="0"/>
              <w:jc w:val="center"/>
              <w:rPr>
                <w:rFonts w:ascii="Calibri" w:hAnsi="Calibri"/>
                <w:sz w:val="21"/>
                <w:szCs w:val="21"/>
              </w:rPr>
            </w:pPr>
            <w:r>
              <w:rPr>
                <w:rFonts w:ascii="Calibri" w:hAnsi="Calibri"/>
                <w:sz w:val="21"/>
                <w:szCs w:val="21"/>
                <w:lang w:bidi="ar"/>
              </w:rPr>
              <w:t>Clinical Research Associate</w:t>
            </w:r>
          </w:p>
        </w:tc>
        <w:tc>
          <w:tcPr>
            <w:tcW w:w="1901" w:type="pct"/>
          </w:tcPr>
          <w:p w14:paraId="7C3C6AA5">
            <w:pPr>
              <w:adjustRightInd w:val="0"/>
              <w:jc w:val="center"/>
              <w:rPr>
                <w:rFonts w:ascii="Calibri" w:hAnsi="Calibri"/>
                <w:sz w:val="21"/>
                <w:szCs w:val="21"/>
              </w:rPr>
            </w:pPr>
            <w:r>
              <w:rPr>
                <w:rFonts w:hint="eastAsia" w:ascii="Calibri" w:hAnsi="Calibri"/>
                <w:sz w:val="21"/>
                <w:szCs w:val="21"/>
                <w:lang w:bidi="ar"/>
              </w:rPr>
              <w:t>临床监查员</w:t>
            </w:r>
          </w:p>
        </w:tc>
      </w:tr>
      <w:tr w14:paraId="5E3A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4A8A866A">
            <w:pPr>
              <w:adjustRightInd w:val="0"/>
              <w:jc w:val="center"/>
              <w:rPr>
                <w:rFonts w:ascii="Calibri" w:hAnsi="Calibri"/>
                <w:sz w:val="21"/>
                <w:szCs w:val="21"/>
              </w:rPr>
            </w:pPr>
            <w:r>
              <w:rPr>
                <w:rFonts w:ascii="Calibri" w:hAnsi="Calibri"/>
                <w:sz w:val="21"/>
                <w:szCs w:val="21"/>
                <w:lang w:bidi="ar"/>
              </w:rPr>
              <w:t>CRC</w:t>
            </w:r>
          </w:p>
        </w:tc>
        <w:tc>
          <w:tcPr>
            <w:tcW w:w="2000" w:type="pct"/>
          </w:tcPr>
          <w:p w14:paraId="3F537B81">
            <w:pPr>
              <w:adjustRightInd w:val="0"/>
              <w:jc w:val="center"/>
              <w:rPr>
                <w:rFonts w:ascii="Calibri" w:hAnsi="Calibri"/>
                <w:sz w:val="21"/>
                <w:szCs w:val="21"/>
              </w:rPr>
            </w:pPr>
            <w:r>
              <w:rPr>
                <w:rFonts w:ascii="Calibri" w:hAnsi="Calibri"/>
                <w:sz w:val="21"/>
                <w:szCs w:val="21"/>
                <w:lang w:bidi="ar"/>
              </w:rPr>
              <w:t>Clinical Research Coordinator</w:t>
            </w:r>
          </w:p>
        </w:tc>
        <w:tc>
          <w:tcPr>
            <w:tcW w:w="1901" w:type="pct"/>
          </w:tcPr>
          <w:p w14:paraId="00B5EC64">
            <w:pPr>
              <w:adjustRightInd w:val="0"/>
              <w:jc w:val="center"/>
              <w:rPr>
                <w:rFonts w:ascii="Calibri" w:hAnsi="Calibri"/>
                <w:sz w:val="21"/>
                <w:szCs w:val="21"/>
              </w:rPr>
            </w:pPr>
            <w:r>
              <w:rPr>
                <w:rFonts w:hint="eastAsia" w:ascii="Calibri" w:hAnsi="Calibri"/>
                <w:sz w:val="21"/>
                <w:szCs w:val="21"/>
                <w:lang w:bidi="ar"/>
              </w:rPr>
              <w:t>临床研究协调员</w:t>
            </w:r>
          </w:p>
        </w:tc>
      </w:tr>
      <w:tr w14:paraId="4F42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048295C7">
            <w:pPr>
              <w:adjustRightInd w:val="0"/>
              <w:jc w:val="center"/>
              <w:rPr>
                <w:rFonts w:ascii="Calibri" w:hAnsi="Calibri"/>
                <w:sz w:val="21"/>
                <w:szCs w:val="21"/>
              </w:rPr>
            </w:pPr>
            <w:r>
              <w:rPr>
                <w:rFonts w:ascii="Calibri" w:hAnsi="Calibri"/>
                <w:sz w:val="21"/>
                <w:szCs w:val="21"/>
                <w:lang w:bidi="ar"/>
              </w:rPr>
              <w:t>SOP</w:t>
            </w:r>
          </w:p>
        </w:tc>
        <w:tc>
          <w:tcPr>
            <w:tcW w:w="2000" w:type="pct"/>
          </w:tcPr>
          <w:p w14:paraId="20B8A353">
            <w:pPr>
              <w:adjustRightInd w:val="0"/>
              <w:jc w:val="center"/>
              <w:rPr>
                <w:rFonts w:ascii="Calibri" w:hAnsi="Calibri"/>
                <w:sz w:val="21"/>
                <w:szCs w:val="21"/>
              </w:rPr>
            </w:pPr>
            <w:r>
              <w:rPr>
                <w:rFonts w:ascii="Calibri" w:hAnsi="Calibri"/>
                <w:sz w:val="21"/>
                <w:szCs w:val="21"/>
                <w:lang w:bidi="ar"/>
              </w:rPr>
              <w:t>Standard Operating Procedure</w:t>
            </w:r>
          </w:p>
        </w:tc>
        <w:tc>
          <w:tcPr>
            <w:tcW w:w="1901" w:type="pct"/>
          </w:tcPr>
          <w:p w14:paraId="665E6B2F">
            <w:pPr>
              <w:adjustRightInd w:val="0"/>
              <w:jc w:val="center"/>
              <w:rPr>
                <w:rFonts w:ascii="Calibri" w:hAnsi="Calibri"/>
                <w:sz w:val="21"/>
                <w:szCs w:val="21"/>
              </w:rPr>
            </w:pPr>
            <w:r>
              <w:rPr>
                <w:rFonts w:hint="eastAsia" w:ascii="Calibri" w:hAnsi="Calibri"/>
                <w:sz w:val="21"/>
                <w:szCs w:val="21"/>
                <w:lang w:bidi="ar"/>
              </w:rPr>
              <w:t>标准化操作流程</w:t>
            </w:r>
          </w:p>
        </w:tc>
      </w:tr>
      <w:tr w14:paraId="67F9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54BAFC1F">
            <w:pPr>
              <w:adjustRightInd w:val="0"/>
              <w:jc w:val="center"/>
              <w:rPr>
                <w:rFonts w:ascii="Calibri" w:hAnsi="Calibri"/>
                <w:sz w:val="21"/>
                <w:szCs w:val="21"/>
              </w:rPr>
            </w:pPr>
            <w:r>
              <w:rPr>
                <w:rFonts w:ascii="Calibri" w:hAnsi="Calibri"/>
                <w:sz w:val="21"/>
                <w:szCs w:val="21"/>
                <w:lang w:bidi="ar"/>
              </w:rPr>
              <w:t>NMPA</w:t>
            </w:r>
          </w:p>
        </w:tc>
        <w:tc>
          <w:tcPr>
            <w:tcW w:w="2000" w:type="pct"/>
          </w:tcPr>
          <w:p w14:paraId="2467058F">
            <w:pPr>
              <w:adjustRightInd w:val="0"/>
              <w:jc w:val="center"/>
              <w:rPr>
                <w:rFonts w:ascii="Calibri" w:hAnsi="Calibri"/>
                <w:sz w:val="21"/>
                <w:szCs w:val="21"/>
              </w:rPr>
            </w:pPr>
            <w:r>
              <w:rPr>
                <w:rFonts w:ascii="Calibri" w:hAnsi="Calibri"/>
                <w:sz w:val="21"/>
                <w:szCs w:val="21"/>
                <w:lang w:bidi="ar"/>
              </w:rPr>
              <w:t>National Medical Products Administration</w:t>
            </w:r>
          </w:p>
        </w:tc>
        <w:tc>
          <w:tcPr>
            <w:tcW w:w="1901" w:type="pct"/>
          </w:tcPr>
          <w:p w14:paraId="1F4CFFB1">
            <w:pPr>
              <w:adjustRightInd w:val="0"/>
              <w:jc w:val="center"/>
              <w:rPr>
                <w:rFonts w:ascii="Calibri" w:hAnsi="Calibri"/>
                <w:sz w:val="21"/>
                <w:szCs w:val="21"/>
              </w:rPr>
            </w:pPr>
            <w:r>
              <w:rPr>
                <w:rFonts w:hint="eastAsia" w:ascii="Calibri" w:hAnsi="Calibri"/>
                <w:sz w:val="21"/>
                <w:szCs w:val="21"/>
                <w:lang w:bidi="ar"/>
              </w:rPr>
              <w:t>国家药品监督管理局</w:t>
            </w:r>
          </w:p>
        </w:tc>
      </w:tr>
      <w:tr w14:paraId="5B6D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7" w:type="pct"/>
            <w:vAlign w:val="center"/>
          </w:tcPr>
          <w:p w14:paraId="773B941A">
            <w:pPr>
              <w:adjustRightInd w:val="0"/>
              <w:jc w:val="center"/>
              <w:rPr>
                <w:rFonts w:ascii="Calibri" w:hAnsi="Calibri"/>
                <w:sz w:val="21"/>
                <w:szCs w:val="21"/>
              </w:rPr>
            </w:pPr>
            <w:r>
              <w:rPr>
                <w:rFonts w:ascii="Calibri" w:hAnsi="Calibri"/>
                <w:sz w:val="21"/>
                <w:szCs w:val="21"/>
                <w:lang w:bidi="ar"/>
              </w:rPr>
              <w:t>ADR</w:t>
            </w:r>
          </w:p>
        </w:tc>
        <w:tc>
          <w:tcPr>
            <w:tcW w:w="2000" w:type="pct"/>
          </w:tcPr>
          <w:p w14:paraId="43AD939E">
            <w:pPr>
              <w:adjustRightInd w:val="0"/>
              <w:jc w:val="center"/>
              <w:rPr>
                <w:rFonts w:ascii="Calibri" w:hAnsi="Calibri"/>
                <w:sz w:val="21"/>
                <w:szCs w:val="21"/>
              </w:rPr>
            </w:pPr>
            <w:r>
              <w:rPr>
                <w:rFonts w:ascii="Calibri" w:hAnsi="Calibri"/>
                <w:sz w:val="21"/>
                <w:szCs w:val="21"/>
                <w:lang w:bidi="ar"/>
              </w:rPr>
              <w:t>Adverse Drug Reaction</w:t>
            </w:r>
          </w:p>
        </w:tc>
        <w:tc>
          <w:tcPr>
            <w:tcW w:w="1901" w:type="pct"/>
          </w:tcPr>
          <w:p w14:paraId="7504FD12">
            <w:pPr>
              <w:adjustRightInd w:val="0"/>
              <w:jc w:val="center"/>
              <w:rPr>
                <w:rFonts w:ascii="Calibri" w:hAnsi="Calibri"/>
                <w:sz w:val="21"/>
                <w:szCs w:val="21"/>
              </w:rPr>
            </w:pPr>
            <w:r>
              <w:rPr>
                <w:rFonts w:hint="eastAsia" w:ascii="Calibri" w:hAnsi="Calibri"/>
                <w:sz w:val="21"/>
                <w:szCs w:val="21"/>
                <w:lang w:bidi="ar"/>
              </w:rPr>
              <w:t>药品不良反应</w:t>
            </w:r>
          </w:p>
        </w:tc>
      </w:tr>
    </w:tbl>
    <w:p w14:paraId="158F8A1F">
      <w:pPr>
        <w:pStyle w:val="3"/>
        <w:rPr>
          <w:rFonts w:ascii="Times New Roman" w:hAnsi="Times New Roman" w:cs="Times New Roman"/>
        </w:rPr>
      </w:pPr>
    </w:p>
    <w:p w14:paraId="3EB292F1">
      <w:pPr>
        <w:pStyle w:val="3"/>
        <w:rPr>
          <w:rFonts w:ascii="Times New Roman" w:hAnsi="Times New Roman" w:cs="Times New Roman"/>
        </w:rPr>
      </w:pPr>
    </w:p>
    <w:p w14:paraId="63BBEC8F"/>
    <w:p w14:paraId="3B6F0EF4">
      <w:r>
        <w:br w:type="page"/>
      </w:r>
    </w:p>
    <w:bookmarkEnd w:id="610"/>
    <w:bookmarkEnd w:id="611"/>
    <w:p w14:paraId="2E9D7AC9">
      <w:pPr>
        <w:pStyle w:val="2"/>
        <w:numPr>
          <w:ilvl w:val="0"/>
          <w:numId w:val="5"/>
        </w:numPr>
        <w:ind w:left="0" w:firstLine="0"/>
        <w:rPr>
          <w:rFonts w:ascii="Times New Roman" w:hAnsi="Times New Roman"/>
          <w:color w:val="auto"/>
          <w:szCs w:val="24"/>
        </w:rPr>
      </w:pPr>
      <w:bookmarkStart w:id="798" w:name="_Toc499226652"/>
      <w:bookmarkEnd w:id="798"/>
      <w:bookmarkStart w:id="799" w:name="_Toc529967854"/>
      <w:bookmarkEnd w:id="799"/>
      <w:bookmarkStart w:id="800" w:name="_Toc60672277"/>
      <w:bookmarkEnd w:id="800"/>
      <w:bookmarkStart w:id="801" w:name="_Toc60672292"/>
      <w:bookmarkEnd w:id="801"/>
      <w:bookmarkStart w:id="802" w:name="_Toc499226650"/>
      <w:bookmarkEnd w:id="802"/>
      <w:bookmarkStart w:id="803" w:name="_Toc497398106"/>
      <w:bookmarkEnd w:id="803"/>
      <w:bookmarkStart w:id="804" w:name="_Toc531356584"/>
      <w:bookmarkEnd w:id="804"/>
      <w:bookmarkStart w:id="805" w:name="_Toc497398107"/>
      <w:bookmarkEnd w:id="805"/>
      <w:bookmarkStart w:id="806" w:name="_Toc62032329"/>
      <w:bookmarkEnd w:id="806"/>
      <w:bookmarkStart w:id="807" w:name="_Toc60672248"/>
      <w:bookmarkEnd w:id="807"/>
      <w:bookmarkStart w:id="808" w:name="_Toc60667615"/>
      <w:bookmarkEnd w:id="808"/>
      <w:bookmarkStart w:id="809" w:name="_Toc60672232"/>
      <w:bookmarkEnd w:id="809"/>
      <w:bookmarkStart w:id="810" w:name="_Toc497398115"/>
      <w:bookmarkEnd w:id="810"/>
      <w:bookmarkStart w:id="811" w:name="_Toc60672222"/>
      <w:bookmarkEnd w:id="811"/>
      <w:bookmarkStart w:id="812" w:name="_Toc499226634"/>
      <w:bookmarkEnd w:id="812"/>
      <w:bookmarkStart w:id="813" w:name="_Toc499226627"/>
      <w:bookmarkEnd w:id="813"/>
      <w:bookmarkStart w:id="814" w:name="_Toc497398131"/>
      <w:bookmarkEnd w:id="814"/>
      <w:bookmarkStart w:id="815" w:name="_Toc497398133"/>
      <w:bookmarkEnd w:id="815"/>
      <w:bookmarkStart w:id="816" w:name="_Toc60667638"/>
      <w:bookmarkEnd w:id="816"/>
      <w:bookmarkStart w:id="817" w:name="_Toc499226637"/>
      <w:bookmarkEnd w:id="817"/>
      <w:bookmarkStart w:id="818" w:name="_Toc499226662"/>
      <w:bookmarkEnd w:id="818"/>
      <w:bookmarkStart w:id="819" w:name="_Toc60667610"/>
      <w:bookmarkEnd w:id="819"/>
      <w:bookmarkStart w:id="820" w:name="_Toc60672280"/>
      <w:bookmarkEnd w:id="820"/>
      <w:bookmarkStart w:id="821" w:name="_Toc65833892"/>
      <w:bookmarkEnd w:id="821"/>
      <w:bookmarkStart w:id="822" w:name="_Toc499226660"/>
      <w:bookmarkEnd w:id="822"/>
      <w:bookmarkStart w:id="823" w:name="_Toc499226658"/>
      <w:bookmarkEnd w:id="823"/>
      <w:bookmarkStart w:id="824" w:name="_Toc60672265"/>
      <w:bookmarkEnd w:id="824"/>
      <w:bookmarkStart w:id="825" w:name="_Toc499226657"/>
      <w:bookmarkEnd w:id="825"/>
      <w:bookmarkStart w:id="826" w:name="_Toc65833894"/>
      <w:bookmarkEnd w:id="826"/>
      <w:bookmarkStart w:id="827" w:name="_Toc529967839"/>
      <w:bookmarkEnd w:id="827"/>
      <w:bookmarkStart w:id="828" w:name="_Toc65833895"/>
      <w:bookmarkEnd w:id="828"/>
      <w:bookmarkStart w:id="829" w:name="_Toc60667628"/>
      <w:bookmarkEnd w:id="829"/>
      <w:bookmarkStart w:id="830" w:name="_Toc65831978"/>
      <w:bookmarkEnd w:id="830"/>
      <w:bookmarkStart w:id="831" w:name="_Toc60667635"/>
      <w:bookmarkEnd w:id="831"/>
      <w:bookmarkStart w:id="832" w:name="_Toc499226642"/>
      <w:bookmarkEnd w:id="832"/>
      <w:bookmarkStart w:id="833" w:name="_Toc499226649"/>
      <w:bookmarkEnd w:id="833"/>
      <w:bookmarkStart w:id="834" w:name="_Toc60672272"/>
      <w:bookmarkEnd w:id="834"/>
      <w:bookmarkStart w:id="835" w:name="_Toc60672283"/>
      <w:bookmarkEnd w:id="835"/>
      <w:bookmarkStart w:id="836" w:name="_Toc62032327"/>
      <w:bookmarkEnd w:id="836"/>
      <w:bookmarkStart w:id="837" w:name="_Toc60667636"/>
      <w:bookmarkEnd w:id="837"/>
      <w:bookmarkStart w:id="838" w:name="_Toc60672293"/>
      <w:bookmarkEnd w:id="838"/>
      <w:bookmarkStart w:id="839" w:name="_Toc529967838"/>
      <w:bookmarkEnd w:id="839"/>
      <w:bookmarkStart w:id="840" w:name="_Toc531356570"/>
      <w:bookmarkEnd w:id="840"/>
      <w:bookmarkStart w:id="841" w:name="_Toc499226655"/>
      <w:bookmarkEnd w:id="841"/>
      <w:bookmarkStart w:id="842" w:name="_Toc60672268"/>
      <w:bookmarkEnd w:id="842"/>
      <w:bookmarkStart w:id="843" w:name="_Toc497398117"/>
      <w:bookmarkEnd w:id="843"/>
      <w:bookmarkStart w:id="844" w:name="_Toc499226626"/>
      <w:bookmarkEnd w:id="844"/>
      <w:bookmarkStart w:id="845" w:name="_Toc62032204"/>
      <w:bookmarkEnd w:id="845"/>
      <w:bookmarkStart w:id="846" w:name="_Toc60672282"/>
      <w:bookmarkEnd w:id="846"/>
      <w:bookmarkStart w:id="847" w:name="_Toc60672269"/>
      <w:bookmarkEnd w:id="847"/>
      <w:bookmarkStart w:id="848" w:name="_Toc497398114"/>
      <w:bookmarkEnd w:id="848"/>
      <w:bookmarkStart w:id="849" w:name="_Toc499226661"/>
      <w:bookmarkEnd w:id="849"/>
      <w:bookmarkStart w:id="850" w:name="_Toc60667617"/>
      <w:bookmarkEnd w:id="850"/>
      <w:bookmarkStart w:id="851" w:name="_Toc60667566"/>
      <w:bookmarkEnd w:id="851"/>
      <w:bookmarkStart w:id="852" w:name="_Toc60667634"/>
      <w:bookmarkEnd w:id="852"/>
      <w:bookmarkStart w:id="853" w:name="_Toc499226664"/>
      <w:bookmarkEnd w:id="853"/>
      <w:bookmarkStart w:id="854" w:name="_Toc60667624"/>
      <w:bookmarkEnd w:id="854"/>
      <w:bookmarkStart w:id="855" w:name="_Toc499226629"/>
      <w:bookmarkEnd w:id="855"/>
      <w:bookmarkStart w:id="856" w:name="_Toc60672290"/>
      <w:bookmarkEnd w:id="856"/>
      <w:bookmarkStart w:id="857" w:name="_Toc60667611"/>
      <w:bookmarkEnd w:id="857"/>
      <w:bookmarkStart w:id="858" w:name="_Toc497398109"/>
      <w:bookmarkEnd w:id="858"/>
      <w:bookmarkStart w:id="859" w:name="_Toc499226653"/>
      <w:bookmarkEnd w:id="859"/>
      <w:bookmarkStart w:id="860" w:name="_Toc499226640"/>
      <w:bookmarkEnd w:id="860"/>
      <w:bookmarkStart w:id="861" w:name="_Toc60667616"/>
      <w:bookmarkEnd w:id="861"/>
      <w:bookmarkStart w:id="862" w:name="_Toc60667639"/>
      <w:bookmarkEnd w:id="862"/>
      <w:bookmarkStart w:id="863" w:name="_Toc497398108"/>
      <w:bookmarkEnd w:id="863"/>
      <w:bookmarkStart w:id="864" w:name="_Toc60667623"/>
      <w:bookmarkEnd w:id="864"/>
      <w:bookmarkStart w:id="865" w:name="_Toc60672228"/>
      <w:bookmarkEnd w:id="865"/>
      <w:bookmarkStart w:id="866" w:name="_Toc499226648"/>
      <w:bookmarkEnd w:id="866"/>
      <w:bookmarkStart w:id="867" w:name="_Toc60672231"/>
      <w:bookmarkEnd w:id="867"/>
      <w:bookmarkStart w:id="868" w:name="_Toc60672264"/>
      <w:bookmarkEnd w:id="868"/>
      <w:bookmarkStart w:id="869" w:name="_Toc65833890"/>
      <w:bookmarkEnd w:id="869"/>
      <w:bookmarkStart w:id="870" w:name="_Toc65831979"/>
      <w:bookmarkEnd w:id="870"/>
      <w:bookmarkStart w:id="871" w:name="_Toc65831981"/>
      <w:bookmarkEnd w:id="871"/>
      <w:bookmarkStart w:id="872" w:name="_Toc499226641"/>
      <w:bookmarkEnd w:id="872"/>
      <w:bookmarkStart w:id="873" w:name="_Toc65831982"/>
      <w:bookmarkEnd w:id="873"/>
      <w:bookmarkStart w:id="874" w:name="_Toc60671912"/>
      <w:bookmarkEnd w:id="874"/>
      <w:bookmarkStart w:id="875" w:name="_Toc60672219"/>
      <w:bookmarkEnd w:id="875"/>
      <w:bookmarkStart w:id="876" w:name="_Toc499226647"/>
      <w:bookmarkEnd w:id="876"/>
      <w:bookmarkStart w:id="877" w:name="_Toc531356577"/>
      <w:bookmarkEnd w:id="877"/>
      <w:bookmarkStart w:id="878" w:name="_Toc60667631"/>
      <w:bookmarkEnd w:id="878"/>
      <w:bookmarkStart w:id="879" w:name="_Toc531356582"/>
      <w:bookmarkEnd w:id="879"/>
      <w:bookmarkStart w:id="880" w:name="_Toc60667637"/>
      <w:bookmarkEnd w:id="880"/>
      <w:bookmarkStart w:id="881" w:name="_Toc60667567"/>
      <w:bookmarkEnd w:id="881"/>
      <w:bookmarkStart w:id="882" w:name="_Toc62032205"/>
      <w:bookmarkEnd w:id="882"/>
      <w:bookmarkStart w:id="883" w:name="_Toc60667258"/>
      <w:bookmarkEnd w:id="883"/>
      <w:bookmarkStart w:id="884" w:name="_Toc499226663"/>
      <w:bookmarkEnd w:id="884"/>
      <w:bookmarkStart w:id="885" w:name="_Toc531356580"/>
      <w:bookmarkEnd w:id="885"/>
      <w:bookmarkStart w:id="886" w:name="_Toc60672220"/>
      <w:bookmarkEnd w:id="886"/>
      <w:bookmarkStart w:id="887" w:name="_Toc531356567"/>
      <w:bookmarkEnd w:id="887"/>
      <w:bookmarkStart w:id="888" w:name="_Toc531356569"/>
      <w:bookmarkEnd w:id="888"/>
      <w:bookmarkStart w:id="889" w:name="_Toc60672226"/>
      <w:bookmarkEnd w:id="889"/>
      <w:bookmarkStart w:id="890" w:name="_Toc60667573"/>
      <w:bookmarkEnd w:id="890"/>
      <w:bookmarkStart w:id="891" w:name="_Toc60672225"/>
      <w:bookmarkEnd w:id="891"/>
      <w:bookmarkStart w:id="892" w:name="_Toc60667576"/>
      <w:bookmarkEnd w:id="892"/>
      <w:bookmarkStart w:id="893" w:name="_Toc499226630"/>
      <w:bookmarkEnd w:id="893"/>
      <w:bookmarkStart w:id="894" w:name="_Toc60667630"/>
      <w:bookmarkEnd w:id="894"/>
      <w:bookmarkStart w:id="895" w:name="_Toc531356578"/>
      <w:bookmarkEnd w:id="895"/>
      <w:bookmarkStart w:id="896" w:name="_Toc531356568"/>
      <w:bookmarkEnd w:id="896"/>
      <w:bookmarkStart w:id="897" w:name="_Toc60672279"/>
      <w:bookmarkEnd w:id="897"/>
      <w:bookmarkStart w:id="898" w:name="_Toc497398119"/>
      <w:bookmarkEnd w:id="898"/>
      <w:bookmarkStart w:id="899" w:name="_Toc65831980"/>
      <w:bookmarkEnd w:id="899"/>
      <w:bookmarkStart w:id="900" w:name="_Toc60667574"/>
      <w:bookmarkEnd w:id="900"/>
      <w:bookmarkStart w:id="901" w:name="_Toc60667632"/>
      <w:bookmarkEnd w:id="901"/>
      <w:bookmarkStart w:id="902" w:name="_Toc497398121"/>
      <w:bookmarkEnd w:id="902"/>
      <w:bookmarkStart w:id="903" w:name="_Toc60667577"/>
      <w:bookmarkEnd w:id="903"/>
      <w:bookmarkStart w:id="904" w:name="_Toc497398123"/>
      <w:bookmarkEnd w:id="904"/>
      <w:bookmarkStart w:id="905" w:name="_Toc60667618"/>
      <w:bookmarkEnd w:id="905"/>
      <w:bookmarkStart w:id="906" w:name="_Toc60667612"/>
      <w:bookmarkEnd w:id="906"/>
      <w:bookmarkStart w:id="907" w:name="_Toc499226646"/>
      <w:bookmarkEnd w:id="907"/>
      <w:bookmarkStart w:id="908" w:name="_Toc62032203"/>
      <w:bookmarkEnd w:id="908"/>
      <w:bookmarkStart w:id="909" w:name="_Toc60672267"/>
      <w:bookmarkEnd w:id="909"/>
      <w:bookmarkStart w:id="910" w:name="_Toc60672278"/>
      <w:bookmarkEnd w:id="910"/>
      <w:bookmarkStart w:id="911" w:name="_Toc65833891"/>
      <w:bookmarkEnd w:id="911"/>
      <w:bookmarkStart w:id="912" w:name="_Toc499226628"/>
      <w:bookmarkEnd w:id="912"/>
      <w:bookmarkStart w:id="913" w:name="_Toc60667568"/>
      <w:bookmarkEnd w:id="913"/>
      <w:bookmarkStart w:id="914" w:name="_Toc61962294"/>
      <w:bookmarkEnd w:id="914"/>
      <w:bookmarkStart w:id="915" w:name="_Toc499226632"/>
      <w:bookmarkEnd w:id="915"/>
      <w:bookmarkStart w:id="916" w:name="_Toc62032328"/>
      <w:bookmarkEnd w:id="916"/>
      <w:bookmarkStart w:id="917" w:name="_Toc499226639"/>
      <w:bookmarkEnd w:id="917"/>
      <w:bookmarkStart w:id="918" w:name="_Toc497398116"/>
      <w:bookmarkEnd w:id="918"/>
      <w:bookmarkStart w:id="919" w:name="_Toc531356583"/>
      <w:bookmarkEnd w:id="919"/>
      <w:bookmarkStart w:id="920" w:name="_Toc60667572"/>
      <w:bookmarkEnd w:id="920"/>
      <w:bookmarkStart w:id="921" w:name="_Toc60667578"/>
      <w:bookmarkEnd w:id="921"/>
      <w:bookmarkStart w:id="922" w:name="_Toc60667257"/>
      <w:bookmarkEnd w:id="922"/>
      <w:bookmarkStart w:id="923" w:name="_Toc531356562"/>
      <w:bookmarkEnd w:id="923"/>
      <w:bookmarkStart w:id="924" w:name="_Toc60672284"/>
      <w:bookmarkEnd w:id="924"/>
      <w:bookmarkStart w:id="925" w:name="_Toc60672230"/>
      <w:bookmarkEnd w:id="925"/>
      <w:bookmarkStart w:id="926" w:name="_Toc499226631"/>
      <w:bookmarkEnd w:id="926"/>
      <w:bookmarkStart w:id="927" w:name="_Toc531356566"/>
      <w:bookmarkEnd w:id="927"/>
      <w:bookmarkStart w:id="928" w:name="_Toc529967855"/>
      <w:bookmarkEnd w:id="928"/>
      <w:bookmarkStart w:id="929" w:name="_Toc529967841"/>
      <w:bookmarkEnd w:id="929"/>
      <w:bookmarkStart w:id="930" w:name="_Toc60667626"/>
      <w:bookmarkEnd w:id="930"/>
      <w:bookmarkStart w:id="931" w:name="_Toc60667565"/>
      <w:bookmarkEnd w:id="931"/>
      <w:bookmarkStart w:id="932" w:name="_Toc60667594"/>
      <w:bookmarkEnd w:id="932"/>
      <w:bookmarkStart w:id="933" w:name="_Toc60672287"/>
      <w:bookmarkEnd w:id="933"/>
      <w:bookmarkStart w:id="934" w:name="_Toc60667564"/>
      <w:bookmarkEnd w:id="934"/>
      <w:bookmarkStart w:id="935" w:name="_Toc531356581"/>
      <w:bookmarkEnd w:id="935"/>
      <w:bookmarkStart w:id="936" w:name="_Toc60672291"/>
      <w:bookmarkEnd w:id="936"/>
      <w:bookmarkStart w:id="937" w:name="_Toc62032202"/>
      <w:bookmarkEnd w:id="937"/>
      <w:bookmarkStart w:id="938" w:name="_Toc531356564"/>
      <w:bookmarkEnd w:id="938"/>
      <w:bookmarkStart w:id="939" w:name="_Toc60672286"/>
      <w:bookmarkEnd w:id="939"/>
      <w:bookmarkStart w:id="940" w:name="_Toc60672218"/>
      <w:bookmarkEnd w:id="940"/>
      <w:bookmarkStart w:id="941" w:name="_Toc499226645"/>
      <w:bookmarkEnd w:id="941"/>
      <w:bookmarkStart w:id="942" w:name="_Toc60671911"/>
      <w:bookmarkEnd w:id="942"/>
      <w:bookmarkStart w:id="943" w:name="_Toc499226665"/>
      <w:bookmarkEnd w:id="943"/>
      <w:bookmarkStart w:id="944" w:name="_Toc531356579"/>
      <w:bookmarkEnd w:id="944"/>
      <w:bookmarkStart w:id="945" w:name="_Toc60667629"/>
      <w:bookmarkEnd w:id="945"/>
      <w:bookmarkStart w:id="946" w:name="_Toc60667570"/>
      <w:bookmarkEnd w:id="946"/>
      <w:bookmarkStart w:id="947" w:name="_Toc497398132"/>
      <w:bookmarkEnd w:id="947"/>
      <w:bookmarkStart w:id="948" w:name="_Toc60672288"/>
      <w:bookmarkEnd w:id="948"/>
      <w:bookmarkStart w:id="949" w:name="_Toc60672221"/>
      <w:bookmarkEnd w:id="949"/>
      <w:bookmarkStart w:id="950" w:name="_Toc531356575"/>
      <w:bookmarkEnd w:id="950"/>
      <w:bookmarkStart w:id="951" w:name="_Toc60672223"/>
      <w:bookmarkEnd w:id="951"/>
      <w:bookmarkStart w:id="952" w:name="_Toc61962296"/>
      <w:bookmarkEnd w:id="952"/>
      <w:bookmarkStart w:id="953" w:name="_Toc531356565"/>
      <w:bookmarkEnd w:id="953"/>
      <w:bookmarkStart w:id="954" w:name="_Toc60672270"/>
      <w:bookmarkEnd w:id="954"/>
      <w:bookmarkStart w:id="955" w:name="_Toc60667633"/>
      <w:bookmarkEnd w:id="955"/>
      <w:bookmarkStart w:id="956" w:name="_Toc499226651"/>
      <w:bookmarkEnd w:id="956"/>
      <w:bookmarkStart w:id="957" w:name="_Toc60667625"/>
      <w:bookmarkEnd w:id="957"/>
      <w:bookmarkStart w:id="958" w:name="_Toc60672224"/>
      <w:bookmarkEnd w:id="958"/>
      <w:bookmarkStart w:id="959" w:name="_Toc60667614"/>
      <w:bookmarkEnd w:id="959"/>
      <w:bookmarkStart w:id="960" w:name="_Toc497398122"/>
      <w:bookmarkEnd w:id="960"/>
      <w:bookmarkStart w:id="961" w:name="_Toc60667571"/>
      <w:bookmarkEnd w:id="961"/>
      <w:bookmarkStart w:id="962" w:name="_Toc61962293"/>
      <w:bookmarkEnd w:id="962"/>
      <w:bookmarkStart w:id="963" w:name="_Toc531356572"/>
      <w:bookmarkEnd w:id="963"/>
      <w:bookmarkStart w:id="964" w:name="_Toc499226636"/>
      <w:bookmarkEnd w:id="964"/>
      <w:bookmarkStart w:id="965" w:name="_Toc531356574"/>
      <w:bookmarkEnd w:id="965"/>
      <w:bookmarkStart w:id="966" w:name="_Toc60672289"/>
      <w:bookmarkEnd w:id="966"/>
      <w:bookmarkStart w:id="967" w:name="_Toc529967852"/>
      <w:bookmarkEnd w:id="967"/>
      <w:bookmarkStart w:id="968" w:name="_Toc65833893"/>
      <w:bookmarkEnd w:id="968"/>
      <w:bookmarkStart w:id="969" w:name="_Toc499226638"/>
      <w:bookmarkEnd w:id="969"/>
      <w:bookmarkStart w:id="970" w:name="_Toc497398120"/>
      <w:bookmarkEnd w:id="970"/>
      <w:bookmarkStart w:id="971" w:name="_Toc60667569"/>
      <w:bookmarkEnd w:id="971"/>
      <w:bookmarkStart w:id="972" w:name="_Toc499226659"/>
      <w:bookmarkEnd w:id="972"/>
      <w:bookmarkStart w:id="973" w:name="_Toc65831977"/>
      <w:bookmarkEnd w:id="973"/>
      <w:bookmarkStart w:id="974" w:name="_Toc60667575"/>
      <w:bookmarkEnd w:id="974"/>
      <w:bookmarkStart w:id="975" w:name="_Toc497398134"/>
      <w:bookmarkEnd w:id="975"/>
      <w:bookmarkStart w:id="976" w:name="_Toc499226654"/>
      <w:bookmarkEnd w:id="976"/>
      <w:bookmarkStart w:id="977" w:name="_Toc499226625"/>
      <w:bookmarkEnd w:id="977"/>
      <w:bookmarkStart w:id="978" w:name="_Toc531356573"/>
      <w:bookmarkEnd w:id="978"/>
      <w:bookmarkStart w:id="979" w:name="_Toc531356571"/>
      <w:bookmarkEnd w:id="979"/>
      <w:bookmarkStart w:id="980" w:name="_Toc497398105"/>
      <w:bookmarkEnd w:id="980"/>
      <w:bookmarkStart w:id="981" w:name="_Toc60672271"/>
      <w:bookmarkEnd w:id="981"/>
      <w:bookmarkStart w:id="982" w:name="_Toc499226644"/>
      <w:bookmarkEnd w:id="982"/>
      <w:bookmarkStart w:id="983" w:name="_Toc499226656"/>
      <w:bookmarkEnd w:id="983"/>
      <w:bookmarkStart w:id="984" w:name="_Toc60667627"/>
      <w:bookmarkEnd w:id="984"/>
      <w:bookmarkStart w:id="985" w:name="_Toc61962295"/>
      <w:bookmarkEnd w:id="985"/>
      <w:bookmarkStart w:id="986" w:name="_Toc497398118"/>
      <w:bookmarkEnd w:id="986"/>
      <w:bookmarkStart w:id="987" w:name="_Toc60672281"/>
      <w:bookmarkEnd w:id="987"/>
      <w:bookmarkStart w:id="988" w:name="_Toc531356576"/>
      <w:bookmarkEnd w:id="988"/>
      <w:bookmarkStart w:id="989" w:name="_Toc529967853"/>
      <w:bookmarkEnd w:id="989"/>
      <w:bookmarkStart w:id="990" w:name="_Toc62032326"/>
      <w:bookmarkEnd w:id="990"/>
      <w:bookmarkStart w:id="991" w:name="_Toc529967851"/>
      <w:bookmarkEnd w:id="991"/>
      <w:bookmarkStart w:id="992" w:name="_Toc60672285"/>
      <w:bookmarkEnd w:id="992"/>
      <w:bookmarkStart w:id="993" w:name="_Toc60672227"/>
      <w:bookmarkEnd w:id="993"/>
      <w:bookmarkStart w:id="994" w:name="_Toc60667613"/>
      <w:bookmarkEnd w:id="994"/>
      <w:bookmarkStart w:id="995" w:name="_Toc499226633"/>
      <w:bookmarkEnd w:id="995"/>
      <w:bookmarkStart w:id="996" w:name="_Toc60672229"/>
      <w:bookmarkEnd w:id="996"/>
      <w:bookmarkStart w:id="997" w:name="_Toc499226643"/>
      <w:bookmarkEnd w:id="997"/>
      <w:bookmarkStart w:id="998" w:name="_Toc60672266"/>
      <w:bookmarkEnd w:id="998"/>
      <w:bookmarkStart w:id="999" w:name="_Toc531356563"/>
      <w:bookmarkEnd w:id="999"/>
      <w:bookmarkStart w:id="1000" w:name="_Toc499226635"/>
      <w:bookmarkEnd w:id="1000"/>
      <w:bookmarkStart w:id="1001" w:name="_Toc130910321"/>
      <w:bookmarkStart w:id="1002" w:name="_Toc183523082"/>
      <w:bookmarkStart w:id="1003" w:name="_Toc2149"/>
      <w:bookmarkStart w:id="1004" w:name="_Toc16881"/>
      <w:bookmarkStart w:id="1005" w:name="_Toc3006"/>
      <w:bookmarkStart w:id="1006" w:name="_Toc9854"/>
      <w:r>
        <w:rPr>
          <w:rFonts w:ascii="Times New Roman" w:hAnsi="Times New Roman"/>
          <w:color w:val="auto"/>
          <w:szCs w:val="24"/>
        </w:rPr>
        <w:t>附录4：东部肿瘤协作组（ECOG）体力状态评分</w:t>
      </w:r>
      <w:bookmarkEnd w:id="1001"/>
      <w:bookmarkEnd w:id="1002"/>
      <w:bookmarkEnd w:id="1003"/>
      <w:bookmarkEnd w:id="1004"/>
      <w:bookmarkEnd w:id="1005"/>
      <w:bookmarkEnd w:id="1006"/>
    </w:p>
    <w:tbl>
      <w:tblPr>
        <w:tblStyle w:val="4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7"/>
        <w:gridCol w:w="8487"/>
      </w:tblGrid>
      <w:tr w14:paraId="7A5A06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563" w:type="pct"/>
            <w:tcBorders>
              <w:top w:val="single" w:color="auto" w:sz="12" w:space="0"/>
              <w:bottom w:val="single" w:color="auto" w:sz="12" w:space="0"/>
            </w:tcBorders>
            <w:shd w:val="clear" w:color="auto" w:fill="auto"/>
            <w:vAlign w:val="center"/>
          </w:tcPr>
          <w:p w14:paraId="6A7C4A2F">
            <w:pPr>
              <w:jc w:val="center"/>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计分</w:t>
            </w:r>
          </w:p>
        </w:tc>
        <w:tc>
          <w:tcPr>
            <w:tcW w:w="4437" w:type="pct"/>
            <w:tcBorders>
              <w:top w:val="single" w:color="auto" w:sz="12" w:space="0"/>
              <w:bottom w:val="single" w:color="auto" w:sz="12" w:space="0"/>
            </w:tcBorders>
            <w:shd w:val="clear" w:color="auto" w:fill="auto"/>
            <w:vAlign w:val="center"/>
          </w:tcPr>
          <w:p w14:paraId="3D36CCC2">
            <w:pPr>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活动水平</w:t>
            </w:r>
          </w:p>
        </w:tc>
      </w:tr>
      <w:tr w14:paraId="6B5958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563" w:type="pct"/>
            <w:tcBorders>
              <w:top w:val="single" w:color="auto" w:sz="12" w:space="0"/>
            </w:tcBorders>
            <w:shd w:val="clear" w:color="auto" w:fill="auto"/>
            <w:vAlign w:val="center"/>
          </w:tcPr>
          <w:p w14:paraId="6ABBC012">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0</w:t>
            </w:r>
          </w:p>
        </w:tc>
        <w:tc>
          <w:tcPr>
            <w:tcW w:w="4437" w:type="pct"/>
            <w:tcBorders>
              <w:top w:val="single" w:color="auto" w:sz="12" w:space="0"/>
            </w:tcBorders>
            <w:shd w:val="clear" w:color="auto" w:fill="auto"/>
            <w:vAlign w:val="center"/>
          </w:tcPr>
          <w:p w14:paraId="3FC45E10">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完全正常，能毫无限制地进行所有正常活动</w:t>
            </w:r>
          </w:p>
        </w:tc>
      </w:tr>
      <w:tr w14:paraId="1B3B1B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563" w:type="pct"/>
            <w:shd w:val="clear" w:color="auto" w:fill="auto"/>
            <w:vAlign w:val="center"/>
          </w:tcPr>
          <w:p w14:paraId="5DA0C03B">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w:t>
            </w:r>
          </w:p>
        </w:tc>
        <w:tc>
          <w:tcPr>
            <w:tcW w:w="4437" w:type="pct"/>
            <w:shd w:val="clear" w:color="auto" w:fill="auto"/>
            <w:vAlign w:val="center"/>
          </w:tcPr>
          <w:p w14:paraId="7AFB716B">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不能进行剧烈的体力活动，但可以走动，并能从事轻体力活动或办公室工作</w:t>
            </w:r>
          </w:p>
        </w:tc>
      </w:tr>
      <w:tr w14:paraId="1B30A1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563" w:type="pct"/>
            <w:shd w:val="clear" w:color="auto" w:fill="auto"/>
            <w:vAlign w:val="center"/>
          </w:tcPr>
          <w:p w14:paraId="45A7FE9E">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2</w:t>
            </w:r>
          </w:p>
        </w:tc>
        <w:tc>
          <w:tcPr>
            <w:tcW w:w="4437" w:type="pct"/>
            <w:shd w:val="clear" w:color="auto" w:fill="auto"/>
            <w:vAlign w:val="center"/>
          </w:tcPr>
          <w:p w14:paraId="58DFC25F">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可以走动，生活可自理，但不能进行任何工作，白天卧床时间不过50％</w:t>
            </w:r>
          </w:p>
        </w:tc>
      </w:tr>
      <w:tr w14:paraId="77A46B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563" w:type="pct"/>
            <w:shd w:val="clear" w:color="auto" w:fill="auto"/>
            <w:vAlign w:val="center"/>
          </w:tcPr>
          <w:p w14:paraId="33B3C0A0">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3</w:t>
            </w:r>
          </w:p>
        </w:tc>
        <w:tc>
          <w:tcPr>
            <w:tcW w:w="4437" w:type="pct"/>
            <w:shd w:val="clear" w:color="auto" w:fill="auto"/>
            <w:vAlign w:val="center"/>
          </w:tcPr>
          <w:p w14:paraId="11F17865">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生活勉强可以自理，白天超过50％的时间需要卧床或坐在椅子上休息</w:t>
            </w:r>
          </w:p>
        </w:tc>
      </w:tr>
      <w:tr w14:paraId="1443C4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563" w:type="pct"/>
            <w:tcBorders>
              <w:bottom w:val="nil"/>
            </w:tcBorders>
            <w:shd w:val="clear" w:color="auto" w:fill="auto"/>
            <w:vAlign w:val="center"/>
          </w:tcPr>
          <w:p w14:paraId="79CFDD0A">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4</w:t>
            </w:r>
          </w:p>
        </w:tc>
        <w:tc>
          <w:tcPr>
            <w:tcW w:w="4437" w:type="pct"/>
            <w:tcBorders>
              <w:bottom w:val="nil"/>
            </w:tcBorders>
            <w:shd w:val="clear" w:color="auto" w:fill="auto"/>
            <w:vAlign w:val="center"/>
          </w:tcPr>
          <w:p w14:paraId="365FCCE2">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完全丧失活动能力，生活严重不能自理，必须卧床或使用轮椅</w:t>
            </w:r>
          </w:p>
        </w:tc>
      </w:tr>
      <w:tr w14:paraId="0D4F1D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563" w:type="pct"/>
            <w:tcBorders>
              <w:top w:val="nil"/>
              <w:bottom w:val="single" w:color="auto" w:sz="12" w:space="0"/>
            </w:tcBorders>
            <w:shd w:val="clear" w:color="auto" w:fill="auto"/>
            <w:vAlign w:val="center"/>
          </w:tcPr>
          <w:p w14:paraId="06D670DE">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5</w:t>
            </w:r>
          </w:p>
        </w:tc>
        <w:tc>
          <w:tcPr>
            <w:tcW w:w="4437" w:type="pct"/>
            <w:tcBorders>
              <w:top w:val="nil"/>
              <w:bottom w:val="single" w:color="auto" w:sz="12" w:space="0"/>
            </w:tcBorders>
            <w:shd w:val="clear" w:color="auto" w:fill="auto"/>
            <w:vAlign w:val="center"/>
          </w:tcPr>
          <w:p w14:paraId="6BB4AC9E">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死亡</w:t>
            </w:r>
          </w:p>
        </w:tc>
      </w:tr>
    </w:tbl>
    <w:p w14:paraId="2F2CFF97"/>
    <w:p w14:paraId="6C561021">
      <w:r>
        <w:br w:type="page"/>
      </w:r>
    </w:p>
    <w:p w14:paraId="3CB5BEBF">
      <w:pPr>
        <w:pStyle w:val="2"/>
        <w:numPr>
          <w:ilvl w:val="0"/>
          <w:numId w:val="5"/>
        </w:numPr>
        <w:ind w:left="0" w:firstLine="0"/>
        <w:rPr>
          <w:rFonts w:ascii="Times New Roman" w:hAnsi="Times New Roman"/>
          <w:color w:val="auto"/>
          <w:szCs w:val="24"/>
        </w:rPr>
      </w:pPr>
      <w:bookmarkStart w:id="1007" w:name="_Toc106375135"/>
      <w:bookmarkStart w:id="1008" w:name="_Toc183523083"/>
      <w:bookmarkStart w:id="1009" w:name="_Toc23945"/>
      <w:bookmarkStart w:id="1010" w:name="_Toc475469846"/>
      <w:bookmarkStart w:id="1011" w:name="_Toc24614"/>
      <w:bookmarkStart w:id="1012" w:name="_Toc491423915"/>
      <w:bookmarkStart w:id="1013" w:name="_Toc11268"/>
      <w:r>
        <w:rPr>
          <w:rFonts w:ascii="Times New Roman" w:hAnsi="Times New Roman"/>
          <w:color w:val="auto"/>
          <w:szCs w:val="24"/>
        </w:rPr>
        <w:t>参考文献</w:t>
      </w:r>
      <w:bookmarkEnd w:id="1007"/>
      <w:bookmarkEnd w:id="1008"/>
      <w:bookmarkEnd w:id="1009"/>
      <w:bookmarkEnd w:id="1010"/>
      <w:bookmarkEnd w:id="1011"/>
      <w:bookmarkEnd w:id="1012"/>
      <w:bookmarkEnd w:id="1013"/>
    </w:p>
    <w:p w14:paraId="23636980">
      <w:pPr>
        <w:widowControl w:val="0"/>
        <w:numPr>
          <w:ilvl w:val="0"/>
          <w:numId w:val="40"/>
        </w:numPr>
        <w:spacing w:line="360" w:lineRule="auto"/>
        <w:jc w:val="both"/>
      </w:pPr>
      <w:bookmarkStart w:id="1014" w:name="_Ref132199851"/>
      <w:bookmarkStart w:id="1015" w:name="_Ref132199827"/>
      <w:bookmarkStart w:id="1016" w:name="_Hlk152605356"/>
      <w:bookmarkStart w:id="1017" w:name="_Hlk152606297"/>
      <w:bookmarkStart w:id="1018" w:name="OLE_LINK53"/>
      <w:r>
        <w:t>中华人民共和国国家卫生健康委员会.前列腺癌诊疗指南（2022年版）[EB/OL].2022.</w:t>
      </w:r>
      <w:bookmarkEnd w:id="1014"/>
    </w:p>
    <w:p w14:paraId="37D30B3F">
      <w:pPr>
        <w:widowControl w:val="0"/>
        <w:numPr>
          <w:ilvl w:val="0"/>
          <w:numId w:val="40"/>
        </w:numPr>
        <w:wordWrap w:val="0"/>
        <w:spacing w:line="360" w:lineRule="auto"/>
      </w:pPr>
      <w:bookmarkStart w:id="1019" w:name="_Ref181888864"/>
      <w:r>
        <w:rPr>
          <w:rFonts w:hint="eastAsia"/>
        </w:rPr>
        <w:t>郑荣寿</w:t>
      </w:r>
      <w:r>
        <w:t xml:space="preserve">, </w:t>
      </w:r>
      <w:r>
        <w:rPr>
          <w:rFonts w:hint="eastAsia"/>
        </w:rPr>
        <w:t>陈茹</w:t>
      </w:r>
      <w:r>
        <w:t xml:space="preserve">, </w:t>
      </w:r>
      <w:r>
        <w:rPr>
          <w:rFonts w:hint="eastAsia"/>
        </w:rPr>
        <w:t>韩冰峰</w:t>
      </w:r>
      <w:r>
        <w:t xml:space="preserve">, </w:t>
      </w:r>
      <w:r>
        <w:rPr>
          <w:rFonts w:hint="eastAsia"/>
        </w:rPr>
        <w:t>等</w:t>
      </w:r>
      <w:r>
        <w:t>. 2022</w:t>
      </w:r>
      <w:r>
        <w:rPr>
          <w:rFonts w:hint="eastAsia"/>
        </w:rPr>
        <w:t>年中国恶性肿瘤流行情况分析</w:t>
      </w:r>
      <w:r>
        <w:t xml:space="preserve">[J]. </w:t>
      </w:r>
      <w:r>
        <w:rPr>
          <w:rFonts w:hint="eastAsia"/>
        </w:rPr>
        <w:t>中华肿瘤杂志</w:t>
      </w:r>
      <w:r>
        <w:t>, 2024, 46(3):221-231</w:t>
      </w:r>
      <w:bookmarkEnd w:id="1019"/>
    </w:p>
    <w:p w14:paraId="36634F1F">
      <w:pPr>
        <w:widowControl w:val="0"/>
        <w:numPr>
          <w:ilvl w:val="0"/>
          <w:numId w:val="40"/>
        </w:numPr>
        <w:wordWrap w:val="0"/>
        <w:spacing w:line="360" w:lineRule="auto"/>
      </w:pPr>
      <w:bookmarkStart w:id="1020" w:name="_Ref150849550"/>
      <w:r>
        <w:t>李星,曾晓勇.中国前列腺癌流行病学研究进展[J]. 肿瘤防治研究, 2021,48(01):98-102.</w:t>
      </w:r>
      <w:bookmarkEnd w:id="1015"/>
      <w:bookmarkEnd w:id="1020"/>
      <w:bookmarkStart w:id="1021" w:name="_Ref152433085"/>
      <w:bookmarkStart w:id="1022" w:name="_Ref132196088"/>
      <w:bookmarkStart w:id="1023" w:name="_Ref132195986"/>
      <w:bookmarkStart w:id="1024" w:name="_Ref132199899"/>
    </w:p>
    <w:p w14:paraId="1ADF2CEF">
      <w:pPr>
        <w:widowControl w:val="0"/>
        <w:numPr>
          <w:ilvl w:val="0"/>
          <w:numId w:val="40"/>
        </w:numPr>
        <w:wordWrap w:val="0"/>
        <w:spacing w:line="360" w:lineRule="auto"/>
      </w:pPr>
      <w:bookmarkStart w:id="1025" w:name="_Ref175925012"/>
      <w:r>
        <w:t>中国临床肿瘤学会（CSCO）前列腺癌诊疗指南2023年.</w:t>
      </w:r>
      <w:bookmarkEnd w:id="1021"/>
      <w:bookmarkEnd w:id="1025"/>
    </w:p>
    <w:p w14:paraId="7ECB8A0A">
      <w:pPr>
        <w:widowControl w:val="0"/>
        <w:numPr>
          <w:ilvl w:val="0"/>
          <w:numId w:val="40"/>
        </w:numPr>
        <w:wordWrap w:val="0"/>
        <w:spacing w:line="360" w:lineRule="auto"/>
      </w:pPr>
      <w:bookmarkStart w:id="1026" w:name="_Ref175925218"/>
      <w:r>
        <w:t>王印达,李学东.PSMA PET在前列腺癌复发患者诊断及治疗中的应用[J].临床肿瘤学杂志,2021,26(05):460-464</w:t>
      </w:r>
      <w:bookmarkEnd w:id="1026"/>
    </w:p>
    <w:p w14:paraId="617B8AD5">
      <w:pPr>
        <w:widowControl w:val="0"/>
        <w:numPr>
          <w:ilvl w:val="0"/>
          <w:numId w:val="40"/>
        </w:numPr>
        <w:wordWrap w:val="0"/>
        <w:spacing w:line="360" w:lineRule="auto"/>
      </w:pPr>
      <w:bookmarkStart w:id="1027" w:name="_Ref175925364"/>
      <w:r>
        <w:t>刘辰,刘特立,谢卿,刘嘉月,任亚楠,杜鹏,杨勇,杨志. Al</w:t>
      </w:r>
      <w:r>
        <w:rPr>
          <w:vertAlign w:val="superscript"/>
        </w:rPr>
        <w:t>18</w:t>
      </w:r>
      <w:r>
        <w:t>F－PSMA－BCH PET/CT对前列腺癌根治性切除术后早期复发的检测效能研究[J].中华核医学与分子影像杂志,2023,43(4):196-200.</w:t>
      </w:r>
      <w:bookmarkEnd w:id="1027"/>
    </w:p>
    <w:p w14:paraId="5B89E81E">
      <w:pPr>
        <w:widowControl w:val="0"/>
        <w:numPr>
          <w:ilvl w:val="0"/>
          <w:numId w:val="40"/>
        </w:numPr>
        <w:wordWrap w:val="0"/>
        <w:spacing w:line="360" w:lineRule="auto"/>
      </w:pPr>
      <w:bookmarkStart w:id="1028" w:name="_Ref181890259"/>
      <w:r>
        <w:t>Roach M 3rd, Hanks G, Thames H Jr, et al. Defining biochemical failure following radiotherapy with or without hormonal therapy in men with clinically localized prostate cancer: recommendations of the RTOG-ASTRO Phoenix Consensus Conference. Int J Radiat Oncol Biol Phys. 2006;65(4):965-974.</w:t>
      </w:r>
      <w:bookmarkEnd w:id="1028"/>
    </w:p>
    <w:p w14:paraId="549A9F76">
      <w:pPr>
        <w:widowControl w:val="0"/>
        <w:numPr>
          <w:ilvl w:val="0"/>
          <w:numId w:val="40"/>
        </w:numPr>
        <w:wordWrap w:val="0"/>
        <w:spacing w:line="360" w:lineRule="auto"/>
      </w:pPr>
      <w:bookmarkStart w:id="1029" w:name="_Ref183518628"/>
      <w:bookmarkStart w:id="1030" w:name="_Ref150952974"/>
      <w:r>
        <w:rPr>
          <w:rFonts w:hint="eastAsia"/>
        </w:rPr>
        <w:t>李曾</w:t>
      </w:r>
      <w:r>
        <w:t>,</w:t>
      </w:r>
      <w:r>
        <w:rPr>
          <w:rFonts w:hint="eastAsia"/>
        </w:rPr>
        <w:t>吴毅</w:t>
      </w:r>
      <w:r>
        <w:t>,</w:t>
      </w:r>
      <w:r>
        <w:rPr>
          <w:rFonts w:hint="eastAsia"/>
        </w:rPr>
        <w:t>程祝忠</w:t>
      </w:r>
      <w:r>
        <w:t>,</w:t>
      </w:r>
      <w:r>
        <w:rPr>
          <w:rFonts w:hint="eastAsia"/>
        </w:rPr>
        <w:t>等</w:t>
      </w:r>
      <w:r>
        <w:t>.18F-PSMA-1007 PET/CT</w:t>
      </w:r>
      <w:r>
        <w:rPr>
          <w:rFonts w:hint="eastAsia"/>
        </w:rPr>
        <w:t>对前列腺癌根治术后生化复发患者早期诊断评估和临床治疗决策影响的价值研究</w:t>
      </w:r>
      <w:r>
        <w:t>[J].</w:t>
      </w:r>
      <w:r>
        <w:rPr>
          <w:rFonts w:hint="eastAsia"/>
        </w:rPr>
        <w:t>中国癌症杂志</w:t>
      </w:r>
      <w:r>
        <w:t>,2021,31(11):1081-1087</w:t>
      </w:r>
      <w:bookmarkEnd w:id="1029"/>
    </w:p>
    <w:p w14:paraId="4AE46688">
      <w:pPr>
        <w:widowControl w:val="0"/>
        <w:numPr>
          <w:ilvl w:val="0"/>
          <w:numId w:val="40"/>
        </w:numPr>
        <w:wordWrap w:val="0"/>
        <w:spacing w:line="360" w:lineRule="auto"/>
      </w:pPr>
      <w:bookmarkStart w:id="1031" w:name="_Ref176535350"/>
      <w:r>
        <w:t>冯朝燕, 张配配, 闵祥德. 磁共振成像预测前列腺癌根治术后生化复发的研究进展[J]. 磁共振成像, 2023, 14(5): 186-190, 202.</w:t>
      </w:r>
      <w:bookmarkEnd w:id="1031"/>
    </w:p>
    <w:p w14:paraId="373E4221">
      <w:pPr>
        <w:widowControl w:val="0"/>
        <w:numPr>
          <w:ilvl w:val="0"/>
          <w:numId w:val="40"/>
        </w:numPr>
        <w:wordWrap w:val="0"/>
        <w:spacing w:line="360" w:lineRule="auto"/>
      </w:pPr>
      <w:bookmarkStart w:id="1032" w:name="_Ref176535768"/>
      <w:r>
        <w:rPr>
          <w:lang w:val="nb-NO"/>
        </w:rPr>
        <w:t xml:space="preserve">De Visschere PJL, Standaert C, Fütterer JJ, et al. </w:t>
      </w:r>
      <w:r>
        <w:t>A Systematic Review on the Role of Imaging in Early Recurrent Prostate Cancer. Eur Urol Oncol. 2019 Feb;2(1):47-76.</w:t>
      </w:r>
      <w:bookmarkEnd w:id="1032"/>
    </w:p>
    <w:p w14:paraId="6A7BB3D8">
      <w:pPr>
        <w:widowControl w:val="0"/>
        <w:numPr>
          <w:ilvl w:val="0"/>
          <w:numId w:val="40"/>
        </w:numPr>
        <w:wordWrap w:val="0"/>
        <w:spacing w:line="360" w:lineRule="auto"/>
      </w:pPr>
      <w:bookmarkStart w:id="1033" w:name="_Ref176537177"/>
      <w:r>
        <w:t>中华医学会泌尿外科学分会，中国前列腺癌研究协作组（CPCC）. 根治性前列腺切除术后生化复发的高危患者诊治共识（2024年版）[J].中华泌尿外科杂志，2024，45（6）：409-415.</w:t>
      </w:r>
      <w:bookmarkEnd w:id="1033"/>
    </w:p>
    <w:p w14:paraId="26AF46BA">
      <w:pPr>
        <w:widowControl w:val="0"/>
        <w:numPr>
          <w:ilvl w:val="0"/>
          <w:numId w:val="40"/>
        </w:numPr>
        <w:wordWrap w:val="0"/>
        <w:spacing w:line="360" w:lineRule="auto"/>
      </w:pPr>
      <w:bookmarkStart w:id="1034" w:name="_Ref176535817"/>
      <w:r>
        <w:t>NCCN Clinical Practice Guidelines in Oncology (NCCN Guidelines</w:t>
      </w:r>
      <w:r>
        <w:rPr>
          <w:vertAlign w:val="superscript"/>
        </w:rPr>
        <w:t>®</w:t>
      </w:r>
      <w:r>
        <w:t>)Prostate Cancer Version 4.2024.</w:t>
      </w:r>
      <w:bookmarkEnd w:id="1030"/>
      <w:bookmarkEnd w:id="1034"/>
    </w:p>
    <w:bookmarkEnd w:id="1016"/>
    <w:p w14:paraId="2D391E92">
      <w:pPr>
        <w:widowControl w:val="0"/>
        <w:numPr>
          <w:ilvl w:val="0"/>
          <w:numId w:val="40"/>
        </w:numPr>
        <w:wordWrap w:val="0"/>
        <w:spacing w:line="360" w:lineRule="auto"/>
      </w:pPr>
      <w:bookmarkStart w:id="1035" w:name="_Ref156979667"/>
      <w:bookmarkStart w:id="1036" w:name="_Ref152433768"/>
      <w:bookmarkStart w:id="1037" w:name="_Ref152667745"/>
      <w:bookmarkStart w:id="1038" w:name="_Ref132196048"/>
      <w:bookmarkStart w:id="1039" w:name="_Ref152434211"/>
      <w:bookmarkStart w:id="1040" w:name="_Ref152598686"/>
      <w:bookmarkStart w:id="1041" w:name="_Ref151719082"/>
      <w:bookmarkStart w:id="1042" w:name="_Hlk152605885"/>
      <w:r>
        <w:rPr>
          <w:lang w:val="nb-NO"/>
        </w:rPr>
        <w:t xml:space="preserve">Fendler WP, Calais J, Eiber M, et al. </w:t>
      </w:r>
      <w:r>
        <w:t xml:space="preserve">Assessment of </w:t>
      </w:r>
      <w:r>
        <w:rPr>
          <w:vertAlign w:val="superscript"/>
        </w:rPr>
        <w:t>68</w:t>
      </w:r>
      <w:r>
        <w:t>Ga-PSMA-11 PET Accuracy in Localizing Recurrent Prostate Cancer: A Prospective Single-Arm Clinical Trial. JAMA Oncol. 2019 Jun 1;5(6):856-863.</w:t>
      </w:r>
      <w:bookmarkEnd w:id="1035"/>
    </w:p>
    <w:p w14:paraId="03568815">
      <w:pPr>
        <w:widowControl w:val="0"/>
        <w:numPr>
          <w:ilvl w:val="0"/>
          <w:numId w:val="40"/>
        </w:numPr>
        <w:wordWrap w:val="0"/>
        <w:spacing w:line="360" w:lineRule="auto"/>
      </w:pPr>
      <w:bookmarkStart w:id="1043" w:name="_Ref156979688"/>
      <w:r>
        <w:rPr>
          <w:lang w:val="nb-NO"/>
        </w:rPr>
        <w:t xml:space="preserve">Morris MJ, Rowe SP, Gorin MA, et al. </w:t>
      </w:r>
      <w:r>
        <w:t xml:space="preserve">Diagnostic Performance of </w:t>
      </w:r>
      <w:r>
        <w:rPr>
          <w:vertAlign w:val="superscript"/>
        </w:rPr>
        <w:t>18</w:t>
      </w:r>
      <w:r>
        <w:t>F-DCFPyL-PET/CT in Men with Biochemically Recurrent Prostate Cancer: Results from the CONDOR Phase Ⅲ, Multicenter Study. Clin Cancer Res. 2021 Jul 1;27(13):3674-3682.</w:t>
      </w:r>
      <w:bookmarkEnd w:id="1043"/>
    </w:p>
    <w:p w14:paraId="29AF3438">
      <w:pPr>
        <w:widowControl w:val="0"/>
        <w:numPr>
          <w:ilvl w:val="0"/>
          <w:numId w:val="40"/>
        </w:numPr>
        <w:wordWrap w:val="0"/>
        <w:spacing w:line="360" w:lineRule="auto"/>
      </w:pPr>
      <w:bookmarkStart w:id="1044" w:name="_Ref156981180"/>
      <w:r>
        <w:t>包森林,红华. 前列腺癌分子影像学诊断与治疗进展[J]. 分子影像学杂志, 2021, 44 (02): 396-399.</w:t>
      </w:r>
      <w:bookmarkEnd w:id="1036"/>
      <w:bookmarkEnd w:id="1037"/>
      <w:bookmarkEnd w:id="1038"/>
      <w:bookmarkEnd w:id="1039"/>
      <w:bookmarkEnd w:id="1044"/>
    </w:p>
    <w:p w14:paraId="417310BA">
      <w:pPr>
        <w:widowControl w:val="0"/>
        <w:numPr>
          <w:ilvl w:val="0"/>
          <w:numId w:val="40"/>
        </w:numPr>
        <w:wordWrap w:val="0"/>
        <w:spacing w:line="360" w:lineRule="auto"/>
      </w:pPr>
      <w:bookmarkStart w:id="1045" w:name="_Ref152667747"/>
      <w:r>
        <w:t xml:space="preserve">Jadvar H. Prostate cancer: PET with </w:t>
      </w:r>
      <w:r>
        <w:rPr>
          <w:vertAlign w:val="superscript"/>
        </w:rPr>
        <w:t>18</w:t>
      </w:r>
      <w:r>
        <w:t xml:space="preserve">F-FDG, </w:t>
      </w:r>
      <w:r>
        <w:rPr>
          <w:vertAlign w:val="superscript"/>
        </w:rPr>
        <w:t>18</w:t>
      </w:r>
      <w:r>
        <w:t xml:space="preserve">F- or </w:t>
      </w:r>
      <w:r>
        <w:rPr>
          <w:vertAlign w:val="superscript"/>
        </w:rPr>
        <w:t>11</w:t>
      </w:r>
      <w:r>
        <w:t xml:space="preserve">C-Acetate, and </w:t>
      </w:r>
      <w:r>
        <w:rPr>
          <w:vertAlign w:val="superscript"/>
        </w:rPr>
        <w:t>18</w:t>
      </w:r>
      <w:r>
        <w:t xml:space="preserve">F- or </w:t>
      </w:r>
      <w:r>
        <w:rPr>
          <w:vertAlign w:val="superscript"/>
        </w:rPr>
        <w:t>11</w:t>
      </w:r>
      <w:r>
        <w:t>C-Choline. J Nucl Med. 2011 Jan;52(1):81-89.</w:t>
      </w:r>
      <w:bookmarkEnd w:id="1045"/>
    </w:p>
    <w:p w14:paraId="765574E0">
      <w:pPr>
        <w:widowControl w:val="0"/>
        <w:numPr>
          <w:ilvl w:val="0"/>
          <w:numId w:val="40"/>
        </w:numPr>
        <w:wordWrap w:val="0"/>
        <w:spacing w:line="360" w:lineRule="auto"/>
      </w:pPr>
      <w:bookmarkStart w:id="1046" w:name="_Ref152761073"/>
      <w:bookmarkStart w:id="1047" w:name="_Ref151737412"/>
      <w:r>
        <w:t>莫奕文等.</w:t>
      </w:r>
      <w:bookmarkStart w:id="1048" w:name="OLE_LINK15"/>
      <w:r>
        <w:t>PSMA分子靶向探针在前列腺癌诊疗中的应用及研究进展</w:t>
      </w:r>
      <w:bookmarkEnd w:id="1048"/>
      <w:r>
        <w:t>。[J].肿瘤影像学. 2023; 32(3).</w:t>
      </w:r>
      <w:bookmarkEnd w:id="1046"/>
    </w:p>
    <w:p w14:paraId="4771B640">
      <w:pPr>
        <w:widowControl w:val="0"/>
        <w:numPr>
          <w:ilvl w:val="0"/>
          <w:numId w:val="40"/>
        </w:numPr>
        <w:wordWrap w:val="0"/>
        <w:spacing w:line="360" w:lineRule="auto"/>
      </w:pPr>
      <w:bookmarkStart w:id="1049" w:name="_Ref152762013"/>
      <w:r>
        <w:t>周文瑶,张俊.前列腺癌PSMA PET显像剂研究进展[J].中华核医学与分子影像杂志,2020,40(12):755-760.</w:t>
      </w:r>
      <w:bookmarkEnd w:id="1049"/>
    </w:p>
    <w:p w14:paraId="70699F45">
      <w:pPr>
        <w:widowControl w:val="0"/>
        <w:numPr>
          <w:ilvl w:val="0"/>
          <w:numId w:val="40"/>
        </w:numPr>
        <w:wordWrap w:val="0"/>
        <w:spacing w:line="360" w:lineRule="auto"/>
      </w:pPr>
      <w:bookmarkStart w:id="1050" w:name="_Ref152762065"/>
      <w:r>
        <w:t>王卓楠,吴开杰,郑安琪等.</w:t>
      </w:r>
      <w:r>
        <w:rPr>
          <w:vertAlign w:val="superscript"/>
        </w:rPr>
        <w:t>18</w:t>
      </w:r>
      <w:r>
        <w:t>F-PSMA PET/CT在前列腺癌诊断与预后预测中的价值初探</w:t>
      </w:r>
      <w:bookmarkStart w:id="1051" w:name="OLE_LINK4"/>
      <w:r>
        <w:t>[J].</w:t>
      </w:r>
      <w:bookmarkEnd w:id="1051"/>
      <w:r>
        <w:t>现代泌尿外科杂志,2021,26(04):305-308.</w:t>
      </w:r>
      <w:bookmarkEnd w:id="1047"/>
      <w:bookmarkEnd w:id="1050"/>
    </w:p>
    <w:p w14:paraId="1F101B18">
      <w:pPr>
        <w:widowControl w:val="0"/>
        <w:numPr>
          <w:ilvl w:val="0"/>
          <w:numId w:val="40"/>
        </w:numPr>
        <w:wordWrap w:val="0"/>
        <w:spacing w:line="360" w:lineRule="auto"/>
      </w:pPr>
      <w:bookmarkStart w:id="1052" w:name="_Ref132196243"/>
      <w:bookmarkStart w:id="1053" w:name="_Ref150862346"/>
      <w:bookmarkStart w:id="1054" w:name="_Ref152667833"/>
      <w:r>
        <w:t>高泳.前列腺癌的影像学诊断进展[J].中国医学创新,2021,18(36):180-183.</w:t>
      </w:r>
      <w:bookmarkEnd w:id="1052"/>
    </w:p>
    <w:bookmarkEnd w:id="1022"/>
    <w:bookmarkEnd w:id="1023"/>
    <w:bookmarkEnd w:id="1040"/>
    <w:bookmarkEnd w:id="1041"/>
    <w:bookmarkEnd w:id="1053"/>
    <w:bookmarkEnd w:id="1054"/>
    <w:p w14:paraId="47EC3977">
      <w:pPr>
        <w:widowControl w:val="0"/>
        <w:numPr>
          <w:ilvl w:val="0"/>
          <w:numId w:val="40"/>
        </w:numPr>
        <w:wordWrap w:val="0"/>
        <w:spacing w:line="360" w:lineRule="auto"/>
      </w:pPr>
      <w:bookmarkStart w:id="1055" w:name="_Ref141955146"/>
      <w:bookmarkStart w:id="1056" w:name="_Ref151719437"/>
      <w:bookmarkStart w:id="1057" w:name="_Ref151993340"/>
      <w:bookmarkStart w:id="1058" w:name="_Ref150866134"/>
      <w:bookmarkStart w:id="1059" w:name="_Ref141955122"/>
      <w:bookmarkStart w:id="1060" w:name="_Hlk112846438"/>
      <w:bookmarkStart w:id="1061" w:name="_Ref132196066"/>
      <w:r>
        <w:rPr>
          <w:lang w:val="nb-NO"/>
        </w:rPr>
        <w:t xml:space="preserve">Fendler WP, Eiber M, Beheshti M, et al. </w:t>
      </w:r>
      <w:bookmarkStart w:id="1062" w:name="OLE_LINK1"/>
      <w:r>
        <w:t>PSMA PET/CT: joint EANM procedure guideline/SNMMI procedure standard for prostate cancer imaging 2.0.</w:t>
      </w:r>
      <w:bookmarkEnd w:id="1062"/>
      <w:r>
        <w:t xml:space="preserve"> Eur J Nucl Med Mol Imaging. 2023;50(5):1466-1486.</w:t>
      </w:r>
      <w:bookmarkEnd w:id="1055"/>
    </w:p>
    <w:bookmarkEnd w:id="1017"/>
    <w:bookmarkEnd w:id="1042"/>
    <w:p w14:paraId="4C656A96">
      <w:pPr>
        <w:widowControl w:val="0"/>
        <w:numPr>
          <w:ilvl w:val="0"/>
          <w:numId w:val="40"/>
        </w:numPr>
        <w:wordWrap w:val="0"/>
        <w:spacing w:line="360" w:lineRule="auto"/>
      </w:pPr>
      <w:bookmarkStart w:id="1063" w:name="_Ref156979700"/>
      <w:bookmarkStart w:id="1064" w:name="_Ref152434395"/>
      <w:r>
        <w:t>Lawal IO, Ndlovu H, Kgatle M, et al. Prognostic Value of PSMA PET/CT in Prostate Cancer. Semin Nucl Med. 2024 Jan;54(1):46-59.</w:t>
      </w:r>
      <w:bookmarkEnd w:id="1063"/>
    </w:p>
    <w:p w14:paraId="69B6ECF5">
      <w:pPr>
        <w:widowControl w:val="0"/>
        <w:numPr>
          <w:ilvl w:val="0"/>
          <w:numId w:val="40"/>
        </w:numPr>
        <w:wordWrap w:val="0"/>
        <w:spacing w:line="360" w:lineRule="auto"/>
      </w:pPr>
      <w:bookmarkStart w:id="1065" w:name="_Ref156981580"/>
      <w:r>
        <w:t>朱斌,刘畅,许晓平等.</w:t>
      </w:r>
      <w:r>
        <w:rPr>
          <w:vertAlign w:val="superscript"/>
        </w:rPr>
        <w:t>18</w:t>
      </w:r>
      <w:r>
        <w:t>F-PSMA-1007 PET/CT和mpMRI在前列腺癌原发灶检测及病灶腺体内定位的对比研究.</w:t>
      </w:r>
      <w:bookmarkEnd w:id="1056"/>
      <w:r>
        <w:t>肿瘤影像学,2023,32(3):226-236.</w:t>
      </w:r>
      <w:bookmarkEnd w:id="1057"/>
      <w:bookmarkEnd w:id="1064"/>
      <w:bookmarkEnd w:id="1065"/>
    </w:p>
    <w:p w14:paraId="29AD657F">
      <w:pPr>
        <w:widowControl w:val="0"/>
        <w:numPr>
          <w:ilvl w:val="0"/>
          <w:numId w:val="40"/>
        </w:numPr>
        <w:wordWrap w:val="0"/>
        <w:spacing w:line="360" w:lineRule="auto"/>
      </w:pPr>
      <w:bookmarkStart w:id="1066" w:name="_Ref151737363"/>
      <w:bookmarkStart w:id="1067" w:name="_Ref151719751"/>
      <w:r>
        <w:t>POSLUMA（flotufolastat F 18）: Multi-Disciplinary Review and Evaluation &lt;NDA 216023&gt;. FDA, 2023.</w:t>
      </w:r>
      <w:bookmarkEnd w:id="1066"/>
    </w:p>
    <w:p w14:paraId="7C1B8197">
      <w:pPr>
        <w:widowControl w:val="0"/>
        <w:numPr>
          <w:ilvl w:val="0"/>
          <w:numId w:val="40"/>
        </w:numPr>
        <w:wordWrap w:val="0"/>
        <w:spacing w:line="360" w:lineRule="auto"/>
      </w:pPr>
      <w:bookmarkStart w:id="1068" w:name="_Ref152434469"/>
      <w:r>
        <w:rPr>
          <w:lang w:eastAsia="zh-TW"/>
        </w:rPr>
        <w:t>PYLARIFY（piflufolastat F 18）</w:t>
      </w:r>
      <w:r>
        <w:t>Multi-Disciplinary Review and Evaluation &lt;NDA 214793&gt;. FDA, 2021.</w:t>
      </w:r>
      <w:bookmarkEnd w:id="1068"/>
    </w:p>
    <w:p w14:paraId="4647707F">
      <w:pPr>
        <w:widowControl w:val="0"/>
        <w:numPr>
          <w:ilvl w:val="0"/>
          <w:numId w:val="40"/>
        </w:numPr>
        <w:wordWrap w:val="0"/>
        <w:spacing w:line="360" w:lineRule="auto"/>
      </w:pPr>
      <w:bookmarkStart w:id="1069" w:name="_Ref151737374"/>
      <w:r>
        <w:rPr>
          <w:vertAlign w:val="superscript"/>
        </w:rPr>
        <w:t>68</w:t>
      </w:r>
      <w:r>
        <w:t>Ga-PSMA-11: Multi-Disciplinary Review and Evaluation &lt;NDA 212642&gt;. FDA, 2020.</w:t>
      </w:r>
      <w:bookmarkEnd w:id="1069"/>
    </w:p>
    <w:bookmarkEnd w:id="1058"/>
    <w:bookmarkEnd w:id="1059"/>
    <w:bookmarkEnd w:id="1067"/>
    <w:p w14:paraId="3DB38EAE">
      <w:pPr>
        <w:widowControl w:val="0"/>
        <w:numPr>
          <w:ilvl w:val="0"/>
          <w:numId w:val="40"/>
        </w:numPr>
        <w:wordWrap w:val="0"/>
        <w:spacing w:line="360" w:lineRule="auto"/>
      </w:pPr>
      <w:bookmarkStart w:id="1070" w:name="_Ref152254149"/>
      <w:bookmarkStart w:id="1071" w:name="_Ref150865909"/>
      <w:r>
        <w:t xml:space="preserve">Berger I, Annabattula C, Lewis J, et al. </w:t>
      </w:r>
      <w:r>
        <w:rPr>
          <w:vertAlign w:val="superscript"/>
        </w:rPr>
        <w:t>68</w:t>
      </w:r>
      <w:r>
        <w:t xml:space="preserve">Ga-PSMA PET/CT vs. mpMRI for locoregional prostate cancer staging: correlation with final histopathology. </w:t>
      </w:r>
      <w:bookmarkStart w:id="1072" w:name="OLE_LINK47"/>
      <w:r>
        <w:t>Prostate Cancer</w:t>
      </w:r>
      <w:bookmarkEnd w:id="1072"/>
      <w:r>
        <w:t xml:space="preserve"> Prostatic Dis 21, 204–211 (2018).</w:t>
      </w:r>
      <w:bookmarkEnd w:id="1070"/>
    </w:p>
    <w:p w14:paraId="2C757B2F">
      <w:pPr>
        <w:widowControl w:val="0"/>
        <w:numPr>
          <w:ilvl w:val="0"/>
          <w:numId w:val="40"/>
        </w:numPr>
        <w:wordWrap w:val="0"/>
        <w:spacing w:line="360" w:lineRule="auto"/>
      </w:pPr>
      <w:bookmarkStart w:id="1073" w:name="_Ref152319102"/>
      <w:r>
        <w:t xml:space="preserve">Duan X, Cao Z, Zhu H, et al. </w:t>
      </w:r>
      <w:r>
        <w:rPr>
          <w:vertAlign w:val="superscript"/>
        </w:rPr>
        <w:t>68</w:t>
      </w:r>
      <w:r>
        <w:t>Ga-labeled ODAP-Urea-based PSMA agents in prostate cancer: first-in-human imaging of an optimized agent. Eur J Nucl Med Mol Imaging. 2022 Feb;49(3):1030-1040.</w:t>
      </w:r>
      <w:bookmarkEnd w:id="1073"/>
    </w:p>
    <w:p w14:paraId="320388FA">
      <w:pPr>
        <w:widowControl w:val="0"/>
        <w:numPr>
          <w:ilvl w:val="0"/>
          <w:numId w:val="40"/>
        </w:numPr>
        <w:wordWrap w:val="0"/>
        <w:spacing w:line="360" w:lineRule="auto"/>
      </w:pPr>
      <w:bookmarkStart w:id="1074" w:name="_Ref152504051"/>
      <w:r>
        <w:t>POSLUMA（flotufolastat F 18）说明书. FDA, 2023.</w:t>
      </w:r>
      <w:bookmarkEnd w:id="1074"/>
    </w:p>
    <w:p w14:paraId="4CAA9C90">
      <w:pPr>
        <w:widowControl w:val="0"/>
        <w:numPr>
          <w:ilvl w:val="0"/>
          <w:numId w:val="40"/>
        </w:numPr>
        <w:wordWrap w:val="0"/>
        <w:spacing w:line="360" w:lineRule="auto"/>
      </w:pPr>
      <w:bookmarkStart w:id="1075" w:name="_Ref152504055"/>
      <w:r>
        <w:rPr>
          <w:lang w:eastAsia="zh-TW"/>
        </w:rPr>
        <w:t>PYLARIFY（piflufolastat F 18）</w:t>
      </w:r>
      <w:r>
        <w:t>说明书. FDA, 2021.</w:t>
      </w:r>
      <w:bookmarkEnd w:id="1075"/>
    </w:p>
    <w:p w14:paraId="48450D90">
      <w:pPr>
        <w:widowControl w:val="0"/>
        <w:numPr>
          <w:ilvl w:val="0"/>
          <w:numId w:val="40"/>
        </w:numPr>
        <w:wordWrap w:val="0"/>
        <w:spacing w:line="360" w:lineRule="auto"/>
      </w:pPr>
      <w:bookmarkStart w:id="1076" w:name="_Ref152504045"/>
      <w:r>
        <w:rPr>
          <w:vertAlign w:val="superscript"/>
        </w:rPr>
        <w:t>68</w:t>
      </w:r>
      <w:r>
        <w:t>Ga-PSMA-11说明书. FDA, 2021.</w:t>
      </w:r>
      <w:bookmarkEnd w:id="1018"/>
      <w:bookmarkEnd w:id="1024"/>
      <w:bookmarkEnd w:id="1060"/>
      <w:bookmarkEnd w:id="1061"/>
      <w:bookmarkEnd w:id="1071"/>
      <w:bookmarkEnd w:id="1076"/>
    </w:p>
    <w:p w14:paraId="1C263192">
      <w:pPr>
        <w:widowControl w:val="0"/>
        <w:wordWrap w:val="0"/>
        <w:spacing w:line="360" w:lineRule="auto"/>
        <w:ind w:left="284"/>
      </w:pPr>
    </w:p>
    <w:sectPr>
      <w:pgSz w:w="11900" w:h="16840"/>
      <w:pgMar w:top="1701" w:right="1134" w:bottom="1134" w:left="1418" w:header="907" w:footer="850" w:gutter="0"/>
      <w:cols w:space="720" w:num="1"/>
      <w:docGrid w:type="linesAndChar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onospace">
    <w:altName w:val="Times New Roman"/>
    <w:panose1 w:val="00000000000000000000"/>
    <w:charset w:val="00"/>
    <w:family w:val="auto"/>
    <w:pitch w:val="default"/>
    <w:sig w:usb0="00000000" w:usb1="00000000" w:usb2="00000000" w:usb3="00000000" w:csb0="00000000"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HYa6gj">
    <w:altName w:val="Times New Roman"/>
    <w:panose1 w:val="00000000000000000000"/>
    <w:charset w:val="00"/>
    <w:family w:val="roman"/>
    <w:pitch w:val="default"/>
    <w:sig w:usb0="00000000" w:usb1="00000000" w:usb2="00000000" w:usb3="00000000" w:csb0="00000000" w:csb1="00000000"/>
  </w:font>
  <w:font w:name="Arial-BoldItalicMT">
    <w:altName w:val="Arial"/>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9B844">
    <w:pPr>
      <w:pStyle w:val="26"/>
      <w:pBdr>
        <w:top w:val="single" w:color="auto" w:sz="4" w:space="1"/>
      </w:pBdr>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p w14:paraId="753EBA01">
    <w:pPr>
      <w:pStyle w:val="2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E65FD">
    <w:pPr>
      <w:pStyle w:val="27"/>
      <w:pBdr>
        <w:bottom w:val="single" w:color="auto" w:sz="4" w:space="1"/>
      </w:pBdr>
    </w:pPr>
    <w:r>
      <w:rPr>
        <w:rFonts w:ascii="Times New Roman" w:hAnsi="Times New Roman" w:cs="Times New Roman"/>
      </w:rPr>
      <w:t>云核医药（天津）有限公司</w:t>
    </w:r>
    <w:r>
      <w:rPr>
        <w:rFonts w:hint="eastAsia" w:ascii="Times New Roman" w:hAnsi="Times New Roman" w:cs="Times New Roman"/>
      </w:rPr>
      <w:t>（方案编号：</w:t>
    </w:r>
    <w:r>
      <w:rPr>
        <w:rFonts w:ascii="Times New Roman" w:hAnsi="Times New Roman" w:cs="Times New Roman"/>
      </w:rPr>
      <w:t>INR101</w:t>
    </w:r>
    <w:r>
      <w:rPr>
        <w:rFonts w:hint="eastAsia" w:ascii="Times New Roman" w:hAnsi="Times New Roman" w:cs="Times New Roman"/>
      </w:rPr>
      <w:t>-III-01）</w:t>
    </w:r>
    <w:r>
      <w:rPr>
        <w:rFonts w:ascii="Times New Roman" w:hAnsi="Times New Roman" w:cs="Times New Roman"/>
      </w:rPr>
      <w:t xml:space="preserve"> </w:t>
    </w:r>
    <w:r>
      <w:rPr>
        <w:rFonts w:ascii="Times New Roman" w:hAnsi="Times New Roman" w:cs="Times New Roman"/>
      </w:rPr>
      <w:ptab w:relativeTo="margin" w:alignment="right" w:leader="none"/>
    </w:r>
    <w:r>
      <w:rPr>
        <w:rFonts w:hint="eastAsia" w:ascii="Times New Roman" w:hAnsi="Times New Roman" w:cs="Times New Roman"/>
      </w:rPr>
      <w:t>版本号/版本日期：1.3/2025-06-</w:t>
    </w:r>
    <w:r>
      <w:rPr>
        <w:rFonts w:hint="eastAsia" w:ascii="Times New Roman" w:hAnsi="Times New Roman" w:cs="Times New Roman"/>
        <w:lang w:val="en-US" w:eastAsia="zh-CN"/>
      </w:rPr>
      <w:t>13</w:t>
    </w:r>
    <w:r>
      <w:rPr>
        <w:rFonts w:ascii="Times New Roman" w:hAnsi="Times New Roman" w:cs="Times New Roman"/>
        <w:b/>
        <w:bC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FAA85C"/>
    <w:multiLevelType w:val="multilevel"/>
    <w:tmpl w:val="9CFAA85C"/>
    <w:lvl w:ilvl="0" w:tentative="0">
      <w:start w:val="1"/>
      <w:numFmt w:val="bullet"/>
      <w:lvlText w:val=""/>
      <w:lvlJc w:val="left"/>
      <w:pPr>
        <w:ind w:left="440" w:hanging="440"/>
      </w:pPr>
      <w:rPr>
        <w:rFonts w:hint="default" w:ascii="Wingdings" w:hAnsi="Wingdings" w:cs="Wingdings"/>
      </w:rPr>
    </w:lvl>
    <w:lvl w:ilvl="1" w:tentative="0">
      <w:start w:val="1"/>
      <w:numFmt w:val="bullet"/>
      <w:lvlText w:val=""/>
      <w:lvlJc w:val="left"/>
      <w:pPr>
        <w:ind w:left="880" w:hanging="440"/>
      </w:pPr>
      <w:rPr>
        <w:rFonts w:hint="default" w:ascii="Wingdings" w:hAnsi="Wingdings" w:cs="Wingdings"/>
      </w:rPr>
    </w:lvl>
    <w:lvl w:ilvl="2" w:tentative="0">
      <w:start w:val="1"/>
      <w:numFmt w:val="bullet"/>
      <w:lvlText w:val=""/>
      <w:lvlJc w:val="left"/>
      <w:pPr>
        <w:ind w:left="1320" w:hanging="440"/>
      </w:pPr>
      <w:rPr>
        <w:rFonts w:hint="default" w:ascii="Wingdings" w:hAnsi="Wingdings" w:cs="Wingdings"/>
      </w:rPr>
    </w:lvl>
    <w:lvl w:ilvl="3" w:tentative="0">
      <w:start w:val="1"/>
      <w:numFmt w:val="bullet"/>
      <w:lvlText w:val=""/>
      <w:lvlJc w:val="left"/>
      <w:pPr>
        <w:ind w:left="1760" w:hanging="440"/>
      </w:pPr>
      <w:rPr>
        <w:rFonts w:hint="default" w:ascii="Wingdings" w:hAnsi="Wingdings" w:cs="Wingdings"/>
      </w:rPr>
    </w:lvl>
    <w:lvl w:ilvl="4" w:tentative="0">
      <w:start w:val="1"/>
      <w:numFmt w:val="bullet"/>
      <w:lvlText w:val=""/>
      <w:lvlJc w:val="left"/>
      <w:pPr>
        <w:ind w:left="2200" w:hanging="440"/>
      </w:pPr>
      <w:rPr>
        <w:rFonts w:hint="default" w:ascii="Wingdings" w:hAnsi="Wingdings" w:cs="Wingdings"/>
      </w:rPr>
    </w:lvl>
    <w:lvl w:ilvl="5" w:tentative="0">
      <w:start w:val="1"/>
      <w:numFmt w:val="bullet"/>
      <w:lvlText w:val=""/>
      <w:lvlJc w:val="left"/>
      <w:pPr>
        <w:ind w:left="2640" w:hanging="440"/>
      </w:pPr>
      <w:rPr>
        <w:rFonts w:hint="default" w:ascii="Wingdings" w:hAnsi="Wingdings" w:cs="Wingdings"/>
      </w:rPr>
    </w:lvl>
    <w:lvl w:ilvl="6" w:tentative="0">
      <w:start w:val="1"/>
      <w:numFmt w:val="bullet"/>
      <w:lvlText w:val=""/>
      <w:lvlJc w:val="left"/>
      <w:pPr>
        <w:ind w:left="3080" w:hanging="440"/>
      </w:pPr>
      <w:rPr>
        <w:rFonts w:hint="default" w:ascii="Wingdings" w:hAnsi="Wingdings" w:cs="Wingdings"/>
      </w:rPr>
    </w:lvl>
    <w:lvl w:ilvl="7" w:tentative="0">
      <w:start w:val="1"/>
      <w:numFmt w:val="bullet"/>
      <w:lvlText w:val=""/>
      <w:lvlJc w:val="left"/>
      <w:pPr>
        <w:ind w:left="3520" w:hanging="440"/>
      </w:pPr>
      <w:rPr>
        <w:rFonts w:hint="default" w:ascii="Wingdings" w:hAnsi="Wingdings" w:cs="Wingdings"/>
      </w:rPr>
    </w:lvl>
    <w:lvl w:ilvl="8" w:tentative="0">
      <w:start w:val="1"/>
      <w:numFmt w:val="bullet"/>
      <w:lvlText w:val=""/>
      <w:lvlJc w:val="left"/>
      <w:pPr>
        <w:ind w:left="3960" w:hanging="440"/>
      </w:pPr>
      <w:rPr>
        <w:rFonts w:hint="default" w:ascii="Wingdings" w:hAnsi="Wingdings" w:cs="Wingdings"/>
      </w:rPr>
    </w:lvl>
  </w:abstractNum>
  <w:abstractNum w:abstractNumId="1">
    <w:nsid w:val="AD6E03F7"/>
    <w:multiLevelType w:val="singleLevel"/>
    <w:tmpl w:val="AD6E03F7"/>
    <w:lvl w:ilvl="0" w:tentative="0">
      <w:start w:val="1"/>
      <w:numFmt w:val="bullet"/>
      <w:lvlText w:val="–"/>
      <w:lvlJc w:val="left"/>
      <w:pPr>
        <w:tabs>
          <w:tab w:val="left" w:pos="420"/>
        </w:tabs>
        <w:ind w:left="840" w:hanging="420"/>
      </w:pPr>
      <w:rPr>
        <w:rFonts w:hint="default" w:ascii="Arial" w:hAnsi="Arial" w:cs="Arial"/>
      </w:rPr>
    </w:lvl>
  </w:abstractNum>
  <w:abstractNum w:abstractNumId="2">
    <w:nsid w:val="F37BB8ED"/>
    <w:multiLevelType w:val="multilevel"/>
    <w:tmpl w:val="F37BB8ED"/>
    <w:lvl w:ilvl="0" w:tentative="0">
      <w:start w:val="1"/>
      <w:numFmt w:val="bullet"/>
      <w:lvlText w:val=""/>
      <w:lvlJc w:val="left"/>
      <w:pPr>
        <w:ind w:left="640" w:hanging="440"/>
      </w:pPr>
      <w:rPr>
        <w:rFonts w:hint="default" w:ascii="Wingdings" w:hAnsi="Wingdings" w:cs="Wingdings"/>
      </w:rPr>
    </w:lvl>
    <w:lvl w:ilvl="1" w:tentative="0">
      <w:start w:val="1"/>
      <w:numFmt w:val="bullet"/>
      <w:lvlText w:val=""/>
      <w:lvlJc w:val="left"/>
      <w:pPr>
        <w:ind w:left="1080" w:hanging="440"/>
      </w:pPr>
      <w:rPr>
        <w:rFonts w:hint="default" w:ascii="Wingdings" w:hAnsi="Wingdings" w:cs="Wingdings"/>
      </w:rPr>
    </w:lvl>
    <w:lvl w:ilvl="2" w:tentative="0">
      <w:start w:val="1"/>
      <w:numFmt w:val="bullet"/>
      <w:lvlText w:val=""/>
      <w:lvlJc w:val="left"/>
      <w:pPr>
        <w:ind w:left="1520" w:hanging="440"/>
      </w:pPr>
      <w:rPr>
        <w:rFonts w:hint="default" w:ascii="Wingdings" w:hAnsi="Wingdings" w:cs="Wingdings"/>
      </w:rPr>
    </w:lvl>
    <w:lvl w:ilvl="3" w:tentative="0">
      <w:start w:val="1"/>
      <w:numFmt w:val="bullet"/>
      <w:lvlText w:val=""/>
      <w:lvlJc w:val="left"/>
      <w:pPr>
        <w:ind w:left="1960" w:hanging="440"/>
      </w:pPr>
      <w:rPr>
        <w:rFonts w:hint="default" w:ascii="Wingdings" w:hAnsi="Wingdings" w:cs="Wingdings"/>
      </w:rPr>
    </w:lvl>
    <w:lvl w:ilvl="4" w:tentative="0">
      <w:start w:val="1"/>
      <w:numFmt w:val="bullet"/>
      <w:lvlText w:val=""/>
      <w:lvlJc w:val="left"/>
      <w:pPr>
        <w:ind w:left="2400" w:hanging="440"/>
      </w:pPr>
      <w:rPr>
        <w:rFonts w:hint="default" w:ascii="Wingdings" w:hAnsi="Wingdings" w:cs="Wingdings"/>
      </w:rPr>
    </w:lvl>
    <w:lvl w:ilvl="5" w:tentative="0">
      <w:start w:val="1"/>
      <w:numFmt w:val="bullet"/>
      <w:lvlText w:val=""/>
      <w:lvlJc w:val="left"/>
      <w:pPr>
        <w:ind w:left="2840" w:hanging="440"/>
      </w:pPr>
      <w:rPr>
        <w:rFonts w:hint="default" w:ascii="Wingdings" w:hAnsi="Wingdings" w:cs="Wingdings"/>
      </w:rPr>
    </w:lvl>
    <w:lvl w:ilvl="6" w:tentative="0">
      <w:start w:val="1"/>
      <w:numFmt w:val="bullet"/>
      <w:lvlText w:val=""/>
      <w:lvlJc w:val="left"/>
      <w:pPr>
        <w:ind w:left="3280" w:hanging="440"/>
      </w:pPr>
      <w:rPr>
        <w:rFonts w:hint="default" w:ascii="Wingdings" w:hAnsi="Wingdings" w:cs="Wingdings"/>
      </w:rPr>
    </w:lvl>
    <w:lvl w:ilvl="7" w:tentative="0">
      <w:start w:val="1"/>
      <w:numFmt w:val="bullet"/>
      <w:lvlText w:val=""/>
      <w:lvlJc w:val="left"/>
      <w:pPr>
        <w:ind w:left="3720" w:hanging="440"/>
      </w:pPr>
      <w:rPr>
        <w:rFonts w:hint="default" w:ascii="Wingdings" w:hAnsi="Wingdings" w:cs="Wingdings"/>
      </w:rPr>
    </w:lvl>
    <w:lvl w:ilvl="8" w:tentative="0">
      <w:start w:val="1"/>
      <w:numFmt w:val="bullet"/>
      <w:lvlText w:val=""/>
      <w:lvlJc w:val="left"/>
      <w:pPr>
        <w:ind w:left="4160" w:hanging="440"/>
      </w:pPr>
      <w:rPr>
        <w:rFonts w:hint="default" w:ascii="Wingdings" w:hAnsi="Wingdings" w:cs="Wingdings"/>
      </w:rPr>
    </w:lvl>
  </w:abstractNum>
  <w:abstractNum w:abstractNumId="3">
    <w:nsid w:val="F5EE6F74"/>
    <w:multiLevelType w:val="multilevel"/>
    <w:tmpl w:val="F5EE6F74"/>
    <w:lvl w:ilvl="0" w:tentative="0">
      <w:start w:val="1"/>
      <w:numFmt w:val="bullet"/>
      <w:lvlText w:val=""/>
      <w:lvlJc w:val="left"/>
      <w:pPr>
        <w:ind w:left="880" w:hanging="440"/>
      </w:pPr>
      <w:rPr>
        <w:rFonts w:hint="default" w:ascii="Wingdings" w:hAnsi="Wingdings" w:cs="Wingdings"/>
      </w:rPr>
    </w:lvl>
    <w:lvl w:ilvl="1" w:tentative="0">
      <w:start w:val="1"/>
      <w:numFmt w:val="bullet"/>
      <w:lvlText w:val=""/>
      <w:lvlJc w:val="left"/>
      <w:pPr>
        <w:ind w:left="1320" w:hanging="440"/>
      </w:pPr>
      <w:rPr>
        <w:rFonts w:hint="default" w:ascii="Wingdings" w:hAnsi="Wingdings" w:cs="Wingdings"/>
      </w:rPr>
    </w:lvl>
    <w:lvl w:ilvl="2" w:tentative="0">
      <w:start w:val="1"/>
      <w:numFmt w:val="bullet"/>
      <w:lvlText w:val=""/>
      <w:lvlJc w:val="left"/>
      <w:pPr>
        <w:ind w:left="1760" w:hanging="440"/>
      </w:pPr>
      <w:rPr>
        <w:rFonts w:hint="default" w:ascii="Wingdings" w:hAnsi="Wingdings" w:cs="Wingdings"/>
      </w:rPr>
    </w:lvl>
    <w:lvl w:ilvl="3" w:tentative="0">
      <w:start w:val="1"/>
      <w:numFmt w:val="bullet"/>
      <w:lvlText w:val=""/>
      <w:lvlJc w:val="left"/>
      <w:pPr>
        <w:ind w:left="2200" w:hanging="440"/>
      </w:pPr>
      <w:rPr>
        <w:rFonts w:hint="default" w:ascii="Wingdings" w:hAnsi="Wingdings" w:cs="Wingdings"/>
      </w:rPr>
    </w:lvl>
    <w:lvl w:ilvl="4" w:tentative="0">
      <w:start w:val="1"/>
      <w:numFmt w:val="bullet"/>
      <w:lvlText w:val=""/>
      <w:lvlJc w:val="left"/>
      <w:pPr>
        <w:ind w:left="2640" w:hanging="440"/>
      </w:pPr>
      <w:rPr>
        <w:rFonts w:hint="default" w:ascii="Wingdings" w:hAnsi="Wingdings" w:cs="Wingdings"/>
      </w:rPr>
    </w:lvl>
    <w:lvl w:ilvl="5" w:tentative="0">
      <w:start w:val="1"/>
      <w:numFmt w:val="bullet"/>
      <w:lvlText w:val=""/>
      <w:lvlJc w:val="left"/>
      <w:pPr>
        <w:ind w:left="3080" w:hanging="440"/>
      </w:pPr>
      <w:rPr>
        <w:rFonts w:hint="default" w:ascii="Wingdings" w:hAnsi="Wingdings" w:cs="Wingdings"/>
      </w:rPr>
    </w:lvl>
    <w:lvl w:ilvl="6" w:tentative="0">
      <w:start w:val="1"/>
      <w:numFmt w:val="bullet"/>
      <w:lvlText w:val=""/>
      <w:lvlJc w:val="left"/>
      <w:pPr>
        <w:ind w:left="3520" w:hanging="440"/>
      </w:pPr>
      <w:rPr>
        <w:rFonts w:hint="default" w:ascii="Wingdings" w:hAnsi="Wingdings" w:cs="Wingdings"/>
      </w:rPr>
    </w:lvl>
    <w:lvl w:ilvl="7" w:tentative="0">
      <w:start w:val="1"/>
      <w:numFmt w:val="bullet"/>
      <w:lvlText w:val=""/>
      <w:lvlJc w:val="left"/>
      <w:pPr>
        <w:ind w:left="3960" w:hanging="440"/>
      </w:pPr>
      <w:rPr>
        <w:rFonts w:hint="default" w:ascii="Wingdings" w:hAnsi="Wingdings" w:cs="Wingdings"/>
      </w:rPr>
    </w:lvl>
    <w:lvl w:ilvl="8" w:tentative="0">
      <w:start w:val="1"/>
      <w:numFmt w:val="bullet"/>
      <w:lvlText w:val=""/>
      <w:lvlJc w:val="left"/>
      <w:pPr>
        <w:ind w:left="4400" w:hanging="440"/>
      </w:pPr>
      <w:rPr>
        <w:rFonts w:hint="default" w:ascii="Wingdings" w:hAnsi="Wingdings" w:cs="Wingdings"/>
      </w:rPr>
    </w:lvl>
  </w:abstractNum>
  <w:abstractNum w:abstractNumId="4">
    <w:nsid w:val="FF7AA4F2"/>
    <w:multiLevelType w:val="multilevel"/>
    <w:tmpl w:val="FF7AA4F2"/>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00920D3D"/>
    <w:multiLevelType w:val="multilevel"/>
    <w:tmpl w:val="00920D3D"/>
    <w:lvl w:ilvl="0" w:tentative="0">
      <w:start w:val="1"/>
      <w:numFmt w:val="decimal"/>
      <w:lvlText w:val="%1)"/>
      <w:lvlJc w:val="left"/>
      <w:pPr>
        <w:ind w:left="900" w:hanging="420"/>
      </w:pPr>
      <w:rPr>
        <w:rFonts w:hint="eastAsia"/>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
    <w:nsid w:val="0437A948"/>
    <w:multiLevelType w:val="singleLevel"/>
    <w:tmpl w:val="0437A948"/>
    <w:lvl w:ilvl="0" w:tentative="0">
      <w:start w:val="1"/>
      <w:numFmt w:val="decimal"/>
      <w:lvlText w:val="(%1)"/>
      <w:lvlJc w:val="left"/>
      <w:pPr>
        <w:ind w:left="425" w:hanging="425"/>
      </w:pPr>
      <w:rPr>
        <w:rFonts w:hint="default"/>
      </w:rPr>
    </w:lvl>
  </w:abstractNum>
  <w:abstractNum w:abstractNumId="7">
    <w:nsid w:val="122C6466"/>
    <w:multiLevelType w:val="multilevel"/>
    <w:tmpl w:val="122C6466"/>
    <w:lvl w:ilvl="0" w:tentative="0">
      <w:start w:val="1"/>
      <w:numFmt w:val="bullet"/>
      <w:lvlText w:val=""/>
      <w:lvlJc w:val="left"/>
      <w:pPr>
        <w:ind w:left="729" w:hanging="420"/>
      </w:pPr>
      <w:rPr>
        <w:rFonts w:hint="default" w:ascii="Wingdings" w:hAnsi="Wingdings"/>
      </w:rPr>
    </w:lvl>
    <w:lvl w:ilvl="1" w:tentative="0">
      <w:start w:val="1"/>
      <w:numFmt w:val="bullet"/>
      <w:lvlText w:val=""/>
      <w:lvlJc w:val="left"/>
      <w:pPr>
        <w:ind w:left="1149" w:hanging="420"/>
      </w:pPr>
      <w:rPr>
        <w:rFonts w:hint="default" w:ascii="Wingdings" w:hAnsi="Wingdings"/>
      </w:rPr>
    </w:lvl>
    <w:lvl w:ilvl="2" w:tentative="0">
      <w:start w:val="1"/>
      <w:numFmt w:val="bullet"/>
      <w:lvlText w:val=""/>
      <w:lvlJc w:val="left"/>
      <w:pPr>
        <w:ind w:left="1569" w:hanging="420"/>
      </w:pPr>
      <w:rPr>
        <w:rFonts w:hint="default" w:ascii="Wingdings" w:hAnsi="Wingdings"/>
      </w:rPr>
    </w:lvl>
    <w:lvl w:ilvl="3" w:tentative="0">
      <w:start w:val="1"/>
      <w:numFmt w:val="bullet"/>
      <w:lvlText w:val=""/>
      <w:lvlJc w:val="left"/>
      <w:pPr>
        <w:ind w:left="1989" w:hanging="420"/>
      </w:pPr>
      <w:rPr>
        <w:rFonts w:hint="default" w:ascii="Wingdings" w:hAnsi="Wingdings"/>
      </w:rPr>
    </w:lvl>
    <w:lvl w:ilvl="4" w:tentative="0">
      <w:start w:val="1"/>
      <w:numFmt w:val="bullet"/>
      <w:lvlText w:val=""/>
      <w:lvlJc w:val="left"/>
      <w:pPr>
        <w:ind w:left="2409" w:hanging="420"/>
      </w:pPr>
      <w:rPr>
        <w:rFonts w:hint="default" w:ascii="Wingdings" w:hAnsi="Wingdings"/>
      </w:rPr>
    </w:lvl>
    <w:lvl w:ilvl="5" w:tentative="0">
      <w:start w:val="1"/>
      <w:numFmt w:val="bullet"/>
      <w:lvlText w:val=""/>
      <w:lvlJc w:val="left"/>
      <w:pPr>
        <w:ind w:left="2829" w:hanging="420"/>
      </w:pPr>
      <w:rPr>
        <w:rFonts w:hint="default" w:ascii="Wingdings" w:hAnsi="Wingdings"/>
      </w:rPr>
    </w:lvl>
    <w:lvl w:ilvl="6" w:tentative="0">
      <w:start w:val="1"/>
      <w:numFmt w:val="bullet"/>
      <w:lvlText w:val=""/>
      <w:lvlJc w:val="left"/>
      <w:pPr>
        <w:ind w:left="3249" w:hanging="420"/>
      </w:pPr>
      <w:rPr>
        <w:rFonts w:hint="default" w:ascii="Wingdings" w:hAnsi="Wingdings"/>
      </w:rPr>
    </w:lvl>
    <w:lvl w:ilvl="7" w:tentative="0">
      <w:start w:val="1"/>
      <w:numFmt w:val="bullet"/>
      <w:lvlText w:val=""/>
      <w:lvlJc w:val="left"/>
      <w:pPr>
        <w:ind w:left="3669" w:hanging="420"/>
      </w:pPr>
      <w:rPr>
        <w:rFonts w:hint="default" w:ascii="Wingdings" w:hAnsi="Wingdings"/>
      </w:rPr>
    </w:lvl>
    <w:lvl w:ilvl="8" w:tentative="0">
      <w:start w:val="1"/>
      <w:numFmt w:val="bullet"/>
      <w:lvlText w:val=""/>
      <w:lvlJc w:val="left"/>
      <w:pPr>
        <w:ind w:left="4089" w:hanging="420"/>
      </w:pPr>
      <w:rPr>
        <w:rFonts w:hint="default" w:ascii="Wingdings" w:hAnsi="Wingdings"/>
      </w:rPr>
    </w:lvl>
  </w:abstractNum>
  <w:abstractNum w:abstractNumId="8">
    <w:nsid w:val="12B2F648"/>
    <w:multiLevelType w:val="singleLevel"/>
    <w:tmpl w:val="12B2F648"/>
    <w:lvl w:ilvl="0" w:tentative="0">
      <w:start w:val="1"/>
      <w:numFmt w:val="bullet"/>
      <w:lvlText w:val="–"/>
      <w:lvlJc w:val="left"/>
      <w:pPr>
        <w:tabs>
          <w:tab w:val="left" w:pos="840"/>
        </w:tabs>
        <w:ind w:left="1260" w:hanging="420"/>
      </w:pPr>
      <w:rPr>
        <w:rFonts w:hint="default" w:ascii="Arial" w:hAnsi="Arial" w:cs="Arial"/>
      </w:rPr>
    </w:lvl>
  </w:abstractNum>
  <w:abstractNum w:abstractNumId="9">
    <w:nsid w:val="138F0033"/>
    <w:multiLevelType w:val="multilevel"/>
    <w:tmpl w:val="138F0033"/>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2.2.%3"/>
      <w:lvlJc w:val="left"/>
      <w:pPr>
        <w:ind w:left="709"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
    <w:nsid w:val="163B0802"/>
    <w:multiLevelType w:val="multilevel"/>
    <w:tmpl w:val="163B0802"/>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6.5.%3"/>
      <w:lvlJc w:val="left"/>
      <w:pPr>
        <w:ind w:left="709"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1">
    <w:nsid w:val="187455BF"/>
    <w:multiLevelType w:val="multilevel"/>
    <w:tmpl w:val="187455BF"/>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4.3.%3"/>
      <w:lvlJc w:val="left"/>
      <w:pPr>
        <w:ind w:left="709"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
    <w:nsid w:val="1E474A41"/>
    <w:multiLevelType w:val="multilevel"/>
    <w:tmpl w:val="1E474A4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224D2540"/>
    <w:multiLevelType w:val="multilevel"/>
    <w:tmpl w:val="224D2540"/>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8.3.%3"/>
      <w:lvlJc w:val="left"/>
      <w:pPr>
        <w:ind w:left="851"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4">
    <w:nsid w:val="245749FE"/>
    <w:multiLevelType w:val="multilevel"/>
    <w:tmpl w:val="245749FE"/>
    <w:lvl w:ilvl="0" w:tentative="0">
      <w:start w:val="1"/>
      <w:numFmt w:val="bullet"/>
      <w:lvlText w:val=""/>
      <w:lvlJc w:val="left"/>
      <w:pPr>
        <w:ind w:left="880" w:hanging="440"/>
      </w:pPr>
      <w:rPr>
        <w:rFonts w:hint="default" w:ascii="Wingdings" w:hAnsi="Wingdings"/>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abstractNum w:abstractNumId="15">
    <w:nsid w:val="26292FB1"/>
    <w:multiLevelType w:val="multilevel"/>
    <w:tmpl w:val="26292FB1"/>
    <w:lvl w:ilvl="0" w:tentative="0">
      <w:start w:val="1"/>
      <w:numFmt w:val="decimal"/>
      <w:lvlText w:val="%1)"/>
      <w:lvlJc w:val="left"/>
      <w:pPr>
        <w:ind w:left="420" w:hanging="420"/>
      </w:pPr>
      <w:rPr>
        <w:rFonts w:hint="eastAsia" w:eastAsia="宋体"/>
        <w:w w:val="100"/>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6BD5D4A"/>
    <w:multiLevelType w:val="multilevel"/>
    <w:tmpl w:val="26BD5D4A"/>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9.2.%3"/>
      <w:lvlJc w:val="left"/>
      <w:pPr>
        <w:ind w:left="709"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7">
    <w:nsid w:val="2B675B8A"/>
    <w:multiLevelType w:val="multilevel"/>
    <w:tmpl w:val="2B675B8A"/>
    <w:lvl w:ilvl="0" w:tentative="0">
      <w:start w:val="1"/>
      <w:numFmt w:val="decimal"/>
      <w:pStyle w:val="176"/>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8">
    <w:nsid w:val="322B64A8"/>
    <w:multiLevelType w:val="multilevel"/>
    <w:tmpl w:val="322B64A8"/>
    <w:lvl w:ilvl="0" w:tentative="0">
      <w:start w:val="1"/>
      <w:numFmt w:val="decimal"/>
      <w:pStyle w:val="172"/>
      <w:suff w:val="space"/>
      <w:lvlText w:val="(%1)"/>
      <w:lvlJc w:val="left"/>
      <w:pPr>
        <w:ind w:left="794" w:hanging="340"/>
      </w:pPr>
      <w:rPr>
        <w:rFonts w:hint="eastAsia"/>
      </w:rPr>
    </w:lvl>
    <w:lvl w:ilvl="1" w:tentative="0">
      <w:start w:val="1"/>
      <w:numFmt w:val="lowerLetter"/>
      <w:lvlText w:val="%2)"/>
      <w:lvlJc w:val="left"/>
      <w:pPr>
        <w:ind w:left="794" w:hanging="340"/>
      </w:pPr>
      <w:rPr>
        <w:rFonts w:hint="eastAsia"/>
      </w:rPr>
    </w:lvl>
    <w:lvl w:ilvl="2" w:tentative="0">
      <w:start w:val="1"/>
      <w:numFmt w:val="lowerRoman"/>
      <w:lvlText w:val="%3."/>
      <w:lvlJc w:val="right"/>
      <w:pPr>
        <w:ind w:left="794" w:hanging="340"/>
      </w:pPr>
      <w:rPr>
        <w:rFonts w:hint="eastAsia"/>
      </w:rPr>
    </w:lvl>
    <w:lvl w:ilvl="3" w:tentative="0">
      <w:start w:val="1"/>
      <w:numFmt w:val="decimal"/>
      <w:lvlText w:val="%4."/>
      <w:lvlJc w:val="left"/>
      <w:pPr>
        <w:ind w:left="794" w:hanging="340"/>
      </w:pPr>
      <w:rPr>
        <w:rFonts w:hint="eastAsia"/>
      </w:rPr>
    </w:lvl>
    <w:lvl w:ilvl="4" w:tentative="0">
      <w:start w:val="1"/>
      <w:numFmt w:val="lowerLetter"/>
      <w:lvlText w:val="%5)"/>
      <w:lvlJc w:val="left"/>
      <w:pPr>
        <w:ind w:left="794" w:hanging="340"/>
      </w:pPr>
      <w:rPr>
        <w:rFonts w:hint="eastAsia"/>
      </w:rPr>
    </w:lvl>
    <w:lvl w:ilvl="5" w:tentative="0">
      <w:start w:val="1"/>
      <w:numFmt w:val="lowerRoman"/>
      <w:lvlText w:val="%6."/>
      <w:lvlJc w:val="right"/>
      <w:pPr>
        <w:ind w:left="794" w:hanging="340"/>
      </w:pPr>
      <w:rPr>
        <w:rFonts w:hint="eastAsia"/>
      </w:rPr>
    </w:lvl>
    <w:lvl w:ilvl="6" w:tentative="0">
      <w:start w:val="1"/>
      <w:numFmt w:val="decimal"/>
      <w:lvlText w:val="%7."/>
      <w:lvlJc w:val="left"/>
      <w:pPr>
        <w:ind w:left="794" w:hanging="340"/>
      </w:pPr>
      <w:rPr>
        <w:rFonts w:hint="eastAsia"/>
      </w:rPr>
    </w:lvl>
    <w:lvl w:ilvl="7" w:tentative="0">
      <w:start w:val="1"/>
      <w:numFmt w:val="lowerLetter"/>
      <w:lvlText w:val="%8)"/>
      <w:lvlJc w:val="left"/>
      <w:pPr>
        <w:ind w:left="794" w:hanging="340"/>
      </w:pPr>
      <w:rPr>
        <w:rFonts w:hint="eastAsia"/>
      </w:rPr>
    </w:lvl>
    <w:lvl w:ilvl="8" w:tentative="0">
      <w:start w:val="1"/>
      <w:numFmt w:val="lowerRoman"/>
      <w:lvlText w:val="%9."/>
      <w:lvlJc w:val="right"/>
      <w:pPr>
        <w:ind w:left="794" w:hanging="340"/>
      </w:pPr>
      <w:rPr>
        <w:rFonts w:hint="eastAsia"/>
      </w:rPr>
    </w:lvl>
  </w:abstractNum>
  <w:abstractNum w:abstractNumId="19">
    <w:nsid w:val="36FE5E83"/>
    <w:multiLevelType w:val="multilevel"/>
    <w:tmpl w:val="36FE5E83"/>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3A5A47CB"/>
    <w:multiLevelType w:val="multilevel"/>
    <w:tmpl w:val="3A5A47CB"/>
    <w:lvl w:ilvl="0" w:tentative="0">
      <w:start w:val="1"/>
      <w:numFmt w:val="bullet"/>
      <w:lvlText w:val=""/>
      <w:lvlJc w:val="left"/>
      <w:pPr>
        <w:tabs>
          <w:tab w:val="left" w:pos="840"/>
        </w:tabs>
        <w:ind w:left="1640" w:hanging="440"/>
      </w:pPr>
      <w:rPr>
        <w:rFonts w:hint="default" w:ascii="Wingdings" w:hAnsi="Wingdings"/>
      </w:rPr>
    </w:lvl>
    <w:lvl w:ilvl="1" w:tentative="0">
      <w:start w:val="1"/>
      <w:numFmt w:val="bullet"/>
      <w:lvlText w:val=""/>
      <w:lvlJc w:val="left"/>
      <w:pPr>
        <w:tabs>
          <w:tab w:val="left" w:pos="840"/>
        </w:tabs>
        <w:ind w:left="2080" w:hanging="440"/>
      </w:pPr>
      <w:rPr>
        <w:rFonts w:hint="default" w:ascii="Wingdings" w:hAnsi="Wingdings"/>
      </w:rPr>
    </w:lvl>
    <w:lvl w:ilvl="2" w:tentative="0">
      <w:start w:val="1"/>
      <w:numFmt w:val="bullet"/>
      <w:lvlText w:val=""/>
      <w:lvlJc w:val="left"/>
      <w:pPr>
        <w:tabs>
          <w:tab w:val="left" w:pos="840"/>
        </w:tabs>
        <w:ind w:left="2520" w:hanging="440"/>
      </w:pPr>
      <w:rPr>
        <w:rFonts w:hint="default" w:ascii="Wingdings" w:hAnsi="Wingdings"/>
      </w:rPr>
    </w:lvl>
    <w:lvl w:ilvl="3" w:tentative="0">
      <w:start w:val="1"/>
      <w:numFmt w:val="bullet"/>
      <w:lvlText w:val=""/>
      <w:lvlJc w:val="left"/>
      <w:pPr>
        <w:tabs>
          <w:tab w:val="left" w:pos="840"/>
        </w:tabs>
        <w:ind w:left="2960" w:hanging="440"/>
      </w:pPr>
      <w:rPr>
        <w:rFonts w:hint="default" w:ascii="Wingdings" w:hAnsi="Wingdings"/>
      </w:rPr>
    </w:lvl>
    <w:lvl w:ilvl="4" w:tentative="0">
      <w:start w:val="1"/>
      <w:numFmt w:val="bullet"/>
      <w:lvlText w:val=""/>
      <w:lvlJc w:val="left"/>
      <w:pPr>
        <w:tabs>
          <w:tab w:val="left" w:pos="840"/>
        </w:tabs>
        <w:ind w:left="3400" w:hanging="440"/>
      </w:pPr>
      <w:rPr>
        <w:rFonts w:hint="default" w:ascii="Wingdings" w:hAnsi="Wingdings"/>
      </w:rPr>
    </w:lvl>
    <w:lvl w:ilvl="5" w:tentative="0">
      <w:start w:val="1"/>
      <w:numFmt w:val="bullet"/>
      <w:lvlText w:val=""/>
      <w:lvlJc w:val="left"/>
      <w:pPr>
        <w:tabs>
          <w:tab w:val="left" w:pos="840"/>
        </w:tabs>
        <w:ind w:left="3840" w:hanging="440"/>
      </w:pPr>
      <w:rPr>
        <w:rFonts w:hint="default" w:ascii="Wingdings" w:hAnsi="Wingdings"/>
      </w:rPr>
    </w:lvl>
    <w:lvl w:ilvl="6" w:tentative="0">
      <w:start w:val="1"/>
      <w:numFmt w:val="bullet"/>
      <w:lvlText w:val=""/>
      <w:lvlJc w:val="left"/>
      <w:pPr>
        <w:tabs>
          <w:tab w:val="left" w:pos="840"/>
        </w:tabs>
        <w:ind w:left="4280" w:hanging="440"/>
      </w:pPr>
      <w:rPr>
        <w:rFonts w:hint="default" w:ascii="Wingdings" w:hAnsi="Wingdings"/>
      </w:rPr>
    </w:lvl>
    <w:lvl w:ilvl="7" w:tentative="0">
      <w:start w:val="1"/>
      <w:numFmt w:val="bullet"/>
      <w:lvlText w:val=""/>
      <w:lvlJc w:val="left"/>
      <w:pPr>
        <w:tabs>
          <w:tab w:val="left" w:pos="840"/>
        </w:tabs>
        <w:ind w:left="4720" w:hanging="440"/>
      </w:pPr>
      <w:rPr>
        <w:rFonts w:hint="default" w:ascii="Wingdings" w:hAnsi="Wingdings"/>
      </w:rPr>
    </w:lvl>
    <w:lvl w:ilvl="8" w:tentative="0">
      <w:start w:val="1"/>
      <w:numFmt w:val="bullet"/>
      <w:lvlText w:val=""/>
      <w:lvlJc w:val="left"/>
      <w:pPr>
        <w:tabs>
          <w:tab w:val="left" w:pos="840"/>
        </w:tabs>
        <w:ind w:left="5160" w:hanging="440"/>
      </w:pPr>
      <w:rPr>
        <w:rFonts w:hint="default" w:ascii="Wingdings" w:hAnsi="Wingdings"/>
      </w:rPr>
    </w:lvl>
  </w:abstractNum>
  <w:abstractNum w:abstractNumId="21">
    <w:nsid w:val="3C8F7BFC"/>
    <w:multiLevelType w:val="multilevel"/>
    <w:tmpl w:val="3C8F7BFC"/>
    <w:lvl w:ilvl="0" w:tentative="0">
      <w:start w:val="1"/>
      <w:numFmt w:val="decimal"/>
      <w:lvlText w:val="%1)"/>
      <w:lvlJc w:val="left"/>
      <w:pPr>
        <w:ind w:left="1194" w:hanging="440"/>
      </w:pPr>
    </w:lvl>
    <w:lvl w:ilvl="1" w:tentative="0">
      <w:start w:val="1"/>
      <w:numFmt w:val="lowerLetter"/>
      <w:lvlText w:val="%2)"/>
      <w:lvlJc w:val="left"/>
      <w:pPr>
        <w:ind w:left="1634" w:hanging="440"/>
      </w:pPr>
    </w:lvl>
    <w:lvl w:ilvl="2" w:tentative="0">
      <w:start w:val="1"/>
      <w:numFmt w:val="lowerRoman"/>
      <w:lvlText w:val="%3."/>
      <w:lvlJc w:val="right"/>
      <w:pPr>
        <w:ind w:left="2074" w:hanging="440"/>
      </w:pPr>
    </w:lvl>
    <w:lvl w:ilvl="3" w:tentative="0">
      <w:start w:val="1"/>
      <w:numFmt w:val="decimal"/>
      <w:lvlText w:val="%4."/>
      <w:lvlJc w:val="left"/>
      <w:pPr>
        <w:ind w:left="2514" w:hanging="440"/>
      </w:pPr>
    </w:lvl>
    <w:lvl w:ilvl="4" w:tentative="0">
      <w:start w:val="1"/>
      <w:numFmt w:val="lowerLetter"/>
      <w:lvlText w:val="%5)"/>
      <w:lvlJc w:val="left"/>
      <w:pPr>
        <w:ind w:left="2954" w:hanging="440"/>
      </w:pPr>
    </w:lvl>
    <w:lvl w:ilvl="5" w:tentative="0">
      <w:start w:val="1"/>
      <w:numFmt w:val="lowerRoman"/>
      <w:lvlText w:val="%6."/>
      <w:lvlJc w:val="right"/>
      <w:pPr>
        <w:ind w:left="3394" w:hanging="440"/>
      </w:pPr>
    </w:lvl>
    <w:lvl w:ilvl="6" w:tentative="0">
      <w:start w:val="1"/>
      <w:numFmt w:val="decimal"/>
      <w:lvlText w:val="%7."/>
      <w:lvlJc w:val="left"/>
      <w:pPr>
        <w:ind w:left="3834" w:hanging="440"/>
      </w:pPr>
    </w:lvl>
    <w:lvl w:ilvl="7" w:tentative="0">
      <w:start w:val="1"/>
      <w:numFmt w:val="lowerLetter"/>
      <w:lvlText w:val="%8)"/>
      <w:lvlJc w:val="left"/>
      <w:pPr>
        <w:ind w:left="4274" w:hanging="440"/>
      </w:pPr>
    </w:lvl>
    <w:lvl w:ilvl="8" w:tentative="0">
      <w:start w:val="1"/>
      <w:numFmt w:val="lowerRoman"/>
      <w:lvlText w:val="%9."/>
      <w:lvlJc w:val="right"/>
      <w:pPr>
        <w:ind w:left="4714" w:hanging="440"/>
      </w:pPr>
    </w:lvl>
  </w:abstractNum>
  <w:abstractNum w:abstractNumId="22">
    <w:nsid w:val="414A6E86"/>
    <w:multiLevelType w:val="multilevel"/>
    <w:tmpl w:val="414A6E8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
    <w:nsid w:val="535E419E"/>
    <w:multiLevelType w:val="multilevel"/>
    <w:tmpl w:val="535E419E"/>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57424867"/>
    <w:multiLevelType w:val="multilevel"/>
    <w:tmpl w:val="57424867"/>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5.5.%3"/>
      <w:lvlJc w:val="left"/>
      <w:pPr>
        <w:ind w:left="709"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5">
    <w:nsid w:val="60A13F09"/>
    <w:multiLevelType w:val="multilevel"/>
    <w:tmpl w:val="60A13F09"/>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6">
    <w:nsid w:val="61182D07"/>
    <w:multiLevelType w:val="multilevel"/>
    <w:tmpl w:val="61182D07"/>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8.5.%3"/>
      <w:lvlJc w:val="left"/>
      <w:pPr>
        <w:ind w:left="709"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7">
    <w:nsid w:val="61EA092F"/>
    <w:multiLevelType w:val="multilevel"/>
    <w:tmpl w:val="61EA092F"/>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6.8.%3"/>
      <w:lvlJc w:val="left"/>
      <w:pPr>
        <w:ind w:left="709"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8">
    <w:nsid w:val="632A080D"/>
    <w:multiLevelType w:val="multilevel"/>
    <w:tmpl w:val="632A080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9">
    <w:nsid w:val="661D37A6"/>
    <w:multiLevelType w:val="multilevel"/>
    <w:tmpl w:val="661D37A6"/>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3.1.%3"/>
      <w:lvlJc w:val="left"/>
      <w:pPr>
        <w:ind w:left="709"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0">
    <w:nsid w:val="66620AC1"/>
    <w:multiLevelType w:val="multilevel"/>
    <w:tmpl w:val="66620AC1"/>
    <w:lvl w:ilvl="0" w:tentative="0">
      <w:start w:val="1"/>
      <w:numFmt w:val="decimal"/>
      <w:lvlText w:val="%1)"/>
      <w:lvlJc w:val="left"/>
      <w:pPr>
        <w:ind w:left="900" w:hanging="420"/>
      </w:pPr>
      <w:rPr>
        <w:rFonts w:hint="default"/>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1">
    <w:nsid w:val="66F759B1"/>
    <w:multiLevelType w:val="multilevel"/>
    <w:tmpl w:val="66F759B1"/>
    <w:lvl w:ilvl="0" w:tentative="0">
      <w:start w:val="1"/>
      <w:numFmt w:val="bullet"/>
      <w:pStyle w:val="159"/>
      <w:lvlText w:val="-"/>
      <w:lvlJc w:val="left"/>
      <w:pPr>
        <w:ind w:left="420" w:hanging="420"/>
      </w:pPr>
      <w:rPr>
        <w:rFonts w:hint="default" w:ascii="Segoe UI Symbol" w:hAnsi="Segoe UI Symbo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2">
    <w:nsid w:val="6976CDF9"/>
    <w:multiLevelType w:val="multilevel"/>
    <w:tmpl w:val="6976CDF9"/>
    <w:lvl w:ilvl="0" w:tentative="0">
      <w:start w:val="1"/>
      <w:numFmt w:val="decimal"/>
      <w:lvlText w:val="%1)"/>
      <w:lvlJc w:val="left"/>
      <w:pPr>
        <w:ind w:left="561" w:hanging="420"/>
      </w:pPr>
      <w:rPr>
        <w:rFonts w:hint="default"/>
      </w:rPr>
    </w:lvl>
    <w:lvl w:ilvl="1" w:tentative="0">
      <w:start w:val="1"/>
      <w:numFmt w:val="decimal"/>
      <w:lvlText w:val="%2."/>
      <w:lvlJc w:val="left"/>
      <w:pPr>
        <w:tabs>
          <w:tab w:val="left" w:pos="1581"/>
        </w:tabs>
        <w:ind w:left="1581" w:hanging="360"/>
      </w:pPr>
    </w:lvl>
    <w:lvl w:ilvl="2" w:tentative="0">
      <w:start w:val="1"/>
      <w:numFmt w:val="decimal"/>
      <w:lvlText w:val="%3."/>
      <w:lvlJc w:val="left"/>
      <w:pPr>
        <w:tabs>
          <w:tab w:val="left" w:pos="2301"/>
        </w:tabs>
        <w:ind w:left="2301" w:hanging="360"/>
      </w:pPr>
    </w:lvl>
    <w:lvl w:ilvl="3" w:tentative="0">
      <w:start w:val="1"/>
      <w:numFmt w:val="decimal"/>
      <w:lvlText w:val="%4."/>
      <w:lvlJc w:val="left"/>
      <w:pPr>
        <w:tabs>
          <w:tab w:val="left" w:pos="3021"/>
        </w:tabs>
        <w:ind w:left="3021" w:hanging="360"/>
      </w:pPr>
    </w:lvl>
    <w:lvl w:ilvl="4" w:tentative="0">
      <w:start w:val="1"/>
      <w:numFmt w:val="decimal"/>
      <w:lvlText w:val="%5."/>
      <w:lvlJc w:val="left"/>
      <w:pPr>
        <w:tabs>
          <w:tab w:val="left" w:pos="3741"/>
        </w:tabs>
        <w:ind w:left="3741" w:hanging="360"/>
      </w:pPr>
    </w:lvl>
    <w:lvl w:ilvl="5" w:tentative="0">
      <w:start w:val="1"/>
      <w:numFmt w:val="decimal"/>
      <w:lvlText w:val="%6."/>
      <w:lvlJc w:val="left"/>
      <w:pPr>
        <w:tabs>
          <w:tab w:val="left" w:pos="4461"/>
        </w:tabs>
        <w:ind w:left="4461" w:hanging="360"/>
      </w:pPr>
    </w:lvl>
    <w:lvl w:ilvl="6" w:tentative="0">
      <w:start w:val="1"/>
      <w:numFmt w:val="decimal"/>
      <w:lvlText w:val="%7."/>
      <w:lvlJc w:val="left"/>
      <w:pPr>
        <w:tabs>
          <w:tab w:val="left" w:pos="5181"/>
        </w:tabs>
        <w:ind w:left="5181" w:hanging="360"/>
      </w:pPr>
    </w:lvl>
    <w:lvl w:ilvl="7" w:tentative="0">
      <w:start w:val="1"/>
      <w:numFmt w:val="decimal"/>
      <w:lvlText w:val="%8."/>
      <w:lvlJc w:val="left"/>
      <w:pPr>
        <w:tabs>
          <w:tab w:val="left" w:pos="5901"/>
        </w:tabs>
        <w:ind w:left="5901" w:hanging="360"/>
      </w:pPr>
    </w:lvl>
    <w:lvl w:ilvl="8" w:tentative="0">
      <w:start w:val="1"/>
      <w:numFmt w:val="decimal"/>
      <w:lvlText w:val="%9."/>
      <w:lvlJc w:val="left"/>
      <w:pPr>
        <w:tabs>
          <w:tab w:val="left" w:pos="6621"/>
        </w:tabs>
        <w:ind w:left="6621" w:hanging="360"/>
      </w:pPr>
    </w:lvl>
  </w:abstractNum>
  <w:abstractNum w:abstractNumId="33">
    <w:nsid w:val="69B877FF"/>
    <w:multiLevelType w:val="multilevel"/>
    <w:tmpl w:val="69B877FF"/>
    <w:lvl w:ilvl="0" w:tentative="0">
      <w:start w:val="1"/>
      <w:numFmt w:val="bullet"/>
      <w:pStyle w:val="193"/>
      <w:lvlText w:val=""/>
      <w:lvlJc w:val="left"/>
      <w:pPr>
        <w:tabs>
          <w:tab w:val="left" w:pos="1080"/>
        </w:tabs>
        <w:ind w:left="1080" w:hanging="360"/>
      </w:pPr>
      <w:rPr>
        <w:rFonts w:hint="default" w:ascii="Symbol" w:hAnsi="Symbol"/>
        <w:sz w:val="24"/>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ind w:left="1080" w:firstLine="0"/>
      </w:pPr>
      <w:rPr>
        <w:rFonts w:hint="default" w:ascii="Symbol" w:hAnsi="Symbol"/>
      </w:rPr>
    </w:lvl>
    <w:lvl w:ilvl="3" w:tentative="0">
      <w:start w:val="1"/>
      <w:numFmt w:val="bullet"/>
      <w:lvlText w:val=""/>
      <w:lvlJc w:val="left"/>
      <w:pPr>
        <w:ind w:left="1080" w:firstLine="0"/>
      </w:pPr>
      <w:rPr>
        <w:rFonts w:hint="default" w:ascii="Symbol" w:hAnsi="Symbol"/>
      </w:rPr>
    </w:lvl>
    <w:lvl w:ilvl="4" w:tentative="0">
      <w:start w:val="1"/>
      <w:numFmt w:val="bullet"/>
      <w:lvlText w:val=""/>
      <w:lvlJc w:val="left"/>
      <w:pPr>
        <w:ind w:left="1080" w:firstLine="0"/>
      </w:pPr>
      <w:rPr>
        <w:rFonts w:hint="default" w:ascii="Symbol" w:hAnsi="Symbol"/>
      </w:rPr>
    </w:lvl>
    <w:lvl w:ilvl="5" w:tentative="0">
      <w:start w:val="1"/>
      <w:numFmt w:val="bullet"/>
      <w:lvlText w:val=""/>
      <w:lvlJc w:val="left"/>
      <w:pPr>
        <w:ind w:left="1080" w:firstLine="0"/>
      </w:pPr>
      <w:rPr>
        <w:rFonts w:hint="default" w:ascii="Symbol" w:hAnsi="Symbol"/>
      </w:rPr>
    </w:lvl>
    <w:lvl w:ilvl="6" w:tentative="0">
      <w:start w:val="1"/>
      <w:numFmt w:val="bullet"/>
      <w:lvlText w:val=""/>
      <w:lvlJc w:val="left"/>
      <w:pPr>
        <w:ind w:left="1080" w:firstLine="0"/>
      </w:pPr>
      <w:rPr>
        <w:rFonts w:hint="default" w:ascii="Symbol" w:hAnsi="Symbol"/>
      </w:rPr>
    </w:lvl>
    <w:lvl w:ilvl="7" w:tentative="0">
      <w:start w:val="1"/>
      <w:numFmt w:val="bullet"/>
      <w:lvlText w:val=""/>
      <w:lvlJc w:val="left"/>
      <w:pPr>
        <w:ind w:left="1080" w:firstLine="0"/>
      </w:pPr>
      <w:rPr>
        <w:rFonts w:hint="default" w:ascii="Symbol" w:hAnsi="Symbol"/>
      </w:rPr>
    </w:lvl>
    <w:lvl w:ilvl="8" w:tentative="0">
      <w:start w:val="1"/>
      <w:numFmt w:val="bullet"/>
      <w:lvlText w:val=""/>
      <w:lvlJc w:val="left"/>
      <w:pPr>
        <w:ind w:left="1080" w:firstLine="0"/>
      </w:pPr>
      <w:rPr>
        <w:rFonts w:hint="default" w:ascii="Symbol" w:hAnsi="Symbol"/>
      </w:rPr>
    </w:lvl>
  </w:abstractNum>
  <w:abstractNum w:abstractNumId="34">
    <w:nsid w:val="6D774C8C"/>
    <w:multiLevelType w:val="multilevel"/>
    <w:tmpl w:val="6D774C8C"/>
    <w:lvl w:ilvl="0" w:tentative="0">
      <w:start w:val="1"/>
      <w:numFmt w:val="decimal"/>
      <w:lvlText w:val="[%1]"/>
      <w:lvlJc w:val="left"/>
      <w:pPr>
        <w:ind w:left="284" w:hanging="284"/>
      </w:pPr>
      <w:rPr>
        <w:rFonts w:hint="eastAsia"/>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5">
    <w:nsid w:val="718A7A84"/>
    <w:multiLevelType w:val="multilevel"/>
    <w:tmpl w:val="718A7A84"/>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6.6.%3"/>
      <w:lvlJc w:val="left"/>
      <w:pPr>
        <w:ind w:left="709"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6">
    <w:nsid w:val="73223255"/>
    <w:multiLevelType w:val="multilevel"/>
    <w:tmpl w:val="73223255"/>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7.1.%3"/>
      <w:lvlJc w:val="left"/>
      <w:pPr>
        <w:ind w:left="709"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7">
    <w:nsid w:val="790340E5"/>
    <w:multiLevelType w:val="multilevel"/>
    <w:tmpl w:val="790340E5"/>
    <w:lvl w:ilvl="0" w:tentative="0">
      <w:start w:val="1"/>
      <w:numFmt w:val="bullet"/>
      <w:lvlText w:val=""/>
      <w:lvlJc w:val="left"/>
      <w:pPr>
        <w:ind w:left="880" w:hanging="440"/>
      </w:pPr>
      <w:rPr>
        <w:rFonts w:hint="default" w:ascii="Wingdings" w:hAnsi="Wingdings"/>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abstractNum w:abstractNumId="38">
    <w:nsid w:val="7D53216E"/>
    <w:multiLevelType w:val="multilevel"/>
    <w:tmpl w:val="7D53216E"/>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9">
    <w:nsid w:val="7D7D7E8C"/>
    <w:multiLevelType w:val="multilevel"/>
    <w:tmpl w:val="7D7D7E8C"/>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8.4.%3"/>
      <w:lvlJc w:val="left"/>
      <w:pPr>
        <w:ind w:left="709"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31"/>
  </w:num>
  <w:num w:numId="2">
    <w:abstractNumId w:val="18"/>
  </w:num>
  <w:num w:numId="3">
    <w:abstractNumId w:val="17"/>
  </w:num>
  <w:num w:numId="4">
    <w:abstractNumId w:val="33"/>
  </w:num>
  <w:num w:numId="5">
    <w:abstractNumId w:val="38"/>
  </w:num>
  <w:num w:numId="6">
    <w:abstractNumId w:val="9"/>
  </w:num>
  <w:num w:numId="7">
    <w:abstractNumId w:val="37"/>
  </w:num>
  <w:num w:numId="8">
    <w:abstractNumId w:val="3"/>
  </w:num>
  <w:num w:numId="9">
    <w:abstractNumId w:val="1"/>
  </w:num>
  <w:num w:numId="10">
    <w:abstractNumId w:val="6"/>
  </w:num>
  <w:num w:numId="11">
    <w:abstractNumId w:val="19"/>
  </w:num>
  <w:num w:numId="12">
    <w:abstractNumId w:val="28"/>
  </w:num>
  <w:num w:numId="13">
    <w:abstractNumId w:val="22"/>
  </w:num>
  <w:num w:numId="14">
    <w:abstractNumId w:val="14"/>
  </w:num>
  <w:num w:numId="15">
    <w:abstractNumId w:val="8"/>
  </w:num>
  <w:num w:numId="16">
    <w:abstractNumId w:val="11"/>
  </w:num>
  <w:num w:numId="17">
    <w:abstractNumId w:val="2"/>
  </w:num>
  <w:num w:numId="18">
    <w:abstractNumId w:val="0"/>
  </w:num>
  <w:num w:numId="19">
    <w:abstractNumId w:val="4"/>
  </w:num>
  <w:num w:numId="20">
    <w:abstractNumId w:val="23"/>
  </w:num>
  <w:num w:numId="21">
    <w:abstractNumId w:val="24"/>
  </w:num>
  <w:num w:numId="22">
    <w:abstractNumId w:val="10"/>
  </w:num>
  <w:num w:numId="23">
    <w:abstractNumId w:val="35"/>
  </w:num>
  <w:num w:numId="24">
    <w:abstractNumId w:val="27"/>
  </w:num>
  <w:num w:numId="25">
    <w:abstractNumId w:val="15"/>
  </w:num>
  <w:num w:numId="26">
    <w:abstractNumId w:val="36"/>
  </w:num>
  <w:num w:numId="27">
    <w:abstractNumId w:val="21"/>
  </w:num>
  <w:num w:numId="28">
    <w:abstractNumId w:val="5"/>
  </w:num>
  <w:num w:numId="29">
    <w:abstractNumId w:val="20"/>
  </w:num>
  <w:num w:numId="30">
    <w:abstractNumId w:val="13"/>
  </w:num>
  <w:num w:numId="31">
    <w:abstractNumId w:val="39"/>
  </w:num>
  <w:num w:numId="32">
    <w:abstractNumId w:val="32"/>
  </w:num>
  <w:num w:numId="33">
    <w:abstractNumId w:val="30"/>
  </w:num>
  <w:num w:numId="34">
    <w:abstractNumId w:val="26"/>
  </w:num>
  <w:num w:numId="35">
    <w:abstractNumId w:val="16"/>
  </w:num>
  <w:num w:numId="36">
    <w:abstractNumId w:val="7"/>
  </w:num>
  <w:num w:numId="37">
    <w:abstractNumId w:val="25"/>
  </w:num>
  <w:num w:numId="38">
    <w:abstractNumId w:val="29"/>
  </w:num>
  <w:num w:numId="39">
    <w:abstractNumId w:val="12"/>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trackRevisions w:val="1"/>
  <w:documentProtection w:enforcement="0"/>
  <w:defaultTabStop w:val="420"/>
  <w:drawingGridHorizontalSpacing w:val="120"/>
  <w:drawingGridVerticalSpacing w:val="163"/>
  <w:noPunctuationKerning w:val="1"/>
  <w:characterSpacingControl w:val="doNotCompress"/>
  <w:noLineBreaksAfter w:lang="zh-CN" w:val="$([{£¥·‘“〈《「『【〔〖〝﹙﹛﹝＄（．［｛￡￥"/>
  <w:noLineBreaksBefore w:lang="zh-CN" w:val="!%),.:;&gt;?]}¢¨°·ˇˉ―‖’”…‰′″›℃∶、。〃〉》」』】〕〗〞︶︺︾﹀﹄﹚﹜﹞！＂％＇），．：；？］｀｜｝～￠"/>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VjNWZmMzQwMWViY2RkOTY4ODZiNDNmYTM2YmIwMzMifQ=="/>
  </w:docVars>
  <w:rsids>
    <w:rsidRoot w:val="00172A27"/>
    <w:rsid w:val="000002DE"/>
    <w:rsid w:val="0000062F"/>
    <w:rsid w:val="00000905"/>
    <w:rsid w:val="00000A15"/>
    <w:rsid w:val="00000B0B"/>
    <w:rsid w:val="00000CA3"/>
    <w:rsid w:val="00000E71"/>
    <w:rsid w:val="00001915"/>
    <w:rsid w:val="00001C19"/>
    <w:rsid w:val="00001FE8"/>
    <w:rsid w:val="000025A1"/>
    <w:rsid w:val="000028C5"/>
    <w:rsid w:val="00002BCE"/>
    <w:rsid w:val="00003292"/>
    <w:rsid w:val="00003656"/>
    <w:rsid w:val="000036A3"/>
    <w:rsid w:val="00003A44"/>
    <w:rsid w:val="00004519"/>
    <w:rsid w:val="00004AB5"/>
    <w:rsid w:val="00004E30"/>
    <w:rsid w:val="0000574F"/>
    <w:rsid w:val="0000629B"/>
    <w:rsid w:val="000064AA"/>
    <w:rsid w:val="0000654E"/>
    <w:rsid w:val="00006756"/>
    <w:rsid w:val="00006D42"/>
    <w:rsid w:val="000073CA"/>
    <w:rsid w:val="00007525"/>
    <w:rsid w:val="00007646"/>
    <w:rsid w:val="000078E3"/>
    <w:rsid w:val="00007930"/>
    <w:rsid w:val="00007F1B"/>
    <w:rsid w:val="00010154"/>
    <w:rsid w:val="00010320"/>
    <w:rsid w:val="000106A2"/>
    <w:rsid w:val="0001089E"/>
    <w:rsid w:val="000109DB"/>
    <w:rsid w:val="00010A4B"/>
    <w:rsid w:val="00010FB7"/>
    <w:rsid w:val="00011AC5"/>
    <w:rsid w:val="00011B48"/>
    <w:rsid w:val="00011BBF"/>
    <w:rsid w:val="00011BDA"/>
    <w:rsid w:val="00011CD0"/>
    <w:rsid w:val="0001223B"/>
    <w:rsid w:val="0001295D"/>
    <w:rsid w:val="00012C60"/>
    <w:rsid w:val="00012C6F"/>
    <w:rsid w:val="00013651"/>
    <w:rsid w:val="00013F0A"/>
    <w:rsid w:val="000140C8"/>
    <w:rsid w:val="00014637"/>
    <w:rsid w:val="000146B2"/>
    <w:rsid w:val="000149CF"/>
    <w:rsid w:val="00014D12"/>
    <w:rsid w:val="00014F64"/>
    <w:rsid w:val="00015361"/>
    <w:rsid w:val="000156C7"/>
    <w:rsid w:val="00015741"/>
    <w:rsid w:val="000159FF"/>
    <w:rsid w:val="00015B74"/>
    <w:rsid w:val="000162F4"/>
    <w:rsid w:val="000164F6"/>
    <w:rsid w:val="00016868"/>
    <w:rsid w:val="00016E8D"/>
    <w:rsid w:val="000171F5"/>
    <w:rsid w:val="00017F80"/>
    <w:rsid w:val="000206F0"/>
    <w:rsid w:val="000208AD"/>
    <w:rsid w:val="00021536"/>
    <w:rsid w:val="0002194F"/>
    <w:rsid w:val="00021CDE"/>
    <w:rsid w:val="00021D05"/>
    <w:rsid w:val="00022488"/>
    <w:rsid w:val="00022A8E"/>
    <w:rsid w:val="00023639"/>
    <w:rsid w:val="00023A6D"/>
    <w:rsid w:val="00023D11"/>
    <w:rsid w:val="000241B1"/>
    <w:rsid w:val="0002467B"/>
    <w:rsid w:val="00024C60"/>
    <w:rsid w:val="00024D7E"/>
    <w:rsid w:val="00025358"/>
    <w:rsid w:val="000256A9"/>
    <w:rsid w:val="000256DD"/>
    <w:rsid w:val="00025D52"/>
    <w:rsid w:val="00025F23"/>
    <w:rsid w:val="00025F9D"/>
    <w:rsid w:val="000264DF"/>
    <w:rsid w:val="0002670F"/>
    <w:rsid w:val="00026E82"/>
    <w:rsid w:val="00026F26"/>
    <w:rsid w:val="00027184"/>
    <w:rsid w:val="0003004A"/>
    <w:rsid w:val="00030189"/>
    <w:rsid w:val="000301B4"/>
    <w:rsid w:val="000302F1"/>
    <w:rsid w:val="00030527"/>
    <w:rsid w:val="0003058A"/>
    <w:rsid w:val="00030797"/>
    <w:rsid w:val="000309E7"/>
    <w:rsid w:val="000310BC"/>
    <w:rsid w:val="000316E5"/>
    <w:rsid w:val="00031715"/>
    <w:rsid w:val="000319F5"/>
    <w:rsid w:val="00031A33"/>
    <w:rsid w:val="00032121"/>
    <w:rsid w:val="00032573"/>
    <w:rsid w:val="000326C2"/>
    <w:rsid w:val="0003286B"/>
    <w:rsid w:val="000328C0"/>
    <w:rsid w:val="000329DB"/>
    <w:rsid w:val="00033025"/>
    <w:rsid w:val="00033271"/>
    <w:rsid w:val="000336F0"/>
    <w:rsid w:val="00033885"/>
    <w:rsid w:val="00033CD1"/>
    <w:rsid w:val="00033F00"/>
    <w:rsid w:val="000346CA"/>
    <w:rsid w:val="000352EA"/>
    <w:rsid w:val="00035763"/>
    <w:rsid w:val="00035A62"/>
    <w:rsid w:val="000364D2"/>
    <w:rsid w:val="00036BBB"/>
    <w:rsid w:val="00037092"/>
    <w:rsid w:val="0003718E"/>
    <w:rsid w:val="00037669"/>
    <w:rsid w:val="00037A36"/>
    <w:rsid w:val="0004026C"/>
    <w:rsid w:val="0004041F"/>
    <w:rsid w:val="00040731"/>
    <w:rsid w:val="00040D3B"/>
    <w:rsid w:val="00040D54"/>
    <w:rsid w:val="00040E4E"/>
    <w:rsid w:val="00041227"/>
    <w:rsid w:val="0004128B"/>
    <w:rsid w:val="000428FC"/>
    <w:rsid w:val="00043172"/>
    <w:rsid w:val="0004344B"/>
    <w:rsid w:val="000437B7"/>
    <w:rsid w:val="00043990"/>
    <w:rsid w:val="00043BDC"/>
    <w:rsid w:val="00043DD3"/>
    <w:rsid w:val="00044215"/>
    <w:rsid w:val="00044EAA"/>
    <w:rsid w:val="00044FB6"/>
    <w:rsid w:val="00045396"/>
    <w:rsid w:val="000456CF"/>
    <w:rsid w:val="00045739"/>
    <w:rsid w:val="00045939"/>
    <w:rsid w:val="00045B40"/>
    <w:rsid w:val="00045BBD"/>
    <w:rsid w:val="00045D82"/>
    <w:rsid w:val="000463DD"/>
    <w:rsid w:val="00046EC6"/>
    <w:rsid w:val="00046EF6"/>
    <w:rsid w:val="000471FD"/>
    <w:rsid w:val="00047209"/>
    <w:rsid w:val="0004783D"/>
    <w:rsid w:val="00047E64"/>
    <w:rsid w:val="00050344"/>
    <w:rsid w:val="0005074D"/>
    <w:rsid w:val="00050C1D"/>
    <w:rsid w:val="0005155D"/>
    <w:rsid w:val="000519BD"/>
    <w:rsid w:val="000519F5"/>
    <w:rsid w:val="00051DDD"/>
    <w:rsid w:val="00051DEF"/>
    <w:rsid w:val="00051EF3"/>
    <w:rsid w:val="00052246"/>
    <w:rsid w:val="000525BF"/>
    <w:rsid w:val="000525F6"/>
    <w:rsid w:val="000529FC"/>
    <w:rsid w:val="00052B98"/>
    <w:rsid w:val="000531AE"/>
    <w:rsid w:val="000534AF"/>
    <w:rsid w:val="0005371B"/>
    <w:rsid w:val="00053E75"/>
    <w:rsid w:val="000542C5"/>
    <w:rsid w:val="00054558"/>
    <w:rsid w:val="000546AB"/>
    <w:rsid w:val="00054979"/>
    <w:rsid w:val="000549C9"/>
    <w:rsid w:val="00054E52"/>
    <w:rsid w:val="000563CA"/>
    <w:rsid w:val="00056CC1"/>
    <w:rsid w:val="00056DCC"/>
    <w:rsid w:val="00057035"/>
    <w:rsid w:val="00057080"/>
    <w:rsid w:val="0005708D"/>
    <w:rsid w:val="00057163"/>
    <w:rsid w:val="000571AD"/>
    <w:rsid w:val="0005742D"/>
    <w:rsid w:val="000577B2"/>
    <w:rsid w:val="00057815"/>
    <w:rsid w:val="00060179"/>
    <w:rsid w:val="00060613"/>
    <w:rsid w:val="00060A69"/>
    <w:rsid w:val="00061115"/>
    <w:rsid w:val="000611C1"/>
    <w:rsid w:val="000619F3"/>
    <w:rsid w:val="00061C47"/>
    <w:rsid w:val="00061D29"/>
    <w:rsid w:val="00061EF7"/>
    <w:rsid w:val="00062052"/>
    <w:rsid w:val="000626A1"/>
    <w:rsid w:val="00062892"/>
    <w:rsid w:val="00062DBD"/>
    <w:rsid w:val="00062DED"/>
    <w:rsid w:val="00063612"/>
    <w:rsid w:val="00063694"/>
    <w:rsid w:val="00063BC9"/>
    <w:rsid w:val="00063C2C"/>
    <w:rsid w:val="00063FC6"/>
    <w:rsid w:val="00063FC8"/>
    <w:rsid w:val="0006423F"/>
    <w:rsid w:val="0006445E"/>
    <w:rsid w:val="00064F28"/>
    <w:rsid w:val="000652D3"/>
    <w:rsid w:val="00065D48"/>
    <w:rsid w:val="0006610B"/>
    <w:rsid w:val="0006641A"/>
    <w:rsid w:val="00066492"/>
    <w:rsid w:val="00066987"/>
    <w:rsid w:val="00066AED"/>
    <w:rsid w:val="0006736A"/>
    <w:rsid w:val="000679C1"/>
    <w:rsid w:val="00067A97"/>
    <w:rsid w:val="00067B46"/>
    <w:rsid w:val="00070103"/>
    <w:rsid w:val="000701E6"/>
    <w:rsid w:val="000704EA"/>
    <w:rsid w:val="00070790"/>
    <w:rsid w:val="00070A09"/>
    <w:rsid w:val="00070ACF"/>
    <w:rsid w:val="00070F5A"/>
    <w:rsid w:val="0007121F"/>
    <w:rsid w:val="000715D3"/>
    <w:rsid w:val="00071BC0"/>
    <w:rsid w:val="00071F0E"/>
    <w:rsid w:val="0007201A"/>
    <w:rsid w:val="0007218A"/>
    <w:rsid w:val="00072273"/>
    <w:rsid w:val="000724A5"/>
    <w:rsid w:val="000727F6"/>
    <w:rsid w:val="0007289A"/>
    <w:rsid w:val="000729B2"/>
    <w:rsid w:val="00072A0B"/>
    <w:rsid w:val="00072AA9"/>
    <w:rsid w:val="00072CE9"/>
    <w:rsid w:val="00072D7B"/>
    <w:rsid w:val="00072EBD"/>
    <w:rsid w:val="0007308F"/>
    <w:rsid w:val="00073C60"/>
    <w:rsid w:val="00073C69"/>
    <w:rsid w:val="00073FAC"/>
    <w:rsid w:val="00074002"/>
    <w:rsid w:val="0007464C"/>
    <w:rsid w:val="00074928"/>
    <w:rsid w:val="00074FDC"/>
    <w:rsid w:val="0007549A"/>
    <w:rsid w:val="00075A00"/>
    <w:rsid w:val="00075A10"/>
    <w:rsid w:val="00075F6A"/>
    <w:rsid w:val="00076C7E"/>
    <w:rsid w:val="00076D47"/>
    <w:rsid w:val="00077102"/>
    <w:rsid w:val="000773D0"/>
    <w:rsid w:val="00077580"/>
    <w:rsid w:val="00077588"/>
    <w:rsid w:val="00077655"/>
    <w:rsid w:val="00077FFA"/>
    <w:rsid w:val="00080014"/>
    <w:rsid w:val="0008017B"/>
    <w:rsid w:val="000805C2"/>
    <w:rsid w:val="00080785"/>
    <w:rsid w:val="00080CB8"/>
    <w:rsid w:val="00081082"/>
    <w:rsid w:val="00081393"/>
    <w:rsid w:val="0008236A"/>
    <w:rsid w:val="000827CE"/>
    <w:rsid w:val="00082F7D"/>
    <w:rsid w:val="0008347A"/>
    <w:rsid w:val="0008375D"/>
    <w:rsid w:val="00083929"/>
    <w:rsid w:val="00083A41"/>
    <w:rsid w:val="00083D66"/>
    <w:rsid w:val="00084172"/>
    <w:rsid w:val="000844C5"/>
    <w:rsid w:val="00084806"/>
    <w:rsid w:val="00085096"/>
    <w:rsid w:val="0008530B"/>
    <w:rsid w:val="00085EB3"/>
    <w:rsid w:val="000867FA"/>
    <w:rsid w:val="00087208"/>
    <w:rsid w:val="000873E6"/>
    <w:rsid w:val="00087439"/>
    <w:rsid w:val="00087598"/>
    <w:rsid w:val="00087CAD"/>
    <w:rsid w:val="00087CB9"/>
    <w:rsid w:val="00087F35"/>
    <w:rsid w:val="00087F4B"/>
    <w:rsid w:val="0009090A"/>
    <w:rsid w:val="00090A3A"/>
    <w:rsid w:val="000929A0"/>
    <w:rsid w:val="00092B7A"/>
    <w:rsid w:val="00092EAA"/>
    <w:rsid w:val="000931CD"/>
    <w:rsid w:val="000934B5"/>
    <w:rsid w:val="00093D3E"/>
    <w:rsid w:val="0009407F"/>
    <w:rsid w:val="000941F7"/>
    <w:rsid w:val="00094489"/>
    <w:rsid w:val="000944E7"/>
    <w:rsid w:val="00094B5D"/>
    <w:rsid w:val="00094DBB"/>
    <w:rsid w:val="000954FB"/>
    <w:rsid w:val="00095B65"/>
    <w:rsid w:val="00095D9E"/>
    <w:rsid w:val="000960B3"/>
    <w:rsid w:val="0009617D"/>
    <w:rsid w:val="000963A4"/>
    <w:rsid w:val="00096AE3"/>
    <w:rsid w:val="00097549"/>
    <w:rsid w:val="00097A11"/>
    <w:rsid w:val="00097C60"/>
    <w:rsid w:val="00097D31"/>
    <w:rsid w:val="00097F7D"/>
    <w:rsid w:val="000A0158"/>
    <w:rsid w:val="000A037A"/>
    <w:rsid w:val="000A065E"/>
    <w:rsid w:val="000A0A03"/>
    <w:rsid w:val="000A0ACC"/>
    <w:rsid w:val="000A185C"/>
    <w:rsid w:val="000A2707"/>
    <w:rsid w:val="000A2D7C"/>
    <w:rsid w:val="000A3081"/>
    <w:rsid w:val="000A308D"/>
    <w:rsid w:val="000A3177"/>
    <w:rsid w:val="000A375C"/>
    <w:rsid w:val="000A3B9F"/>
    <w:rsid w:val="000A3F36"/>
    <w:rsid w:val="000A4089"/>
    <w:rsid w:val="000A4339"/>
    <w:rsid w:val="000A4347"/>
    <w:rsid w:val="000A44A9"/>
    <w:rsid w:val="000A473B"/>
    <w:rsid w:val="000A58F4"/>
    <w:rsid w:val="000A5A19"/>
    <w:rsid w:val="000A5D11"/>
    <w:rsid w:val="000A5F3B"/>
    <w:rsid w:val="000A60E5"/>
    <w:rsid w:val="000A66CD"/>
    <w:rsid w:val="000A69FE"/>
    <w:rsid w:val="000A6A43"/>
    <w:rsid w:val="000A6A76"/>
    <w:rsid w:val="000A6D04"/>
    <w:rsid w:val="000A6EF7"/>
    <w:rsid w:val="000A799B"/>
    <w:rsid w:val="000A7EC9"/>
    <w:rsid w:val="000B0B20"/>
    <w:rsid w:val="000B0B54"/>
    <w:rsid w:val="000B0E4B"/>
    <w:rsid w:val="000B166E"/>
    <w:rsid w:val="000B1AC8"/>
    <w:rsid w:val="000B1C4A"/>
    <w:rsid w:val="000B222A"/>
    <w:rsid w:val="000B25AF"/>
    <w:rsid w:val="000B2E10"/>
    <w:rsid w:val="000B3104"/>
    <w:rsid w:val="000B31A4"/>
    <w:rsid w:val="000B3975"/>
    <w:rsid w:val="000B3CB9"/>
    <w:rsid w:val="000B3E64"/>
    <w:rsid w:val="000B3F50"/>
    <w:rsid w:val="000B422B"/>
    <w:rsid w:val="000B434F"/>
    <w:rsid w:val="000B4BF3"/>
    <w:rsid w:val="000B4DE3"/>
    <w:rsid w:val="000B4E4C"/>
    <w:rsid w:val="000B520E"/>
    <w:rsid w:val="000B586C"/>
    <w:rsid w:val="000B5882"/>
    <w:rsid w:val="000B58D2"/>
    <w:rsid w:val="000B5A89"/>
    <w:rsid w:val="000B61DC"/>
    <w:rsid w:val="000B6719"/>
    <w:rsid w:val="000B6BD3"/>
    <w:rsid w:val="000B714E"/>
    <w:rsid w:val="000B72A4"/>
    <w:rsid w:val="000B7517"/>
    <w:rsid w:val="000B7D91"/>
    <w:rsid w:val="000C0672"/>
    <w:rsid w:val="000C07FE"/>
    <w:rsid w:val="000C08F8"/>
    <w:rsid w:val="000C1690"/>
    <w:rsid w:val="000C1A12"/>
    <w:rsid w:val="000C22C5"/>
    <w:rsid w:val="000C29A3"/>
    <w:rsid w:val="000C2C9E"/>
    <w:rsid w:val="000C35AE"/>
    <w:rsid w:val="000C3624"/>
    <w:rsid w:val="000C368A"/>
    <w:rsid w:val="000C3993"/>
    <w:rsid w:val="000C3A1D"/>
    <w:rsid w:val="000C4122"/>
    <w:rsid w:val="000C47C3"/>
    <w:rsid w:val="000C538B"/>
    <w:rsid w:val="000C553B"/>
    <w:rsid w:val="000C581B"/>
    <w:rsid w:val="000C58F0"/>
    <w:rsid w:val="000C5BE9"/>
    <w:rsid w:val="000C5BF7"/>
    <w:rsid w:val="000C642E"/>
    <w:rsid w:val="000C6B85"/>
    <w:rsid w:val="000C6BB2"/>
    <w:rsid w:val="000C6C5E"/>
    <w:rsid w:val="000C7083"/>
    <w:rsid w:val="000C7403"/>
    <w:rsid w:val="000C74EB"/>
    <w:rsid w:val="000C7581"/>
    <w:rsid w:val="000D0002"/>
    <w:rsid w:val="000D0292"/>
    <w:rsid w:val="000D18EF"/>
    <w:rsid w:val="000D1C85"/>
    <w:rsid w:val="000D25E0"/>
    <w:rsid w:val="000D2D4C"/>
    <w:rsid w:val="000D2D95"/>
    <w:rsid w:val="000D31DE"/>
    <w:rsid w:val="000D3DA5"/>
    <w:rsid w:val="000D3E0F"/>
    <w:rsid w:val="000D3EF3"/>
    <w:rsid w:val="000D3FDD"/>
    <w:rsid w:val="000D4024"/>
    <w:rsid w:val="000D4B84"/>
    <w:rsid w:val="000D4DE9"/>
    <w:rsid w:val="000D56D2"/>
    <w:rsid w:val="000D5BB7"/>
    <w:rsid w:val="000D5D21"/>
    <w:rsid w:val="000D654A"/>
    <w:rsid w:val="000D6B70"/>
    <w:rsid w:val="000D7660"/>
    <w:rsid w:val="000D7BBB"/>
    <w:rsid w:val="000D7D64"/>
    <w:rsid w:val="000E02FC"/>
    <w:rsid w:val="000E10BF"/>
    <w:rsid w:val="000E126D"/>
    <w:rsid w:val="000E12BE"/>
    <w:rsid w:val="000E1707"/>
    <w:rsid w:val="000E1D42"/>
    <w:rsid w:val="000E1EF0"/>
    <w:rsid w:val="000E210C"/>
    <w:rsid w:val="000E239B"/>
    <w:rsid w:val="000E270F"/>
    <w:rsid w:val="000E2B24"/>
    <w:rsid w:val="000E2B73"/>
    <w:rsid w:val="000E3182"/>
    <w:rsid w:val="000E399F"/>
    <w:rsid w:val="000E3AEA"/>
    <w:rsid w:val="000E3C90"/>
    <w:rsid w:val="000E3D94"/>
    <w:rsid w:val="000E4550"/>
    <w:rsid w:val="000E469E"/>
    <w:rsid w:val="000E47A4"/>
    <w:rsid w:val="000E4917"/>
    <w:rsid w:val="000E4B85"/>
    <w:rsid w:val="000E4E8D"/>
    <w:rsid w:val="000E4ED1"/>
    <w:rsid w:val="000E51F7"/>
    <w:rsid w:val="000E533A"/>
    <w:rsid w:val="000E5B14"/>
    <w:rsid w:val="000E5B77"/>
    <w:rsid w:val="000E5DCD"/>
    <w:rsid w:val="000E629D"/>
    <w:rsid w:val="000E642E"/>
    <w:rsid w:val="000E6591"/>
    <w:rsid w:val="000E6D80"/>
    <w:rsid w:val="000E713A"/>
    <w:rsid w:val="000E74BB"/>
    <w:rsid w:val="000E7ABB"/>
    <w:rsid w:val="000E7F14"/>
    <w:rsid w:val="000F018E"/>
    <w:rsid w:val="000F0395"/>
    <w:rsid w:val="000F083E"/>
    <w:rsid w:val="000F0BC2"/>
    <w:rsid w:val="000F0C1F"/>
    <w:rsid w:val="000F0D09"/>
    <w:rsid w:val="000F104E"/>
    <w:rsid w:val="000F10F3"/>
    <w:rsid w:val="000F12AE"/>
    <w:rsid w:val="000F137F"/>
    <w:rsid w:val="000F1633"/>
    <w:rsid w:val="000F18F0"/>
    <w:rsid w:val="000F19D7"/>
    <w:rsid w:val="000F1C81"/>
    <w:rsid w:val="000F218F"/>
    <w:rsid w:val="000F269B"/>
    <w:rsid w:val="000F2809"/>
    <w:rsid w:val="000F2F56"/>
    <w:rsid w:val="000F3583"/>
    <w:rsid w:val="000F38ED"/>
    <w:rsid w:val="000F3D0E"/>
    <w:rsid w:val="000F3E1D"/>
    <w:rsid w:val="000F4094"/>
    <w:rsid w:val="000F4226"/>
    <w:rsid w:val="000F4F0B"/>
    <w:rsid w:val="000F502D"/>
    <w:rsid w:val="000F56EE"/>
    <w:rsid w:val="000F5F07"/>
    <w:rsid w:val="000F5FD1"/>
    <w:rsid w:val="000F6151"/>
    <w:rsid w:val="000F6282"/>
    <w:rsid w:val="000F6B82"/>
    <w:rsid w:val="000F7911"/>
    <w:rsid w:val="000F7A23"/>
    <w:rsid w:val="000F7F4B"/>
    <w:rsid w:val="0010086D"/>
    <w:rsid w:val="00100E57"/>
    <w:rsid w:val="00101676"/>
    <w:rsid w:val="00101703"/>
    <w:rsid w:val="0010188A"/>
    <w:rsid w:val="0010209B"/>
    <w:rsid w:val="00102305"/>
    <w:rsid w:val="00102977"/>
    <w:rsid w:val="00102E5D"/>
    <w:rsid w:val="00102E66"/>
    <w:rsid w:val="00103104"/>
    <w:rsid w:val="00103344"/>
    <w:rsid w:val="0010398D"/>
    <w:rsid w:val="00103C77"/>
    <w:rsid w:val="00103CA7"/>
    <w:rsid w:val="00103E96"/>
    <w:rsid w:val="001043E1"/>
    <w:rsid w:val="00104467"/>
    <w:rsid w:val="00104672"/>
    <w:rsid w:val="00104A3D"/>
    <w:rsid w:val="00104DC0"/>
    <w:rsid w:val="00104E1E"/>
    <w:rsid w:val="00104EE4"/>
    <w:rsid w:val="001050F2"/>
    <w:rsid w:val="0010525D"/>
    <w:rsid w:val="0010546B"/>
    <w:rsid w:val="001057C9"/>
    <w:rsid w:val="00105DD3"/>
    <w:rsid w:val="00105F6A"/>
    <w:rsid w:val="00107012"/>
    <w:rsid w:val="001076FF"/>
    <w:rsid w:val="00107DC4"/>
    <w:rsid w:val="001101D7"/>
    <w:rsid w:val="00110202"/>
    <w:rsid w:val="001102B4"/>
    <w:rsid w:val="00110BF4"/>
    <w:rsid w:val="00110E28"/>
    <w:rsid w:val="0011104C"/>
    <w:rsid w:val="0011119C"/>
    <w:rsid w:val="00111CC5"/>
    <w:rsid w:val="00111EA8"/>
    <w:rsid w:val="00111F95"/>
    <w:rsid w:val="001124C8"/>
    <w:rsid w:val="001124CE"/>
    <w:rsid w:val="0011255B"/>
    <w:rsid w:val="00112856"/>
    <w:rsid w:val="001129D2"/>
    <w:rsid w:val="00112FF6"/>
    <w:rsid w:val="00113171"/>
    <w:rsid w:val="001136A0"/>
    <w:rsid w:val="00113764"/>
    <w:rsid w:val="0011416B"/>
    <w:rsid w:val="00114263"/>
    <w:rsid w:val="0011448A"/>
    <w:rsid w:val="00114BF1"/>
    <w:rsid w:val="00114D2D"/>
    <w:rsid w:val="001150AF"/>
    <w:rsid w:val="0011522E"/>
    <w:rsid w:val="0011579C"/>
    <w:rsid w:val="0011669A"/>
    <w:rsid w:val="00116A35"/>
    <w:rsid w:val="00116C18"/>
    <w:rsid w:val="00116C5D"/>
    <w:rsid w:val="001171B9"/>
    <w:rsid w:val="00117216"/>
    <w:rsid w:val="001203AD"/>
    <w:rsid w:val="00120467"/>
    <w:rsid w:val="0012070D"/>
    <w:rsid w:val="00120D2C"/>
    <w:rsid w:val="00120F26"/>
    <w:rsid w:val="0012103F"/>
    <w:rsid w:val="001214AA"/>
    <w:rsid w:val="001219FD"/>
    <w:rsid w:val="00121BBB"/>
    <w:rsid w:val="001220BE"/>
    <w:rsid w:val="0012231E"/>
    <w:rsid w:val="0012248B"/>
    <w:rsid w:val="00122629"/>
    <w:rsid w:val="0012281D"/>
    <w:rsid w:val="001228F9"/>
    <w:rsid w:val="00122A4E"/>
    <w:rsid w:val="00122AAC"/>
    <w:rsid w:val="00122EC9"/>
    <w:rsid w:val="001230D0"/>
    <w:rsid w:val="00123977"/>
    <w:rsid w:val="00123AE9"/>
    <w:rsid w:val="00123B8B"/>
    <w:rsid w:val="0012447F"/>
    <w:rsid w:val="001245FD"/>
    <w:rsid w:val="0012463D"/>
    <w:rsid w:val="00124679"/>
    <w:rsid w:val="00124890"/>
    <w:rsid w:val="0012496B"/>
    <w:rsid w:val="00124A0D"/>
    <w:rsid w:val="00124CC1"/>
    <w:rsid w:val="00124FDA"/>
    <w:rsid w:val="00125829"/>
    <w:rsid w:val="00125954"/>
    <w:rsid w:val="00125EEC"/>
    <w:rsid w:val="00125FD0"/>
    <w:rsid w:val="00126258"/>
    <w:rsid w:val="00126331"/>
    <w:rsid w:val="001272B9"/>
    <w:rsid w:val="00130325"/>
    <w:rsid w:val="0013059C"/>
    <w:rsid w:val="00130946"/>
    <w:rsid w:val="00131C15"/>
    <w:rsid w:val="00131C56"/>
    <w:rsid w:val="00131DCC"/>
    <w:rsid w:val="0013205F"/>
    <w:rsid w:val="001320AE"/>
    <w:rsid w:val="00132235"/>
    <w:rsid w:val="00132693"/>
    <w:rsid w:val="00132EE4"/>
    <w:rsid w:val="00133231"/>
    <w:rsid w:val="001334F9"/>
    <w:rsid w:val="001337C1"/>
    <w:rsid w:val="00133897"/>
    <w:rsid w:val="0013393D"/>
    <w:rsid w:val="00133982"/>
    <w:rsid w:val="001339D3"/>
    <w:rsid w:val="00133C3B"/>
    <w:rsid w:val="00133F0F"/>
    <w:rsid w:val="00133FF9"/>
    <w:rsid w:val="00134252"/>
    <w:rsid w:val="00134585"/>
    <w:rsid w:val="001345F5"/>
    <w:rsid w:val="001348DA"/>
    <w:rsid w:val="00135B89"/>
    <w:rsid w:val="001360F2"/>
    <w:rsid w:val="00136169"/>
    <w:rsid w:val="00136231"/>
    <w:rsid w:val="00136774"/>
    <w:rsid w:val="0013695F"/>
    <w:rsid w:val="00137DCA"/>
    <w:rsid w:val="001407AE"/>
    <w:rsid w:val="001414D0"/>
    <w:rsid w:val="00141E69"/>
    <w:rsid w:val="00141F29"/>
    <w:rsid w:val="0014204E"/>
    <w:rsid w:val="001422E3"/>
    <w:rsid w:val="00142A38"/>
    <w:rsid w:val="00142B71"/>
    <w:rsid w:val="00142D4B"/>
    <w:rsid w:val="00143173"/>
    <w:rsid w:val="001432AB"/>
    <w:rsid w:val="001432E2"/>
    <w:rsid w:val="00143A76"/>
    <w:rsid w:val="00143FA3"/>
    <w:rsid w:val="001443EE"/>
    <w:rsid w:val="00144DE8"/>
    <w:rsid w:val="0014559D"/>
    <w:rsid w:val="00145B94"/>
    <w:rsid w:val="00145EE5"/>
    <w:rsid w:val="0014672F"/>
    <w:rsid w:val="00146C17"/>
    <w:rsid w:val="0014743B"/>
    <w:rsid w:val="00147574"/>
    <w:rsid w:val="001477BA"/>
    <w:rsid w:val="00147998"/>
    <w:rsid w:val="00147A6B"/>
    <w:rsid w:val="00147D3C"/>
    <w:rsid w:val="00150068"/>
    <w:rsid w:val="00150386"/>
    <w:rsid w:val="001504AF"/>
    <w:rsid w:val="001506E1"/>
    <w:rsid w:val="001507F6"/>
    <w:rsid w:val="00150C3F"/>
    <w:rsid w:val="00150D48"/>
    <w:rsid w:val="00150EBE"/>
    <w:rsid w:val="00150F57"/>
    <w:rsid w:val="00151A1B"/>
    <w:rsid w:val="00151BA8"/>
    <w:rsid w:val="00151E5C"/>
    <w:rsid w:val="0015203B"/>
    <w:rsid w:val="001528B1"/>
    <w:rsid w:val="001532F2"/>
    <w:rsid w:val="0015345F"/>
    <w:rsid w:val="001535C9"/>
    <w:rsid w:val="00153EEA"/>
    <w:rsid w:val="00154163"/>
    <w:rsid w:val="00154395"/>
    <w:rsid w:val="00154D31"/>
    <w:rsid w:val="00154F3F"/>
    <w:rsid w:val="00155124"/>
    <w:rsid w:val="001558C5"/>
    <w:rsid w:val="00156A81"/>
    <w:rsid w:val="00156AFD"/>
    <w:rsid w:val="00156CAC"/>
    <w:rsid w:val="00156D70"/>
    <w:rsid w:val="001571DE"/>
    <w:rsid w:val="00157611"/>
    <w:rsid w:val="001576E4"/>
    <w:rsid w:val="001579FA"/>
    <w:rsid w:val="00157F81"/>
    <w:rsid w:val="00160B94"/>
    <w:rsid w:val="00160E80"/>
    <w:rsid w:val="0016100B"/>
    <w:rsid w:val="001617E7"/>
    <w:rsid w:val="00161B84"/>
    <w:rsid w:val="00161FAF"/>
    <w:rsid w:val="001621BA"/>
    <w:rsid w:val="0016220E"/>
    <w:rsid w:val="001623FF"/>
    <w:rsid w:val="001625C5"/>
    <w:rsid w:val="0016261A"/>
    <w:rsid w:val="00162673"/>
    <w:rsid w:val="00162865"/>
    <w:rsid w:val="00162FAF"/>
    <w:rsid w:val="0016316A"/>
    <w:rsid w:val="00163C54"/>
    <w:rsid w:val="001640E5"/>
    <w:rsid w:val="00164136"/>
    <w:rsid w:val="00165165"/>
    <w:rsid w:val="0016561C"/>
    <w:rsid w:val="00165764"/>
    <w:rsid w:val="00165BF4"/>
    <w:rsid w:val="001669A3"/>
    <w:rsid w:val="00166BA7"/>
    <w:rsid w:val="00166E71"/>
    <w:rsid w:val="0016765D"/>
    <w:rsid w:val="001676C5"/>
    <w:rsid w:val="00167CEF"/>
    <w:rsid w:val="001701A9"/>
    <w:rsid w:val="00170C1E"/>
    <w:rsid w:val="001712C6"/>
    <w:rsid w:val="001716B9"/>
    <w:rsid w:val="00171C59"/>
    <w:rsid w:val="00171CE6"/>
    <w:rsid w:val="0017211E"/>
    <w:rsid w:val="00172249"/>
    <w:rsid w:val="00172A27"/>
    <w:rsid w:val="001739E9"/>
    <w:rsid w:val="00173ABA"/>
    <w:rsid w:val="001740F0"/>
    <w:rsid w:val="0017420F"/>
    <w:rsid w:val="0017465F"/>
    <w:rsid w:val="00174A9A"/>
    <w:rsid w:val="00174D86"/>
    <w:rsid w:val="001753D3"/>
    <w:rsid w:val="00175670"/>
    <w:rsid w:val="0017567E"/>
    <w:rsid w:val="00175871"/>
    <w:rsid w:val="00175DC3"/>
    <w:rsid w:val="0017623B"/>
    <w:rsid w:val="00177144"/>
    <w:rsid w:val="001771A2"/>
    <w:rsid w:val="0017731C"/>
    <w:rsid w:val="00177539"/>
    <w:rsid w:val="001802C5"/>
    <w:rsid w:val="0018044C"/>
    <w:rsid w:val="001806B7"/>
    <w:rsid w:val="00180B2F"/>
    <w:rsid w:val="001814E4"/>
    <w:rsid w:val="00181ACD"/>
    <w:rsid w:val="00181F9E"/>
    <w:rsid w:val="001823E8"/>
    <w:rsid w:val="00182458"/>
    <w:rsid w:val="0018245B"/>
    <w:rsid w:val="001824A2"/>
    <w:rsid w:val="00182B23"/>
    <w:rsid w:val="00183149"/>
    <w:rsid w:val="0018372D"/>
    <w:rsid w:val="00183926"/>
    <w:rsid w:val="00183C2B"/>
    <w:rsid w:val="00183DF6"/>
    <w:rsid w:val="001843E1"/>
    <w:rsid w:val="001843E9"/>
    <w:rsid w:val="00184779"/>
    <w:rsid w:val="00184D3D"/>
    <w:rsid w:val="00184D46"/>
    <w:rsid w:val="00184EA2"/>
    <w:rsid w:val="00185829"/>
    <w:rsid w:val="00185C62"/>
    <w:rsid w:val="00185D30"/>
    <w:rsid w:val="00185E59"/>
    <w:rsid w:val="00185FFA"/>
    <w:rsid w:val="001862BE"/>
    <w:rsid w:val="00186527"/>
    <w:rsid w:val="00186BE7"/>
    <w:rsid w:val="00187630"/>
    <w:rsid w:val="00187679"/>
    <w:rsid w:val="0018789F"/>
    <w:rsid w:val="00187924"/>
    <w:rsid w:val="001879D3"/>
    <w:rsid w:val="00187B55"/>
    <w:rsid w:val="00187D6A"/>
    <w:rsid w:val="00190573"/>
    <w:rsid w:val="001907C9"/>
    <w:rsid w:val="00190879"/>
    <w:rsid w:val="00190E5C"/>
    <w:rsid w:val="00190FB7"/>
    <w:rsid w:val="00191105"/>
    <w:rsid w:val="00191AB7"/>
    <w:rsid w:val="00191C97"/>
    <w:rsid w:val="00191DA6"/>
    <w:rsid w:val="00192016"/>
    <w:rsid w:val="001920D5"/>
    <w:rsid w:val="001924F1"/>
    <w:rsid w:val="00192518"/>
    <w:rsid w:val="00192799"/>
    <w:rsid w:val="001932E7"/>
    <w:rsid w:val="00193593"/>
    <w:rsid w:val="001935C9"/>
    <w:rsid w:val="001937D1"/>
    <w:rsid w:val="00193D6E"/>
    <w:rsid w:val="00194424"/>
    <w:rsid w:val="001944AF"/>
    <w:rsid w:val="0019461E"/>
    <w:rsid w:val="0019497A"/>
    <w:rsid w:val="00194F49"/>
    <w:rsid w:val="001956A0"/>
    <w:rsid w:val="00195A8F"/>
    <w:rsid w:val="00196260"/>
    <w:rsid w:val="0019642F"/>
    <w:rsid w:val="001965C8"/>
    <w:rsid w:val="00196A07"/>
    <w:rsid w:val="00196E13"/>
    <w:rsid w:val="00196FAC"/>
    <w:rsid w:val="00197A93"/>
    <w:rsid w:val="00197D40"/>
    <w:rsid w:val="001A06EA"/>
    <w:rsid w:val="001A0AFF"/>
    <w:rsid w:val="001A1947"/>
    <w:rsid w:val="001A1AE4"/>
    <w:rsid w:val="001A1C50"/>
    <w:rsid w:val="001A204C"/>
    <w:rsid w:val="001A20D2"/>
    <w:rsid w:val="001A26C7"/>
    <w:rsid w:val="001A3093"/>
    <w:rsid w:val="001A3850"/>
    <w:rsid w:val="001A3B43"/>
    <w:rsid w:val="001A3DD3"/>
    <w:rsid w:val="001A419E"/>
    <w:rsid w:val="001A41BD"/>
    <w:rsid w:val="001A42C4"/>
    <w:rsid w:val="001A4305"/>
    <w:rsid w:val="001A57EA"/>
    <w:rsid w:val="001A59BB"/>
    <w:rsid w:val="001A5C4C"/>
    <w:rsid w:val="001A6409"/>
    <w:rsid w:val="001A6617"/>
    <w:rsid w:val="001A67F3"/>
    <w:rsid w:val="001A6A7F"/>
    <w:rsid w:val="001A700A"/>
    <w:rsid w:val="001A7E43"/>
    <w:rsid w:val="001B0169"/>
    <w:rsid w:val="001B03B9"/>
    <w:rsid w:val="001B040D"/>
    <w:rsid w:val="001B0465"/>
    <w:rsid w:val="001B07CB"/>
    <w:rsid w:val="001B0A2E"/>
    <w:rsid w:val="001B0D72"/>
    <w:rsid w:val="001B164D"/>
    <w:rsid w:val="001B17C9"/>
    <w:rsid w:val="001B1B21"/>
    <w:rsid w:val="001B2021"/>
    <w:rsid w:val="001B2966"/>
    <w:rsid w:val="001B2BBE"/>
    <w:rsid w:val="001B2CBC"/>
    <w:rsid w:val="001B2E43"/>
    <w:rsid w:val="001B2FDC"/>
    <w:rsid w:val="001B37CA"/>
    <w:rsid w:val="001B38A4"/>
    <w:rsid w:val="001B3CE7"/>
    <w:rsid w:val="001B3D10"/>
    <w:rsid w:val="001B3DB9"/>
    <w:rsid w:val="001B4034"/>
    <w:rsid w:val="001B471A"/>
    <w:rsid w:val="001B4A70"/>
    <w:rsid w:val="001B5295"/>
    <w:rsid w:val="001B5642"/>
    <w:rsid w:val="001B5D62"/>
    <w:rsid w:val="001B5E66"/>
    <w:rsid w:val="001B67F0"/>
    <w:rsid w:val="001B6E12"/>
    <w:rsid w:val="001B7084"/>
    <w:rsid w:val="001B7D13"/>
    <w:rsid w:val="001C0133"/>
    <w:rsid w:val="001C1624"/>
    <w:rsid w:val="001C181E"/>
    <w:rsid w:val="001C1EAD"/>
    <w:rsid w:val="001C24D3"/>
    <w:rsid w:val="001C285C"/>
    <w:rsid w:val="001C2DF9"/>
    <w:rsid w:val="001C2E19"/>
    <w:rsid w:val="001C300F"/>
    <w:rsid w:val="001C30A8"/>
    <w:rsid w:val="001C3108"/>
    <w:rsid w:val="001C3350"/>
    <w:rsid w:val="001C34B2"/>
    <w:rsid w:val="001C38BC"/>
    <w:rsid w:val="001C3912"/>
    <w:rsid w:val="001C39B6"/>
    <w:rsid w:val="001C3D47"/>
    <w:rsid w:val="001C4027"/>
    <w:rsid w:val="001C40AF"/>
    <w:rsid w:val="001C42F1"/>
    <w:rsid w:val="001C4688"/>
    <w:rsid w:val="001C4DFE"/>
    <w:rsid w:val="001C4F4F"/>
    <w:rsid w:val="001C5E65"/>
    <w:rsid w:val="001C6570"/>
    <w:rsid w:val="001C6C83"/>
    <w:rsid w:val="001C7072"/>
    <w:rsid w:val="001C716D"/>
    <w:rsid w:val="001C7B67"/>
    <w:rsid w:val="001D0266"/>
    <w:rsid w:val="001D03B0"/>
    <w:rsid w:val="001D04F0"/>
    <w:rsid w:val="001D0553"/>
    <w:rsid w:val="001D0574"/>
    <w:rsid w:val="001D131E"/>
    <w:rsid w:val="001D135A"/>
    <w:rsid w:val="001D155C"/>
    <w:rsid w:val="001D1725"/>
    <w:rsid w:val="001D1EA9"/>
    <w:rsid w:val="001D2439"/>
    <w:rsid w:val="001D245C"/>
    <w:rsid w:val="001D26E7"/>
    <w:rsid w:val="001D2B1B"/>
    <w:rsid w:val="001D2EEE"/>
    <w:rsid w:val="001D3B23"/>
    <w:rsid w:val="001D4112"/>
    <w:rsid w:val="001D4413"/>
    <w:rsid w:val="001D4A84"/>
    <w:rsid w:val="001D5BE3"/>
    <w:rsid w:val="001D5EF6"/>
    <w:rsid w:val="001D6815"/>
    <w:rsid w:val="001D710D"/>
    <w:rsid w:val="001D7160"/>
    <w:rsid w:val="001D71FC"/>
    <w:rsid w:val="001D74EB"/>
    <w:rsid w:val="001D7B91"/>
    <w:rsid w:val="001D7BFB"/>
    <w:rsid w:val="001D7C42"/>
    <w:rsid w:val="001E0077"/>
    <w:rsid w:val="001E05A5"/>
    <w:rsid w:val="001E112B"/>
    <w:rsid w:val="001E1209"/>
    <w:rsid w:val="001E27B1"/>
    <w:rsid w:val="001E2BAB"/>
    <w:rsid w:val="001E2C0D"/>
    <w:rsid w:val="001E2C57"/>
    <w:rsid w:val="001E2E9F"/>
    <w:rsid w:val="001E2F52"/>
    <w:rsid w:val="001E3212"/>
    <w:rsid w:val="001E3997"/>
    <w:rsid w:val="001E40BE"/>
    <w:rsid w:val="001E4283"/>
    <w:rsid w:val="001E5165"/>
    <w:rsid w:val="001E517B"/>
    <w:rsid w:val="001E51B1"/>
    <w:rsid w:val="001E56D0"/>
    <w:rsid w:val="001E5DA1"/>
    <w:rsid w:val="001E602A"/>
    <w:rsid w:val="001E61B4"/>
    <w:rsid w:val="001E6399"/>
    <w:rsid w:val="001E730F"/>
    <w:rsid w:val="001E7860"/>
    <w:rsid w:val="001F0356"/>
    <w:rsid w:val="001F0462"/>
    <w:rsid w:val="001F05E2"/>
    <w:rsid w:val="001F0AB1"/>
    <w:rsid w:val="001F0C0E"/>
    <w:rsid w:val="001F0E22"/>
    <w:rsid w:val="001F1B0A"/>
    <w:rsid w:val="001F1EEA"/>
    <w:rsid w:val="001F28A1"/>
    <w:rsid w:val="001F2A04"/>
    <w:rsid w:val="001F338C"/>
    <w:rsid w:val="001F33E0"/>
    <w:rsid w:val="001F4623"/>
    <w:rsid w:val="001F46EB"/>
    <w:rsid w:val="001F4751"/>
    <w:rsid w:val="001F4A3D"/>
    <w:rsid w:val="001F4AA9"/>
    <w:rsid w:val="001F5661"/>
    <w:rsid w:val="001F5873"/>
    <w:rsid w:val="001F5938"/>
    <w:rsid w:val="001F5CA6"/>
    <w:rsid w:val="001F5CF9"/>
    <w:rsid w:val="001F5EB2"/>
    <w:rsid w:val="001F6172"/>
    <w:rsid w:val="001F6748"/>
    <w:rsid w:val="001F680D"/>
    <w:rsid w:val="001F6971"/>
    <w:rsid w:val="001F6B90"/>
    <w:rsid w:val="001F6E6A"/>
    <w:rsid w:val="001F7CCD"/>
    <w:rsid w:val="00200373"/>
    <w:rsid w:val="002003B4"/>
    <w:rsid w:val="002004FA"/>
    <w:rsid w:val="00200917"/>
    <w:rsid w:val="00200C4B"/>
    <w:rsid w:val="00200EE4"/>
    <w:rsid w:val="00200FFD"/>
    <w:rsid w:val="0020126E"/>
    <w:rsid w:val="002012C4"/>
    <w:rsid w:val="0020163A"/>
    <w:rsid w:val="00201F85"/>
    <w:rsid w:val="00202F8E"/>
    <w:rsid w:val="00202FB6"/>
    <w:rsid w:val="0020312E"/>
    <w:rsid w:val="00203163"/>
    <w:rsid w:val="00203BA8"/>
    <w:rsid w:val="00203BCC"/>
    <w:rsid w:val="00203D4D"/>
    <w:rsid w:val="0020447E"/>
    <w:rsid w:val="00204D96"/>
    <w:rsid w:val="00204DE7"/>
    <w:rsid w:val="00204DED"/>
    <w:rsid w:val="00205782"/>
    <w:rsid w:val="002059A9"/>
    <w:rsid w:val="00205C1B"/>
    <w:rsid w:val="00205F7C"/>
    <w:rsid w:val="002060D7"/>
    <w:rsid w:val="00206309"/>
    <w:rsid w:val="002069AB"/>
    <w:rsid w:val="00206ACB"/>
    <w:rsid w:val="0020717B"/>
    <w:rsid w:val="0021030E"/>
    <w:rsid w:val="00210D11"/>
    <w:rsid w:val="002110B3"/>
    <w:rsid w:val="0021161A"/>
    <w:rsid w:val="00211774"/>
    <w:rsid w:val="00211999"/>
    <w:rsid w:val="00211CA5"/>
    <w:rsid w:val="0021207A"/>
    <w:rsid w:val="00212307"/>
    <w:rsid w:val="00212445"/>
    <w:rsid w:val="002124A7"/>
    <w:rsid w:val="00212E11"/>
    <w:rsid w:val="00213002"/>
    <w:rsid w:val="002132C8"/>
    <w:rsid w:val="0021392B"/>
    <w:rsid w:val="00213A3F"/>
    <w:rsid w:val="00213D7E"/>
    <w:rsid w:val="0021400F"/>
    <w:rsid w:val="00214208"/>
    <w:rsid w:val="00215366"/>
    <w:rsid w:val="0021542A"/>
    <w:rsid w:val="00215495"/>
    <w:rsid w:val="00215707"/>
    <w:rsid w:val="00215918"/>
    <w:rsid w:val="00215AFC"/>
    <w:rsid w:val="00215EFF"/>
    <w:rsid w:val="00215F75"/>
    <w:rsid w:val="0021616E"/>
    <w:rsid w:val="0021618F"/>
    <w:rsid w:val="00216392"/>
    <w:rsid w:val="00216895"/>
    <w:rsid w:val="00216A09"/>
    <w:rsid w:val="00216B3B"/>
    <w:rsid w:val="00216BCE"/>
    <w:rsid w:val="00216D21"/>
    <w:rsid w:val="00216D7D"/>
    <w:rsid w:val="0021744F"/>
    <w:rsid w:val="002176CB"/>
    <w:rsid w:val="0021783D"/>
    <w:rsid w:val="00217BAD"/>
    <w:rsid w:val="0022004B"/>
    <w:rsid w:val="002201B3"/>
    <w:rsid w:val="00220273"/>
    <w:rsid w:val="00220340"/>
    <w:rsid w:val="00220A10"/>
    <w:rsid w:val="00220E24"/>
    <w:rsid w:val="00221172"/>
    <w:rsid w:val="0022164A"/>
    <w:rsid w:val="0022174C"/>
    <w:rsid w:val="00222000"/>
    <w:rsid w:val="0022214F"/>
    <w:rsid w:val="0022216B"/>
    <w:rsid w:val="00222B96"/>
    <w:rsid w:val="00222DC9"/>
    <w:rsid w:val="00222E0C"/>
    <w:rsid w:val="00222FD9"/>
    <w:rsid w:val="002233FB"/>
    <w:rsid w:val="00223527"/>
    <w:rsid w:val="002237CF"/>
    <w:rsid w:val="00223B3F"/>
    <w:rsid w:val="00223EB9"/>
    <w:rsid w:val="00224333"/>
    <w:rsid w:val="0022452E"/>
    <w:rsid w:val="0022514C"/>
    <w:rsid w:val="002258A4"/>
    <w:rsid w:val="00225A26"/>
    <w:rsid w:val="00225A58"/>
    <w:rsid w:val="00225AD1"/>
    <w:rsid w:val="00225E2F"/>
    <w:rsid w:val="002261C2"/>
    <w:rsid w:val="002262FD"/>
    <w:rsid w:val="00226D17"/>
    <w:rsid w:val="00226F40"/>
    <w:rsid w:val="00227297"/>
    <w:rsid w:val="00227298"/>
    <w:rsid w:val="00227C9D"/>
    <w:rsid w:val="0023008A"/>
    <w:rsid w:val="002306F7"/>
    <w:rsid w:val="00230EF3"/>
    <w:rsid w:val="00231CBC"/>
    <w:rsid w:val="00232299"/>
    <w:rsid w:val="002324FA"/>
    <w:rsid w:val="00232D6A"/>
    <w:rsid w:val="00233118"/>
    <w:rsid w:val="002335DD"/>
    <w:rsid w:val="0023388A"/>
    <w:rsid w:val="002339C9"/>
    <w:rsid w:val="002344E2"/>
    <w:rsid w:val="00234552"/>
    <w:rsid w:val="00234B38"/>
    <w:rsid w:val="00234EB8"/>
    <w:rsid w:val="00235017"/>
    <w:rsid w:val="00235189"/>
    <w:rsid w:val="00235249"/>
    <w:rsid w:val="00235740"/>
    <w:rsid w:val="002357B9"/>
    <w:rsid w:val="00235861"/>
    <w:rsid w:val="00235F18"/>
    <w:rsid w:val="00236068"/>
    <w:rsid w:val="002360A0"/>
    <w:rsid w:val="00237037"/>
    <w:rsid w:val="002370B0"/>
    <w:rsid w:val="0023716C"/>
    <w:rsid w:val="00237325"/>
    <w:rsid w:val="002375EC"/>
    <w:rsid w:val="00237652"/>
    <w:rsid w:val="0023791C"/>
    <w:rsid w:val="00237B3F"/>
    <w:rsid w:val="00237D13"/>
    <w:rsid w:val="00237FE2"/>
    <w:rsid w:val="0024027A"/>
    <w:rsid w:val="002402E7"/>
    <w:rsid w:val="00240895"/>
    <w:rsid w:val="00240980"/>
    <w:rsid w:val="00240A0B"/>
    <w:rsid w:val="00240AA7"/>
    <w:rsid w:val="00240E6E"/>
    <w:rsid w:val="00240F61"/>
    <w:rsid w:val="00241056"/>
    <w:rsid w:val="002411E7"/>
    <w:rsid w:val="00241C46"/>
    <w:rsid w:val="00241CF5"/>
    <w:rsid w:val="00241FBD"/>
    <w:rsid w:val="00241FF1"/>
    <w:rsid w:val="00242597"/>
    <w:rsid w:val="002428E9"/>
    <w:rsid w:val="002429DF"/>
    <w:rsid w:val="00242B38"/>
    <w:rsid w:val="00242C71"/>
    <w:rsid w:val="00243D09"/>
    <w:rsid w:val="0024444C"/>
    <w:rsid w:val="00244882"/>
    <w:rsid w:val="00245EA1"/>
    <w:rsid w:val="002463A6"/>
    <w:rsid w:val="00246665"/>
    <w:rsid w:val="002469E5"/>
    <w:rsid w:val="002469F3"/>
    <w:rsid w:val="00246BFC"/>
    <w:rsid w:val="00246E51"/>
    <w:rsid w:val="00247194"/>
    <w:rsid w:val="00247A13"/>
    <w:rsid w:val="00247E15"/>
    <w:rsid w:val="002501DC"/>
    <w:rsid w:val="002501EA"/>
    <w:rsid w:val="002505E5"/>
    <w:rsid w:val="00250654"/>
    <w:rsid w:val="00250F35"/>
    <w:rsid w:val="00251175"/>
    <w:rsid w:val="002511D9"/>
    <w:rsid w:val="00251401"/>
    <w:rsid w:val="00251665"/>
    <w:rsid w:val="002517C4"/>
    <w:rsid w:val="00251C5E"/>
    <w:rsid w:val="00251D5C"/>
    <w:rsid w:val="0025235C"/>
    <w:rsid w:val="002523AF"/>
    <w:rsid w:val="002524B4"/>
    <w:rsid w:val="0025327C"/>
    <w:rsid w:val="002533D5"/>
    <w:rsid w:val="00253496"/>
    <w:rsid w:val="002537E1"/>
    <w:rsid w:val="0025384C"/>
    <w:rsid w:val="00253D4A"/>
    <w:rsid w:val="0025406B"/>
    <w:rsid w:val="0025411B"/>
    <w:rsid w:val="0025437C"/>
    <w:rsid w:val="00254385"/>
    <w:rsid w:val="002548C6"/>
    <w:rsid w:val="00255818"/>
    <w:rsid w:val="00255E06"/>
    <w:rsid w:val="00255EB0"/>
    <w:rsid w:val="00255EC1"/>
    <w:rsid w:val="00256820"/>
    <w:rsid w:val="00256EC7"/>
    <w:rsid w:val="00257038"/>
    <w:rsid w:val="002572EF"/>
    <w:rsid w:val="00257637"/>
    <w:rsid w:val="002576EA"/>
    <w:rsid w:val="00257DDE"/>
    <w:rsid w:val="00260386"/>
    <w:rsid w:val="00260ACD"/>
    <w:rsid w:val="00260AF4"/>
    <w:rsid w:val="00260BD6"/>
    <w:rsid w:val="00260D7D"/>
    <w:rsid w:val="0026131D"/>
    <w:rsid w:val="00261852"/>
    <w:rsid w:val="002619DD"/>
    <w:rsid w:val="00261BE5"/>
    <w:rsid w:val="002622A0"/>
    <w:rsid w:val="00262DF1"/>
    <w:rsid w:val="00262E85"/>
    <w:rsid w:val="0026304B"/>
    <w:rsid w:val="002634CC"/>
    <w:rsid w:val="0026374B"/>
    <w:rsid w:val="00263824"/>
    <w:rsid w:val="00264508"/>
    <w:rsid w:val="00264999"/>
    <w:rsid w:val="002649F7"/>
    <w:rsid w:val="00265210"/>
    <w:rsid w:val="00265AB4"/>
    <w:rsid w:val="00265B86"/>
    <w:rsid w:val="00265EC6"/>
    <w:rsid w:val="002663D9"/>
    <w:rsid w:val="00266A3B"/>
    <w:rsid w:val="00266EAD"/>
    <w:rsid w:val="00266EE8"/>
    <w:rsid w:val="00266FE3"/>
    <w:rsid w:val="002671DC"/>
    <w:rsid w:val="002674FC"/>
    <w:rsid w:val="00267682"/>
    <w:rsid w:val="00267E0B"/>
    <w:rsid w:val="00267EA1"/>
    <w:rsid w:val="00270832"/>
    <w:rsid w:val="00270A47"/>
    <w:rsid w:val="00270C32"/>
    <w:rsid w:val="00270D73"/>
    <w:rsid w:val="002712BC"/>
    <w:rsid w:val="00271896"/>
    <w:rsid w:val="00271C97"/>
    <w:rsid w:val="00271FCC"/>
    <w:rsid w:val="00272222"/>
    <w:rsid w:val="0027290E"/>
    <w:rsid w:val="002730A9"/>
    <w:rsid w:val="00273323"/>
    <w:rsid w:val="002739AB"/>
    <w:rsid w:val="00273A21"/>
    <w:rsid w:val="00274136"/>
    <w:rsid w:val="0027426B"/>
    <w:rsid w:val="0027472C"/>
    <w:rsid w:val="00274DF7"/>
    <w:rsid w:val="002752D5"/>
    <w:rsid w:val="002755D7"/>
    <w:rsid w:val="0027567A"/>
    <w:rsid w:val="00275799"/>
    <w:rsid w:val="00275E67"/>
    <w:rsid w:val="00276479"/>
    <w:rsid w:val="0027663D"/>
    <w:rsid w:val="00276845"/>
    <w:rsid w:val="002769D8"/>
    <w:rsid w:val="00276F46"/>
    <w:rsid w:val="00276FE8"/>
    <w:rsid w:val="0027738D"/>
    <w:rsid w:val="00277796"/>
    <w:rsid w:val="0027783B"/>
    <w:rsid w:val="00277F42"/>
    <w:rsid w:val="0028012C"/>
    <w:rsid w:val="00280FFF"/>
    <w:rsid w:val="0028118F"/>
    <w:rsid w:val="00281479"/>
    <w:rsid w:val="0028152B"/>
    <w:rsid w:val="00281550"/>
    <w:rsid w:val="00281895"/>
    <w:rsid w:val="00281E2D"/>
    <w:rsid w:val="0028208B"/>
    <w:rsid w:val="00282375"/>
    <w:rsid w:val="00282860"/>
    <w:rsid w:val="00282929"/>
    <w:rsid w:val="00282E36"/>
    <w:rsid w:val="00282E87"/>
    <w:rsid w:val="00283685"/>
    <w:rsid w:val="00283A49"/>
    <w:rsid w:val="00284016"/>
    <w:rsid w:val="00284266"/>
    <w:rsid w:val="00284770"/>
    <w:rsid w:val="00284CC2"/>
    <w:rsid w:val="002851B6"/>
    <w:rsid w:val="0028530D"/>
    <w:rsid w:val="00285D58"/>
    <w:rsid w:val="00285E7D"/>
    <w:rsid w:val="00286248"/>
    <w:rsid w:val="00286920"/>
    <w:rsid w:val="00286EA4"/>
    <w:rsid w:val="0028797F"/>
    <w:rsid w:val="00287E9C"/>
    <w:rsid w:val="002903A5"/>
    <w:rsid w:val="002905D9"/>
    <w:rsid w:val="00290725"/>
    <w:rsid w:val="00290DFA"/>
    <w:rsid w:val="002911F6"/>
    <w:rsid w:val="0029174E"/>
    <w:rsid w:val="002917E8"/>
    <w:rsid w:val="00291AB9"/>
    <w:rsid w:val="00291C36"/>
    <w:rsid w:val="00291D4F"/>
    <w:rsid w:val="00291FE1"/>
    <w:rsid w:val="0029224B"/>
    <w:rsid w:val="0029238B"/>
    <w:rsid w:val="00292775"/>
    <w:rsid w:val="00292902"/>
    <w:rsid w:val="00292D62"/>
    <w:rsid w:val="00292DDD"/>
    <w:rsid w:val="0029303E"/>
    <w:rsid w:val="002931AB"/>
    <w:rsid w:val="00293885"/>
    <w:rsid w:val="002946A8"/>
    <w:rsid w:val="00294706"/>
    <w:rsid w:val="002948E2"/>
    <w:rsid w:val="002948F5"/>
    <w:rsid w:val="00294AA1"/>
    <w:rsid w:val="00294D52"/>
    <w:rsid w:val="00295043"/>
    <w:rsid w:val="00295170"/>
    <w:rsid w:val="0029521B"/>
    <w:rsid w:val="00295673"/>
    <w:rsid w:val="002957B4"/>
    <w:rsid w:val="00295BD3"/>
    <w:rsid w:val="00295D2A"/>
    <w:rsid w:val="00295E18"/>
    <w:rsid w:val="00296253"/>
    <w:rsid w:val="00296D19"/>
    <w:rsid w:val="00297440"/>
    <w:rsid w:val="002974D8"/>
    <w:rsid w:val="00297CE4"/>
    <w:rsid w:val="00297DE1"/>
    <w:rsid w:val="00297FB6"/>
    <w:rsid w:val="002A0A82"/>
    <w:rsid w:val="002A0EC5"/>
    <w:rsid w:val="002A20C0"/>
    <w:rsid w:val="002A242A"/>
    <w:rsid w:val="002A2B17"/>
    <w:rsid w:val="002A2B49"/>
    <w:rsid w:val="002A2C7F"/>
    <w:rsid w:val="002A3BFF"/>
    <w:rsid w:val="002A44F1"/>
    <w:rsid w:val="002A470E"/>
    <w:rsid w:val="002A4AA8"/>
    <w:rsid w:val="002A4BE5"/>
    <w:rsid w:val="002A5772"/>
    <w:rsid w:val="002A5FDC"/>
    <w:rsid w:val="002A60DB"/>
    <w:rsid w:val="002A6268"/>
    <w:rsid w:val="002A67B6"/>
    <w:rsid w:val="002A6E2F"/>
    <w:rsid w:val="002A717E"/>
    <w:rsid w:val="002B02A8"/>
    <w:rsid w:val="002B072A"/>
    <w:rsid w:val="002B0989"/>
    <w:rsid w:val="002B0AEB"/>
    <w:rsid w:val="002B0C3C"/>
    <w:rsid w:val="002B1E4A"/>
    <w:rsid w:val="002B1E50"/>
    <w:rsid w:val="002B2B85"/>
    <w:rsid w:val="002B34A8"/>
    <w:rsid w:val="002B34DD"/>
    <w:rsid w:val="002B3725"/>
    <w:rsid w:val="002B37A9"/>
    <w:rsid w:val="002B4131"/>
    <w:rsid w:val="002B41C7"/>
    <w:rsid w:val="002B42A2"/>
    <w:rsid w:val="002B4810"/>
    <w:rsid w:val="002B4D20"/>
    <w:rsid w:val="002B5695"/>
    <w:rsid w:val="002B5C11"/>
    <w:rsid w:val="002B6004"/>
    <w:rsid w:val="002B6764"/>
    <w:rsid w:val="002B67AD"/>
    <w:rsid w:val="002B6AE3"/>
    <w:rsid w:val="002B6B0D"/>
    <w:rsid w:val="002B6C92"/>
    <w:rsid w:val="002B6EB4"/>
    <w:rsid w:val="002B6F09"/>
    <w:rsid w:val="002B7864"/>
    <w:rsid w:val="002B7ABA"/>
    <w:rsid w:val="002B7B14"/>
    <w:rsid w:val="002B7C78"/>
    <w:rsid w:val="002B7D39"/>
    <w:rsid w:val="002B7E2C"/>
    <w:rsid w:val="002B7FB1"/>
    <w:rsid w:val="002C00AC"/>
    <w:rsid w:val="002C0386"/>
    <w:rsid w:val="002C0473"/>
    <w:rsid w:val="002C0718"/>
    <w:rsid w:val="002C0A86"/>
    <w:rsid w:val="002C0E36"/>
    <w:rsid w:val="002C11CC"/>
    <w:rsid w:val="002C151C"/>
    <w:rsid w:val="002C1A21"/>
    <w:rsid w:val="002C1B20"/>
    <w:rsid w:val="002C1E1D"/>
    <w:rsid w:val="002C1EB0"/>
    <w:rsid w:val="002C2035"/>
    <w:rsid w:val="002C275C"/>
    <w:rsid w:val="002C2B73"/>
    <w:rsid w:val="002C2B96"/>
    <w:rsid w:val="002C2CB7"/>
    <w:rsid w:val="002C32C9"/>
    <w:rsid w:val="002C33D8"/>
    <w:rsid w:val="002C3803"/>
    <w:rsid w:val="002C3F3F"/>
    <w:rsid w:val="002C478E"/>
    <w:rsid w:val="002C4917"/>
    <w:rsid w:val="002C4B49"/>
    <w:rsid w:val="002C6043"/>
    <w:rsid w:val="002C604C"/>
    <w:rsid w:val="002C6434"/>
    <w:rsid w:val="002C64D2"/>
    <w:rsid w:val="002C665F"/>
    <w:rsid w:val="002C698E"/>
    <w:rsid w:val="002C6C5F"/>
    <w:rsid w:val="002C6F78"/>
    <w:rsid w:val="002C7191"/>
    <w:rsid w:val="002C72A0"/>
    <w:rsid w:val="002C7396"/>
    <w:rsid w:val="002C74D5"/>
    <w:rsid w:val="002C75E5"/>
    <w:rsid w:val="002C77EA"/>
    <w:rsid w:val="002C7C22"/>
    <w:rsid w:val="002C7F5C"/>
    <w:rsid w:val="002D00EB"/>
    <w:rsid w:val="002D05FE"/>
    <w:rsid w:val="002D080A"/>
    <w:rsid w:val="002D09C3"/>
    <w:rsid w:val="002D0C09"/>
    <w:rsid w:val="002D0DF0"/>
    <w:rsid w:val="002D18AA"/>
    <w:rsid w:val="002D18E5"/>
    <w:rsid w:val="002D1B0C"/>
    <w:rsid w:val="002D23E1"/>
    <w:rsid w:val="002D243B"/>
    <w:rsid w:val="002D247D"/>
    <w:rsid w:val="002D2F66"/>
    <w:rsid w:val="002D3319"/>
    <w:rsid w:val="002D3361"/>
    <w:rsid w:val="002D352D"/>
    <w:rsid w:val="002D389E"/>
    <w:rsid w:val="002D4208"/>
    <w:rsid w:val="002D4527"/>
    <w:rsid w:val="002D4566"/>
    <w:rsid w:val="002D459F"/>
    <w:rsid w:val="002D4701"/>
    <w:rsid w:val="002D4AE8"/>
    <w:rsid w:val="002D4B87"/>
    <w:rsid w:val="002D4E05"/>
    <w:rsid w:val="002D50BF"/>
    <w:rsid w:val="002D5123"/>
    <w:rsid w:val="002D5524"/>
    <w:rsid w:val="002D5AD8"/>
    <w:rsid w:val="002D605A"/>
    <w:rsid w:val="002D6103"/>
    <w:rsid w:val="002D64B0"/>
    <w:rsid w:val="002D69FB"/>
    <w:rsid w:val="002D7382"/>
    <w:rsid w:val="002D7386"/>
    <w:rsid w:val="002D7812"/>
    <w:rsid w:val="002D7B4F"/>
    <w:rsid w:val="002D7BF1"/>
    <w:rsid w:val="002D7DD9"/>
    <w:rsid w:val="002E00B8"/>
    <w:rsid w:val="002E0133"/>
    <w:rsid w:val="002E0434"/>
    <w:rsid w:val="002E0492"/>
    <w:rsid w:val="002E0601"/>
    <w:rsid w:val="002E0F7F"/>
    <w:rsid w:val="002E0FBF"/>
    <w:rsid w:val="002E125A"/>
    <w:rsid w:val="002E1433"/>
    <w:rsid w:val="002E1CA5"/>
    <w:rsid w:val="002E1D58"/>
    <w:rsid w:val="002E1EDB"/>
    <w:rsid w:val="002E2021"/>
    <w:rsid w:val="002E22F4"/>
    <w:rsid w:val="002E24D8"/>
    <w:rsid w:val="002E2756"/>
    <w:rsid w:val="002E2806"/>
    <w:rsid w:val="002E36FA"/>
    <w:rsid w:val="002E41AA"/>
    <w:rsid w:val="002E42A7"/>
    <w:rsid w:val="002E42FC"/>
    <w:rsid w:val="002E444B"/>
    <w:rsid w:val="002E45E5"/>
    <w:rsid w:val="002E4A11"/>
    <w:rsid w:val="002E5150"/>
    <w:rsid w:val="002E53E6"/>
    <w:rsid w:val="002E5DC3"/>
    <w:rsid w:val="002E6009"/>
    <w:rsid w:val="002E66FA"/>
    <w:rsid w:val="002E6A15"/>
    <w:rsid w:val="002E6A66"/>
    <w:rsid w:val="002E6BB7"/>
    <w:rsid w:val="002E7276"/>
    <w:rsid w:val="002E7E50"/>
    <w:rsid w:val="002E7F99"/>
    <w:rsid w:val="002F0061"/>
    <w:rsid w:val="002F0084"/>
    <w:rsid w:val="002F05B5"/>
    <w:rsid w:val="002F086F"/>
    <w:rsid w:val="002F179C"/>
    <w:rsid w:val="002F1C04"/>
    <w:rsid w:val="002F1D56"/>
    <w:rsid w:val="002F1FFB"/>
    <w:rsid w:val="002F20E6"/>
    <w:rsid w:val="002F21B0"/>
    <w:rsid w:val="002F269C"/>
    <w:rsid w:val="002F35DA"/>
    <w:rsid w:val="002F36D4"/>
    <w:rsid w:val="002F38F7"/>
    <w:rsid w:val="002F3A67"/>
    <w:rsid w:val="002F3C36"/>
    <w:rsid w:val="002F3D78"/>
    <w:rsid w:val="002F3EBA"/>
    <w:rsid w:val="002F4393"/>
    <w:rsid w:val="002F44C0"/>
    <w:rsid w:val="002F4724"/>
    <w:rsid w:val="002F4ED9"/>
    <w:rsid w:val="002F52F1"/>
    <w:rsid w:val="002F5799"/>
    <w:rsid w:val="002F6448"/>
    <w:rsid w:val="002F6788"/>
    <w:rsid w:val="002F6D9B"/>
    <w:rsid w:val="002F6F18"/>
    <w:rsid w:val="002F707F"/>
    <w:rsid w:val="002F73B9"/>
    <w:rsid w:val="002F73DB"/>
    <w:rsid w:val="002F75CA"/>
    <w:rsid w:val="002F765F"/>
    <w:rsid w:val="002F780C"/>
    <w:rsid w:val="0030050D"/>
    <w:rsid w:val="003005C7"/>
    <w:rsid w:val="003005CC"/>
    <w:rsid w:val="00300884"/>
    <w:rsid w:val="00300AD7"/>
    <w:rsid w:val="003010D6"/>
    <w:rsid w:val="00301872"/>
    <w:rsid w:val="00302304"/>
    <w:rsid w:val="003027BC"/>
    <w:rsid w:val="00302C78"/>
    <w:rsid w:val="0030397D"/>
    <w:rsid w:val="00303FC8"/>
    <w:rsid w:val="0030489C"/>
    <w:rsid w:val="00304BEC"/>
    <w:rsid w:val="0030545E"/>
    <w:rsid w:val="00305485"/>
    <w:rsid w:val="00305610"/>
    <w:rsid w:val="00305A04"/>
    <w:rsid w:val="00305AA6"/>
    <w:rsid w:val="003068F7"/>
    <w:rsid w:val="00306F1A"/>
    <w:rsid w:val="003071A5"/>
    <w:rsid w:val="00307441"/>
    <w:rsid w:val="00307743"/>
    <w:rsid w:val="00307BD1"/>
    <w:rsid w:val="00307F08"/>
    <w:rsid w:val="00310AA2"/>
    <w:rsid w:val="00310BF8"/>
    <w:rsid w:val="00310D8B"/>
    <w:rsid w:val="00310E41"/>
    <w:rsid w:val="00311895"/>
    <w:rsid w:val="00311B80"/>
    <w:rsid w:val="00311BF4"/>
    <w:rsid w:val="00312117"/>
    <w:rsid w:val="0031245D"/>
    <w:rsid w:val="003127B1"/>
    <w:rsid w:val="0031284E"/>
    <w:rsid w:val="00312898"/>
    <w:rsid w:val="003134C7"/>
    <w:rsid w:val="003136A1"/>
    <w:rsid w:val="00313EAE"/>
    <w:rsid w:val="003146D0"/>
    <w:rsid w:val="00314DD5"/>
    <w:rsid w:val="00315189"/>
    <w:rsid w:val="003152F1"/>
    <w:rsid w:val="0031582C"/>
    <w:rsid w:val="00316031"/>
    <w:rsid w:val="00316596"/>
    <w:rsid w:val="003165FC"/>
    <w:rsid w:val="00316881"/>
    <w:rsid w:val="00316BF2"/>
    <w:rsid w:val="00316CC7"/>
    <w:rsid w:val="00317259"/>
    <w:rsid w:val="003173EE"/>
    <w:rsid w:val="0031761A"/>
    <w:rsid w:val="00317B1D"/>
    <w:rsid w:val="00317B4B"/>
    <w:rsid w:val="00317E0B"/>
    <w:rsid w:val="00320926"/>
    <w:rsid w:val="00320ED9"/>
    <w:rsid w:val="00321175"/>
    <w:rsid w:val="00321958"/>
    <w:rsid w:val="00321B4B"/>
    <w:rsid w:val="00321C52"/>
    <w:rsid w:val="00321D1D"/>
    <w:rsid w:val="00322399"/>
    <w:rsid w:val="003226CF"/>
    <w:rsid w:val="00322957"/>
    <w:rsid w:val="00322C35"/>
    <w:rsid w:val="00322F38"/>
    <w:rsid w:val="00323201"/>
    <w:rsid w:val="00323AA8"/>
    <w:rsid w:val="00323AC6"/>
    <w:rsid w:val="00323C44"/>
    <w:rsid w:val="0032514A"/>
    <w:rsid w:val="0032520A"/>
    <w:rsid w:val="00325FD3"/>
    <w:rsid w:val="00326058"/>
    <w:rsid w:val="00326130"/>
    <w:rsid w:val="0032651E"/>
    <w:rsid w:val="00326679"/>
    <w:rsid w:val="00326BC8"/>
    <w:rsid w:val="00327707"/>
    <w:rsid w:val="00327784"/>
    <w:rsid w:val="003279AA"/>
    <w:rsid w:val="00327C00"/>
    <w:rsid w:val="00327FED"/>
    <w:rsid w:val="003300B4"/>
    <w:rsid w:val="0033065B"/>
    <w:rsid w:val="0033089F"/>
    <w:rsid w:val="00330919"/>
    <w:rsid w:val="00331F03"/>
    <w:rsid w:val="00332DB5"/>
    <w:rsid w:val="00333060"/>
    <w:rsid w:val="00333221"/>
    <w:rsid w:val="0033361C"/>
    <w:rsid w:val="00333679"/>
    <w:rsid w:val="00333A94"/>
    <w:rsid w:val="00333DA6"/>
    <w:rsid w:val="0033415E"/>
    <w:rsid w:val="0033453F"/>
    <w:rsid w:val="00334857"/>
    <w:rsid w:val="00334D31"/>
    <w:rsid w:val="0033515A"/>
    <w:rsid w:val="0033527B"/>
    <w:rsid w:val="003358F1"/>
    <w:rsid w:val="00336087"/>
    <w:rsid w:val="00336C06"/>
    <w:rsid w:val="00336CCA"/>
    <w:rsid w:val="00336D3A"/>
    <w:rsid w:val="00336DAF"/>
    <w:rsid w:val="00336E1D"/>
    <w:rsid w:val="00336ED6"/>
    <w:rsid w:val="0033732A"/>
    <w:rsid w:val="003375B6"/>
    <w:rsid w:val="00337D43"/>
    <w:rsid w:val="0034087F"/>
    <w:rsid w:val="0034096D"/>
    <w:rsid w:val="00340E0F"/>
    <w:rsid w:val="00340EFC"/>
    <w:rsid w:val="003410F1"/>
    <w:rsid w:val="00341693"/>
    <w:rsid w:val="003416EC"/>
    <w:rsid w:val="003419F2"/>
    <w:rsid w:val="00341B3C"/>
    <w:rsid w:val="00341C3C"/>
    <w:rsid w:val="00341DE3"/>
    <w:rsid w:val="0034219D"/>
    <w:rsid w:val="003422CF"/>
    <w:rsid w:val="00342471"/>
    <w:rsid w:val="00342683"/>
    <w:rsid w:val="00342B6F"/>
    <w:rsid w:val="00342FEE"/>
    <w:rsid w:val="003433F6"/>
    <w:rsid w:val="00343BB4"/>
    <w:rsid w:val="00344319"/>
    <w:rsid w:val="00344480"/>
    <w:rsid w:val="00344524"/>
    <w:rsid w:val="003446DE"/>
    <w:rsid w:val="00344816"/>
    <w:rsid w:val="00344926"/>
    <w:rsid w:val="00344D77"/>
    <w:rsid w:val="00344E6A"/>
    <w:rsid w:val="00345444"/>
    <w:rsid w:val="00345D65"/>
    <w:rsid w:val="0034630A"/>
    <w:rsid w:val="0034630B"/>
    <w:rsid w:val="003463AB"/>
    <w:rsid w:val="00346D0E"/>
    <w:rsid w:val="00346E5F"/>
    <w:rsid w:val="00346EDA"/>
    <w:rsid w:val="00347241"/>
    <w:rsid w:val="00347368"/>
    <w:rsid w:val="003473D2"/>
    <w:rsid w:val="003476FD"/>
    <w:rsid w:val="00347B43"/>
    <w:rsid w:val="00350112"/>
    <w:rsid w:val="003501A3"/>
    <w:rsid w:val="00350290"/>
    <w:rsid w:val="00350534"/>
    <w:rsid w:val="003505E0"/>
    <w:rsid w:val="00350A4B"/>
    <w:rsid w:val="00350A53"/>
    <w:rsid w:val="00350DA6"/>
    <w:rsid w:val="00350DDF"/>
    <w:rsid w:val="003510D3"/>
    <w:rsid w:val="00351202"/>
    <w:rsid w:val="003513BA"/>
    <w:rsid w:val="003518F4"/>
    <w:rsid w:val="00351D5E"/>
    <w:rsid w:val="0035207A"/>
    <w:rsid w:val="003527EC"/>
    <w:rsid w:val="0035285A"/>
    <w:rsid w:val="00352C96"/>
    <w:rsid w:val="00352D05"/>
    <w:rsid w:val="0035333F"/>
    <w:rsid w:val="003533D0"/>
    <w:rsid w:val="003534B9"/>
    <w:rsid w:val="00353AF8"/>
    <w:rsid w:val="00353F24"/>
    <w:rsid w:val="003548FC"/>
    <w:rsid w:val="00354D89"/>
    <w:rsid w:val="00354F56"/>
    <w:rsid w:val="00355060"/>
    <w:rsid w:val="00355466"/>
    <w:rsid w:val="003554CF"/>
    <w:rsid w:val="00355642"/>
    <w:rsid w:val="0035564B"/>
    <w:rsid w:val="003556C7"/>
    <w:rsid w:val="00355726"/>
    <w:rsid w:val="00355CE9"/>
    <w:rsid w:val="00355DF5"/>
    <w:rsid w:val="00355F74"/>
    <w:rsid w:val="0035697C"/>
    <w:rsid w:val="00356A1A"/>
    <w:rsid w:val="0035713C"/>
    <w:rsid w:val="00357345"/>
    <w:rsid w:val="0035771B"/>
    <w:rsid w:val="00357791"/>
    <w:rsid w:val="00357886"/>
    <w:rsid w:val="0035788C"/>
    <w:rsid w:val="00357F4C"/>
    <w:rsid w:val="003602FB"/>
    <w:rsid w:val="00360EE6"/>
    <w:rsid w:val="00361381"/>
    <w:rsid w:val="00361A5C"/>
    <w:rsid w:val="00361C8A"/>
    <w:rsid w:val="003620DC"/>
    <w:rsid w:val="00362578"/>
    <w:rsid w:val="003625E9"/>
    <w:rsid w:val="00362822"/>
    <w:rsid w:val="00362842"/>
    <w:rsid w:val="00362DF1"/>
    <w:rsid w:val="00363170"/>
    <w:rsid w:val="003633FC"/>
    <w:rsid w:val="003634FB"/>
    <w:rsid w:val="00363A10"/>
    <w:rsid w:val="00363EC6"/>
    <w:rsid w:val="00364906"/>
    <w:rsid w:val="00364FBA"/>
    <w:rsid w:val="00365245"/>
    <w:rsid w:val="003652F5"/>
    <w:rsid w:val="00365358"/>
    <w:rsid w:val="003654E9"/>
    <w:rsid w:val="003654F9"/>
    <w:rsid w:val="00365B46"/>
    <w:rsid w:val="00365E64"/>
    <w:rsid w:val="003668A1"/>
    <w:rsid w:val="003673F8"/>
    <w:rsid w:val="003675F1"/>
    <w:rsid w:val="00367C11"/>
    <w:rsid w:val="00370403"/>
    <w:rsid w:val="0037079D"/>
    <w:rsid w:val="003707CE"/>
    <w:rsid w:val="00370AE3"/>
    <w:rsid w:val="00371099"/>
    <w:rsid w:val="00371BA5"/>
    <w:rsid w:val="00371D85"/>
    <w:rsid w:val="00372C77"/>
    <w:rsid w:val="003731A3"/>
    <w:rsid w:val="00373298"/>
    <w:rsid w:val="00373A0E"/>
    <w:rsid w:val="00373A2B"/>
    <w:rsid w:val="00373D27"/>
    <w:rsid w:val="00373E52"/>
    <w:rsid w:val="00373F0C"/>
    <w:rsid w:val="00374243"/>
    <w:rsid w:val="00375389"/>
    <w:rsid w:val="0037583F"/>
    <w:rsid w:val="003758E3"/>
    <w:rsid w:val="00375981"/>
    <w:rsid w:val="00376656"/>
    <w:rsid w:val="003768A2"/>
    <w:rsid w:val="00377690"/>
    <w:rsid w:val="00377DB3"/>
    <w:rsid w:val="003804B0"/>
    <w:rsid w:val="003804CF"/>
    <w:rsid w:val="003805F8"/>
    <w:rsid w:val="003806AF"/>
    <w:rsid w:val="00380C6C"/>
    <w:rsid w:val="00380FCA"/>
    <w:rsid w:val="0038106E"/>
    <w:rsid w:val="003813F3"/>
    <w:rsid w:val="003818FF"/>
    <w:rsid w:val="00381CC1"/>
    <w:rsid w:val="00381DE4"/>
    <w:rsid w:val="00381E6A"/>
    <w:rsid w:val="00382059"/>
    <w:rsid w:val="003820CB"/>
    <w:rsid w:val="0038221B"/>
    <w:rsid w:val="0038253F"/>
    <w:rsid w:val="00382719"/>
    <w:rsid w:val="003830B9"/>
    <w:rsid w:val="0038335F"/>
    <w:rsid w:val="00383615"/>
    <w:rsid w:val="00383717"/>
    <w:rsid w:val="00383C06"/>
    <w:rsid w:val="0038450F"/>
    <w:rsid w:val="0038464A"/>
    <w:rsid w:val="00384C5C"/>
    <w:rsid w:val="00384D46"/>
    <w:rsid w:val="003854D9"/>
    <w:rsid w:val="00385A89"/>
    <w:rsid w:val="00385DF4"/>
    <w:rsid w:val="00385E0C"/>
    <w:rsid w:val="00385E18"/>
    <w:rsid w:val="00385E8D"/>
    <w:rsid w:val="00386876"/>
    <w:rsid w:val="00386F58"/>
    <w:rsid w:val="003871E2"/>
    <w:rsid w:val="00387560"/>
    <w:rsid w:val="003878FC"/>
    <w:rsid w:val="00387A7C"/>
    <w:rsid w:val="003900AB"/>
    <w:rsid w:val="0039097C"/>
    <w:rsid w:val="00390A39"/>
    <w:rsid w:val="00390F45"/>
    <w:rsid w:val="003910E8"/>
    <w:rsid w:val="0039113D"/>
    <w:rsid w:val="003914AD"/>
    <w:rsid w:val="00391936"/>
    <w:rsid w:val="003919C5"/>
    <w:rsid w:val="00391C8B"/>
    <w:rsid w:val="00391C8E"/>
    <w:rsid w:val="00391C99"/>
    <w:rsid w:val="00391CD8"/>
    <w:rsid w:val="00391F24"/>
    <w:rsid w:val="00392144"/>
    <w:rsid w:val="00392228"/>
    <w:rsid w:val="0039223B"/>
    <w:rsid w:val="0039252D"/>
    <w:rsid w:val="00392B83"/>
    <w:rsid w:val="00392DA5"/>
    <w:rsid w:val="00393382"/>
    <w:rsid w:val="00393A8B"/>
    <w:rsid w:val="0039420F"/>
    <w:rsid w:val="00394756"/>
    <w:rsid w:val="00394876"/>
    <w:rsid w:val="00394904"/>
    <w:rsid w:val="00394D3E"/>
    <w:rsid w:val="00394F40"/>
    <w:rsid w:val="0039572F"/>
    <w:rsid w:val="00395A02"/>
    <w:rsid w:val="00395EEA"/>
    <w:rsid w:val="00396957"/>
    <w:rsid w:val="003969B6"/>
    <w:rsid w:val="00396B21"/>
    <w:rsid w:val="00396EC7"/>
    <w:rsid w:val="0039731B"/>
    <w:rsid w:val="003974D2"/>
    <w:rsid w:val="003976DE"/>
    <w:rsid w:val="003A01A2"/>
    <w:rsid w:val="003A046C"/>
    <w:rsid w:val="003A06A7"/>
    <w:rsid w:val="003A0A4D"/>
    <w:rsid w:val="003A0CB8"/>
    <w:rsid w:val="003A0F30"/>
    <w:rsid w:val="003A0F89"/>
    <w:rsid w:val="003A105C"/>
    <w:rsid w:val="003A1204"/>
    <w:rsid w:val="003A1229"/>
    <w:rsid w:val="003A12C9"/>
    <w:rsid w:val="003A1510"/>
    <w:rsid w:val="003A1B5C"/>
    <w:rsid w:val="003A2600"/>
    <w:rsid w:val="003A2666"/>
    <w:rsid w:val="003A267E"/>
    <w:rsid w:val="003A271A"/>
    <w:rsid w:val="003A2A9A"/>
    <w:rsid w:val="003A2F3D"/>
    <w:rsid w:val="003A2F54"/>
    <w:rsid w:val="003A388A"/>
    <w:rsid w:val="003A3C6D"/>
    <w:rsid w:val="003A423C"/>
    <w:rsid w:val="003A46BD"/>
    <w:rsid w:val="003A4A26"/>
    <w:rsid w:val="003A4B77"/>
    <w:rsid w:val="003A4EAA"/>
    <w:rsid w:val="003A5046"/>
    <w:rsid w:val="003A5C23"/>
    <w:rsid w:val="003A5F00"/>
    <w:rsid w:val="003A5FCE"/>
    <w:rsid w:val="003A5FD4"/>
    <w:rsid w:val="003A612B"/>
    <w:rsid w:val="003A61C4"/>
    <w:rsid w:val="003A6312"/>
    <w:rsid w:val="003A6817"/>
    <w:rsid w:val="003A68EB"/>
    <w:rsid w:val="003A6B2C"/>
    <w:rsid w:val="003A6DF1"/>
    <w:rsid w:val="003A6E5B"/>
    <w:rsid w:val="003A6EEF"/>
    <w:rsid w:val="003A71F7"/>
    <w:rsid w:val="003A7393"/>
    <w:rsid w:val="003A7888"/>
    <w:rsid w:val="003A7A0A"/>
    <w:rsid w:val="003A7AE0"/>
    <w:rsid w:val="003A7DDF"/>
    <w:rsid w:val="003A7EB6"/>
    <w:rsid w:val="003B0335"/>
    <w:rsid w:val="003B0439"/>
    <w:rsid w:val="003B04D0"/>
    <w:rsid w:val="003B0AFC"/>
    <w:rsid w:val="003B13A3"/>
    <w:rsid w:val="003B1778"/>
    <w:rsid w:val="003B1983"/>
    <w:rsid w:val="003B1B25"/>
    <w:rsid w:val="003B1F9A"/>
    <w:rsid w:val="003B218B"/>
    <w:rsid w:val="003B27D7"/>
    <w:rsid w:val="003B3242"/>
    <w:rsid w:val="003B327E"/>
    <w:rsid w:val="003B3E03"/>
    <w:rsid w:val="003B416C"/>
    <w:rsid w:val="003B491E"/>
    <w:rsid w:val="003B4AB4"/>
    <w:rsid w:val="003B4BE4"/>
    <w:rsid w:val="003B4FFE"/>
    <w:rsid w:val="003B500F"/>
    <w:rsid w:val="003B54AA"/>
    <w:rsid w:val="003B563F"/>
    <w:rsid w:val="003B5A7B"/>
    <w:rsid w:val="003B5ACD"/>
    <w:rsid w:val="003B5E95"/>
    <w:rsid w:val="003B6851"/>
    <w:rsid w:val="003B6945"/>
    <w:rsid w:val="003B6A25"/>
    <w:rsid w:val="003B733A"/>
    <w:rsid w:val="003B73AE"/>
    <w:rsid w:val="003B73B7"/>
    <w:rsid w:val="003B79A5"/>
    <w:rsid w:val="003B7AFD"/>
    <w:rsid w:val="003C0C59"/>
    <w:rsid w:val="003C0CE7"/>
    <w:rsid w:val="003C133B"/>
    <w:rsid w:val="003C2D90"/>
    <w:rsid w:val="003C2DD7"/>
    <w:rsid w:val="003C3646"/>
    <w:rsid w:val="003C36B2"/>
    <w:rsid w:val="003C3CF8"/>
    <w:rsid w:val="003C448D"/>
    <w:rsid w:val="003C461D"/>
    <w:rsid w:val="003C47FF"/>
    <w:rsid w:val="003C48F5"/>
    <w:rsid w:val="003C4962"/>
    <w:rsid w:val="003C4A4B"/>
    <w:rsid w:val="003C4CAE"/>
    <w:rsid w:val="003C4D4D"/>
    <w:rsid w:val="003C4F65"/>
    <w:rsid w:val="003C54CF"/>
    <w:rsid w:val="003C63B0"/>
    <w:rsid w:val="003C687A"/>
    <w:rsid w:val="003C68B4"/>
    <w:rsid w:val="003C6B0F"/>
    <w:rsid w:val="003C6D55"/>
    <w:rsid w:val="003C6F29"/>
    <w:rsid w:val="003C6FFD"/>
    <w:rsid w:val="003C7086"/>
    <w:rsid w:val="003C73EE"/>
    <w:rsid w:val="003C754C"/>
    <w:rsid w:val="003C7B95"/>
    <w:rsid w:val="003C7D01"/>
    <w:rsid w:val="003C7E5E"/>
    <w:rsid w:val="003D093E"/>
    <w:rsid w:val="003D0BCF"/>
    <w:rsid w:val="003D1A8C"/>
    <w:rsid w:val="003D1B47"/>
    <w:rsid w:val="003D1C94"/>
    <w:rsid w:val="003D1E34"/>
    <w:rsid w:val="003D2077"/>
    <w:rsid w:val="003D2744"/>
    <w:rsid w:val="003D2A39"/>
    <w:rsid w:val="003D2AFB"/>
    <w:rsid w:val="003D2B88"/>
    <w:rsid w:val="003D2CC7"/>
    <w:rsid w:val="003D2F69"/>
    <w:rsid w:val="003D3537"/>
    <w:rsid w:val="003D3B2B"/>
    <w:rsid w:val="003D43B0"/>
    <w:rsid w:val="003D44A5"/>
    <w:rsid w:val="003D4747"/>
    <w:rsid w:val="003D4CCB"/>
    <w:rsid w:val="003D562F"/>
    <w:rsid w:val="003D5726"/>
    <w:rsid w:val="003D5905"/>
    <w:rsid w:val="003D5993"/>
    <w:rsid w:val="003D5A9A"/>
    <w:rsid w:val="003D5C62"/>
    <w:rsid w:val="003D6471"/>
    <w:rsid w:val="003D68A6"/>
    <w:rsid w:val="003D6C2D"/>
    <w:rsid w:val="003D70B9"/>
    <w:rsid w:val="003D7292"/>
    <w:rsid w:val="003D7A19"/>
    <w:rsid w:val="003D7A6C"/>
    <w:rsid w:val="003D7E36"/>
    <w:rsid w:val="003E00BB"/>
    <w:rsid w:val="003E0374"/>
    <w:rsid w:val="003E0476"/>
    <w:rsid w:val="003E0543"/>
    <w:rsid w:val="003E093C"/>
    <w:rsid w:val="003E0A48"/>
    <w:rsid w:val="003E0C2D"/>
    <w:rsid w:val="003E0C30"/>
    <w:rsid w:val="003E0DCE"/>
    <w:rsid w:val="003E12CF"/>
    <w:rsid w:val="003E1301"/>
    <w:rsid w:val="003E15B7"/>
    <w:rsid w:val="003E16EF"/>
    <w:rsid w:val="003E1915"/>
    <w:rsid w:val="003E212A"/>
    <w:rsid w:val="003E2415"/>
    <w:rsid w:val="003E341A"/>
    <w:rsid w:val="003E3B84"/>
    <w:rsid w:val="003E3C16"/>
    <w:rsid w:val="003E41C9"/>
    <w:rsid w:val="003E4543"/>
    <w:rsid w:val="003E45BB"/>
    <w:rsid w:val="003E4C56"/>
    <w:rsid w:val="003E507B"/>
    <w:rsid w:val="003E51A7"/>
    <w:rsid w:val="003E51D8"/>
    <w:rsid w:val="003E58F7"/>
    <w:rsid w:val="003E5C44"/>
    <w:rsid w:val="003E5C82"/>
    <w:rsid w:val="003E5DF1"/>
    <w:rsid w:val="003E618D"/>
    <w:rsid w:val="003E629D"/>
    <w:rsid w:val="003E64C1"/>
    <w:rsid w:val="003E6A6B"/>
    <w:rsid w:val="003E6C11"/>
    <w:rsid w:val="003E6F20"/>
    <w:rsid w:val="003E7309"/>
    <w:rsid w:val="003E7974"/>
    <w:rsid w:val="003E7CB4"/>
    <w:rsid w:val="003F0155"/>
    <w:rsid w:val="003F02E8"/>
    <w:rsid w:val="003F0324"/>
    <w:rsid w:val="003F043A"/>
    <w:rsid w:val="003F0B1E"/>
    <w:rsid w:val="003F10B0"/>
    <w:rsid w:val="003F1502"/>
    <w:rsid w:val="003F155C"/>
    <w:rsid w:val="003F1A69"/>
    <w:rsid w:val="003F2681"/>
    <w:rsid w:val="003F28A1"/>
    <w:rsid w:val="003F308F"/>
    <w:rsid w:val="003F3127"/>
    <w:rsid w:val="003F325A"/>
    <w:rsid w:val="003F37D2"/>
    <w:rsid w:val="003F3FE6"/>
    <w:rsid w:val="003F43A4"/>
    <w:rsid w:val="003F45A3"/>
    <w:rsid w:val="003F4F6A"/>
    <w:rsid w:val="003F545F"/>
    <w:rsid w:val="003F5590"/>
    <w:rsid w:val="003F5600"/>
    <w:rsid w:val="003F58B3"/>
    <w:rsid w:val="003F5968"/>
    <w:rsid w:val="003F61B3"/>
    <w:rsid w:val="003F63A0"/>
    <w:rsid w:val="003F6669"/>
    <w:rsid w:val="003F6780"/>
    <w:rsid w:val="003F6DD9"/>
    <w:rsid w:val="003F6DF0"/>
    <w:rsid w:val="003F7019"/>
    <w:rsid w:val="003F74A1"/>
    <w:rsid w:val="003F7DE1"/>
    <w:rsid w:val="003F7FF6"/>
    <w:rsid w:val="004005A1"/>
    <w:rsid w:val="00400BAF"/>
    <w:rsid w:val="004013D5"/>
    <w:rsid w:val="004016DF"/>
    <w:rsid w:val="004016FC"/>
    <w:rsid w:val="00401B1F"/>
    <w:rsid w:val="00402065"/>
    <w:rsid w:val="004021B5"/>
    <w:rsid w:val="0040258F"/>
    <w:rsid w:val="00402A1E"/>
    <w:rsid w:val="00402B3C"/>
    <w:rsid w:val="004030DA"/>
    <w:rsid w:val="00403313"/>
    <w:rsid w:val="004037E0"/>
    <w:rsid w:val="00403E72"/>
    <w:rsid w:val="00403E92"/>
    <w:rsid w:val="004041CA"/>
    <w:rsid w:val="00404448"/>
    <w:rsid w:val="004049AB"/>
    <w:rsid w:val="00404BE3"/>
    <w:rsid w:val="00405011"/>
    <w:rsid w:val="004050E4"/>
    <w:rsid w:val="00405168"/>
    <w:rsid w:val="0040547E"/>
    <w:rsid w:val="00405888"/>
    <w:rsid w:val="004058C8"/>
    <w:rsid w:val="004059A9"/>
    <w:rsid w:val="00405A14"/>
    <w:rsid w:val="00405A4A"/>
    <w:rsid w:val="00405D63"/>
    <w:rsid w:val="00405D93"/>
    <w:rsid w:val="00405E58"/>
    <w:rsid w:val="004066C6"/>
    <w:rsid w:val="004067A2"/>
    <w:rsid w:val="004070D7"/>
    <w:rsid w:val="00407558"/>
    <w:rsid w:val="00407B8A"/>
    <w:rsid w:val="00407FA1"/>
    <w:rsid w:val="0041080D"/>
    <w:rsid w:val="004108EE"/>
    <w:rsid w:val="00410FF3"/>
    <w:rsid w:val="0041131C"/>
    <w:rsid w:val="00411362"/>
    <w:rsid w:val="00411AB6"/>
    <w:rsid w:val="00411DD8"/>
    <w:rsid w:val="0041287C"/>
    <w:rsid w:val="00412BD3"/>
    <w:rsid w:val="00412FE3"/>
    <w:rsid w:val="00413536"/>
    <w:rsid w:val="00413C31"/>
    <w:rsid w:val="00413E73"/>
    <w:rsid w:val="0041412F"/>
    <w:rsid w:val="004143E5"/>
    <w:rsid w:val="00414975"/>
    <w:rsid w:val="00414C24"/>
    <w:rsid w:val="0041593F"/>
    <w:rsid w:val="00415BAB"/>
    <w:rsid w:val="0041609A"/>
    <w:rsid w:val="004167B8"/>
    <w:rsid w:val="00417529"/>
    <w:rsid w:val="00420182"/>
    <w:rsid w:val="00420195"/>
    <w:rsid w:val="00420409"/>
    <w:rsid w:val="0042066E"/>
    <w:rsid w:val="004206CD"/>
    <w:rsid w:val="00420998"/>
    <w:rsid w:val="00420B52"/>
    <w:rsid w:val="00420D94"/>
    <w:rsid w:val="00421361"/>
    <w:rsid w:val="004216D9"/>
    <w:rsid w:val="0042192F"/>
    <w:rsid w:val="00422706"/>
    <w:rsid w:val="00422AFB"/>
    <w:rsid w:val="00422B04"/>
    <w:rsid w:val="00422B37"/>
    <w:rsid w:val="00422B44"/>
    <w:rsid w:val="00423131"/>
    <w:rsid w:val="0042322E"/>
    <w:rsid w:val="004233E1"/>
    <w:rsid w:val="00423989"/>
    <w:rsid w:val="00423C66"/>
    <w:rsid w:val="0042429D"/>
    <w:rsid w:val="0042434D"/>
    <w:rsid w:val="004243F9"/>
    <w:rsid w:val="0042454D"/>
    <w:rsid w:val="0042471F"/>
    <w:rsid w:val="0042473F"/>
    <w:rsid w:val="00424ACE"/>
    <w:rsid w:val="00424CD3"/>
    <w:rsid w:val="0042516E"/>
    <w:rsid w:val="00425472"/>
    <w:rsid w:val="004256B8"/>
    <w:rsid w:val="004256C3"/>
    <w:rsid w:val="004259DC"/>
    <w:rsid w:val="00425B09"/>
    <w:rsid w:val="00425FD1"/>
    <w:rsid w:val="00427312"/>
    <w:rsid w:val="00427723"/>
    <w:rsid w:val="00431897"/>
    <w:rsid w:val="00431AEE"/>
    <w:rsid w:val="00431BBE"/>
    <w:rsid w:val="00431EAF"/>
    <w:rsid w:val="004320D0"/>
    <w:rsid w:val="00432EAC"/>
    <w:rsid w:val="00432ECD"/>
    <w:rsid w:val="00432F50"/>
    <w:rsid w:val="004330B4"/>
    <w:rsid w:val="00433116"/>
    <w:rsid w:val="00433471"/>
    <w:rsid w:val="0043359D"/>
    <w:rsid w:val="00433A8D"/>
    <w:rsid w:val="00434726"/>
    <w:rsid w:val="00434947"/>
    <w:rsid w:val="00434A9B"/>
    <w:rsid w:val="00434C1C"/>
    <w:rsid w:val="00434D54"/>
    <w:rsid w:val="00434EAF"/>
    <w:rsid w:val="004350D4"/>
    <w:rsid w:val="0043547B"/>
    <w:rsid w:val="00436031"/>
    <w:rsid w:val="004363DE"/>
    <w:rsid w:val="00436798"/>
    <w:rsid w:val="00436976"/>
    <w:rsid w:val="004370A2"/>
    <w:rsid w:val="00437B00"/>
    <w:rsid w:val="00440BDD"/>
    <w:rsid w:val="00441057"/>
    <w:rsid w:val="0044190E"/>
    <w:rsid w:val="00441CBD"/>
    <w:rsid w:val="0044210D"/>
    <w:rsid w:val="00442C00"/>
    <w:rsid w:val="00442C46"/>
    <w:rsid w:val="0044358A"/>
    <w:rsid w:val="00443631"/>
    <w:rsid w:val="0044373F"/>
    <w:rsid w:val="00443C15"/>
    <w:rsid w:val="0044407E"/>
    <w:rsid w:val="0044474C"/>
    <w:rsid w:val="004449AC"/>
    <w:rsid w:val="00444D7F"/>
    <w:rsid w:val="004451E4"/>
    <w:rsid w:val="00445BC2"/>
    <w:rsid w:val="00445ED2"/>
    <w:rsid w:val="0044622B"/>
    <w:rsid w:val="004462E7"/>
    <w:rsid w:val="00446F99"/>
    <w:rsid w:val="0044700A"/>
    <w:rsid w:val="0044707D"/>
    <w:rsid w:val="00447371"/>
    <w:rsid w:val="00447A1F"/>
    <w:rsid w:val="00447A5C"/>
    <w:rsid w:val="00447EF0"/>
    <w:rsid w:val="004508EC"/>
    <w:rsid w:val="00450A8A"/>
    <w:rsid w:val="00450BF2"/>
    <w:rsid w:val="00451484"/>
    <w:rsid w:val="00451675"/>
    <w:rsid w:val="00451B12"/>
    <w:rsid w:val="00452091"/>
    <w:rsid w:val="00452233"/>
    <w:rsid w:val="004523AE"/>
    <w:rsid w:val="00452DF6"/>
    <w:rsid w:val="00453161"/>
    <w:rsid w:val="004536D4"/>
    <w:rsid w:val="00454028"/>
    <w:rsid w:val="00454A35"/>
    <w:rsid w:val="00454B2D"/>
    <w:rsid w:val="00454CEE"/>
    <w:rsid w:val="00455459"/>
    <w:rsid w:val="004555E1"/>
    <w:rsid w:val="00455743"/>
    <w:rsid w:val="00455CE7"/>
    <w:rsid w:val="00455EFB"/>
    <w:rsid w:val="00456275"/>
    <w:rsid w:val="0045652E"/>
    <w:rsid w:val="004569EE"/>
    <w:rsid w:val="00456A4E"/>
    <w:rsid w:val="00456A5D"/>
    <w:rsid w:val="00456D76"/>
    <w:rsid w:val="00457B14"/>
    <w:rsid w:val="00457CB7"/>
    <w:rsid w:val="0046049F"/>
    <w:rsid w:val="0046072F"/>
    <w:rsid w:val="00460754"/>
    <w:rsid w:val="004609E0"/>
    <w:rsid w:val="00460AEA"/>
    <w:rsid w:val="004611A5"/>
    <w:rsid w:val="0046174C"/>
    <w:rsid w:val="0046190A"/>
    <w:rsid w:val="004629D6"/>
    <w:rsid w:val="004629FD"/>
    <w:rsid w:val="00462B7A"/>
    <w:rsid w:val="00462CC9"/>
    <w:rsid w:val="004630EB"/>
    <w:rsid w:val="00463685"/>
    <w:rsid w:val="004637E0"/>
    <w:rsid w:val="00463A0A"/>
    <w:rsid w:val="00463AD7"/>
    <w:rsid w:val="00463C1C"/>
    <w:rsid w:val="0046404B"/>
    <w:rsid w:val="00465017"/>
    <w:rsid w:val="00465978"/>
    <w:rsid w:val="00465D0D"/>
    <w:rsid w:val="00465ED0"/>
    <w:rsid w:val="00466273"/>
    <w:rsid w:val="004665DA"/>
    <w:rsid w:val="0046669A"/>
    <w:rsid w:val="004668D2"/>
    <w:rsid w:val="00466A1D"/>
    <w:rsid w:val="00466D76"/>
    <w:rsid w:val="00467110"/>
    <w:rsid w:val="004675AC"/>
    <w:rsid w:val="00467AFB"/>
    <w:rsid w:val="00467FDB"/>
    <w:rsid w:val="004700C1"/>
    <w:rsid w:val="00470361"/>
    <w:rsid w:val="00470741"/>
    <w:rsid w:val="00470755"/>
    <w:rsid w:val="00470A39"/>
    <w:rsid w:val="00470C5B"/>
    <w:rsid w:val="0047120B"/>
    <w:rsid w:val="00471596"/>
    <w:rsid w:val="004715F7"/>
    <w:rsid w:val="004716A6"/>
    <w:rsid w:val="00471915"/>
    <w:rsid w:val="004719A7"/>
    <w:rsid w:val="00471C35"/>
    <w:rsid w:val="00471FA0"/>
    <w:rsid w:val="004720A8"/>
    <w:rsid w:val="00472A98"/>
    <w:rsid w:val="00473A1E"/>
    <w:rsid w:val="00473AD5"/>
    <w:rsid w:val="00473E27"/>
    <w:rsid w:val="00474E51"/>
    <w:rsid w:val="0047500E"/>
    <w:rsid w:val="0047507E"/>
    <w:rsid w:val="004750EC"/>
    <w:rsid w:val="00475A65"/>
    <w:rsid w:val="00475BDB"/>
    <w:rsid w:val="0047678A"/>
    <w:rsid w:val="00476797"/>
    <w:rsid w:val="004769D5"/>
    <w:rsid w:val="00476A5E"/>
    <w:rsid w:val="00476DE2"/>
    <w:rsid w:val="00476F04"/>
    <w:rsid w:val="00477144"/>
    <w:rsid w:val="0047777D"/>
    <w:rsid w:val="00477CDE"/>
    <w:rsid w:val="00480098"/>
    <w:rsid w:val="0048078D"/>
    <w:rsid w:val="004808BC"/>
    <w:rsid w:val="00480916"/>
    <w:rsid w:val="004809DF"/>
    <w:rsid w:val="00480BD9"/>
    <w:rsid w:val="00481978"/>
    <w:rsid w:val="00482293"/>
    <w:rsid w:val="00482545"/>
    <w:rsid w:val="00482764"/>
    <w:rsid w:val="00482D7A"/>
    <w:rsid w:val="00482E2F"/>
    <w:rsid w:val="00482E95"/>
    <w:rsid w:val="004835D6"/>
    <w:rsid w:val="004839EE"/>
    <w:rsid w:val="00484884"/>
    <w:rsid w:val="00484FF0"/>
    <w:rsid w:val="004852FE"/>
    <w:rsid w:val="00485322"/>
    <w:rsid w:val="00485DF7"/>
    <w:rsid w:val="004862AA"/>
    <w:rsid w:val="0048658E"/>
    <w:rsid w:val="00486AE9"/>
    <w:rsid w:val="0048727F"/>
    <w:rsid w:val="00487350"/>
    <w:rsid w:val="0048754B"/>
    <w:rsid w:val="00487B6B"/>
    <w:rsid w:val="00487FEC"/>
    <w:rsid w:val="004901C8"/>
    <w:rsid w:val="00490320"/>
    <w:rsid w:val="00490467"/>
    <w:rsid w:val="0049084D"/>
    <w:rsid w:val="004909B2"/>
    <w:rsid w:val="00490B2E"/>
    <w:rsid w:val="00491528"/>
    <w:rsid w:val="00491695"/>
    <w:rsid w:val="0049169F"/>
    <w:rsid w:val="004917EF"/>
    <w:rsid w:val="004919A8"/>
    <w:rsid w:val="00491B1A"/>
    <w:rsid w:val="00491C30"/>
    <w:rsid w:val="004920A1"/>
    <w:rsid w:val="0049214A"/>
    <w:rsid w:val="00492339"/>
    <w:rsid w:val="00492681"/>
    <w:rsid w:val="00493275"/>
    <w:rsid w:val="004933EB"/>
    <w:rsid w:val="0049342E"/>
    <w:rsid w:val="00493434"/>
    <w:rsid w:val="004934FB"/>
    <w:rsid w:val="004936BA"/>
    <w:rsid w:val="00493927"/>
    <w:rsid w:val="00493AAA"/>
    <w:rsid w:val="00494026"/>
    <w:rsid w:val="0049457B"/>
    <w:rsid w:val="0049478A"/>
    <w:rsid w:val="00494F2F"/>
    <w:rsid w:val="00495772"/>
    <w:rsid w:val="004957B3"/>
    <w:rsid w:val="00495816"/>
    <w:rsid w:val="0049583C"/>
    <w:rsid w:val="00495EA1"/>
    <w:rsid w:val="00495EDC"/>
    <w:rsid w:val="00495FED"/>
    <w:rsid w:val="00496340"/>
    <w:rsid w:val="004963BF"/>
    <w:rsid w:val="00496566"/>
    <w:rsid w:val="00497A97"/>
    <w:rsid w:val="00497D02"/>
    <w:rsid w:val="004A04C1"/>
    <w:rsid w:val="004A064D"/>
    <w:rsid w:val="004A09B9"/>
    <w:rsid w:val="004A0DB6"/>
    <w:rsid w:val="004A13D1"/>
    <w:rsid w:val="004A157E"/>
    <w:rsid w:val="004A180B"/>
    <w:rsid w:val="004A1A82"/>
    <w:rsid w:val="004A1E03"/>
    <w:rsid w:val="004A228C"/>
    <w:rsid w:val="004A22C6"/>
    <w:rsid w:val="004A27F6"/>
    <w:rsid w:val="004A2C1C"/>
    <w:rsid w:val="004A3035"/>
    <w:rsid w:val="004A3808"/>
    <w:rsid w:val="004A3D16"/>
    <w:rsid w:val="004A4655"/>
    <w:rsid w:val="004A48BF"/>
    <w:rsid w:val="004A50D7"/>
    <w:rsid w:val="004A54A9"/>
    <w:rsid w:val="004A56D1"/>
    <w:rsid w:val="004A5707"/>
    <w:rsid w:val="004A5DEC"/>
    <w:rsid w:val="004A5E50"/>
    <w:rsid w:val="004A622F"/>
    <w:rsid w:val="004A6A13"/>
    <w:rsid w:val="004A6EE9"/>
    <w:rsid w:val="004A7199"/>
    <w:rsid w:val="004A7646"/>
    <w:rsid w:val="004A7A2B"/>
    <w:rsid w:val="004A7A46"/>
    <w:rsid w:val="004A7A4C"/>
    <w:rsid w:val="004A7E70"/>
    <w:rsid w:val="004B0975"/>
    <w:rsid w:val="004B0BA5"/>
    <w:rsid w:val="004B0EE8"/>
    <w:rsid w:val="004B1205"/>
    <w:rsid w:val="004B1538"/>
    <w:rsid w:val="004B1CB6"/>
    <w:rsid w:val="004B1D5D"/>
    <w:rsid w:val="004B2012"/>
    <w:rsid w:val="004B2038"/>
    <w:rsid w:val="004B22E6"/>
    <w:rsid w:val="004B2483"/>
    <w:rsid w:val="004B25CA"/>
    <w:rsid w:val="004B2AD6"/>
    <w:rsid w:val="004B2C2B"/>
    <w:rsid w:val="004B2F83"/>
    <w:rsid w:val="004B3128"/>
    <w:rsid w:val="004B3594"/>
    <w:rsid w:val="004B35C4"/>
    <w:rsid w:val="004B388E"/>
    <w:rsid w:val="004B3A28"/>
    <w:rsid w:val="004B3AA6"/>
    <w:rsid w:val="004B3D1D"/>
    <w:rsid w:val="004B3E20"/>
    <w:rsid w:val="004B3E86"/>
    <w:rsid w:val="004B3FAF"/>
    <w:rsid w:val="004B436D"/>
    <w:rsid w:val="004B48F5"/>
    <w:rsid w:val="004B4A8F"/>
    <w:rsid w:val="004B53FE"/>
    <w:rsid w:val="004B5D5F"/>
    <w:rsid w:val="004B62FB"/>
    <w:rsid w:val="004B68A4"/>
    <w:rsid w:val="004B695E"/>
    <w:rsid w:val="004B6ACD"/>
    <w:rsid w:val="004B6B64"/>
    <w:rsid w:val="004B6BDA"/>
    <w:rsid w:val="004B7490"/>
    <w:rsid w:val="004B7501"/>
    <w:rsid w:val="004B78BA"/>
    <w:rsid w:val="004B7B07"/>
    <w:rsid w:val="004C0D27"/>
    <w:rsid w:val="004C105F"/>
    <w:rsid w:val="004C11DC"/>
    <w:rsid w:val="004C1E1E"/>
    <w:rsid w:val="004C2A24"/>
    <w:rsid w:val="004C2DC2"/>
    <w:rsid w:val="004C2F4B"/>
    <w:rsid w:val="004C3079"/>
    <w:rsid w:val="004C3081"/>
    <w:rsid w:val="004C36BB"/>
    <w:rsid w:val="004C3D4B"/>
    <w:rsid w:val="004C3F03"/>
    <w:rsid w:val="004C4741"/>
    <w:rsid w:val="004C4B53"/>
    <w:rsid w:val="004C5531"/>
    <w:rsid w:val="004C5541"/>
    <w:rsid w:val="004C5603"/>
    <w:rsid w:val="004C5850"/>
    <w:rsid w:val="004C5AB4"/>
    <w:rsid w:val="004C5CCC"/>
    <w:rsid w:val="004C5EFA"/>
    <w:rsid w:val="004C600D"/>
    <w:rsid w:val="004C63FD"/>
    <w:rsid w:val="004C646B"/>
    <w:rsid w:val="004C6A08"/>
    <w:rsid w:val="004C6DE4"/>
    <w:rsid w:val="004C72F2"/>
    <w:rsid w:val="004C7957"/>
    <w:rsid w:val="004C7AD4"/>
    <w:rsid w:val="004D070C"/>
    <w:rsid w:val="004D0908"/>
    <w:rsid w:val="004D156B"/>
    <w:rsid w:val="004D15A5"/>
    <w:rsid w:val="004D17B7"/>
    <w:rsid w:val="004D1CA5"/>
    <w:rsid w:val="004D2309"/>
    <w:rsid w:val="004D29B8"/>
    <w:rsid w:val="004D29DB"/>
    <w:rsid w:val="004D2BD7"/>
    <w:rsid w:val="004D2FE2"/>
    <w:rsid w:val="004D3079"/>
    <w:rsid w:val="004D3126"/>
    <w:rsid w:val="004D3241"/>
    <w:rsid w:val="004D32BB"/>
    <w:rsid w:val="004D3A3F"/>
    <w:rsid w:val="004D3C85"/>
    <w:rsid w:val="004D4120"/>
    <w:rsid w:val="004D4782"/>
    <w:rsid w:val="004D4A92"/>
    <w:rsid w:val="004D4B06"/>
    <w:rsid w:val="004D4B31"/>
    <w:rsid w:val="004D4C7B"/>
    <w:rsid w:val="004D5B98"/>
    <w:rsid w:val="004D615E"/>
    <w:rsid w:val="004D6164"/>
    <w:rsid w:val="004D673D"/>
    <w:rsid w:val="004D677F"/>
    <w:rsid w:val="004D682D"/>
    <w:rsid w:val="004D699A"/>
    <w:rsid w:val="004D6A31"/>
    <w:rsid w:val="004D6B3A"/>
    <w:rsid w:val="004D6B42"/>
    <w:rsid w:val="004D6B43"/>
    <w:rsid w:val="004D723C"/>
    <w:rsid w:val="004D7517"/>
    <w:rsid w:val="004D788A"/>
    <w:rsid w:val="004D7A91"/>
    <w:rsid w:val="004D7AF3"/>
    <w:rsid w:val="004D7B8D"/>
    <w:rsid w:val="004D7BB1"/>
    <w:rsid w:val="004D7EBA"/>
    <w:rsid w:val="004E016C"/>
    <w:rsid w:val="004E076E"/>
    <w:rsid w:val="004E091C"/>
    <w:rsid w:val="004E0AA8"/>
    <w:rsid w:val="004E0EB1"/>
    <w:rsid w:val="004E126B"/>
    <w:rsid w:val="004E1C6B"/>
    <w:rsid w:val="004E1E05"/>
    <w:rsid w:val="004E2169"/>
    <w:rsid w:val="004E25C8"/>
    <w:rsid w:val="004E2696"/>
    <w:rsid w:val="004E2AFD"/>
    <w:rsid w:val="004E3389"/>
    <w:rsid w:val="004E3456"/>
    <w:rsid w:val="004E35E9"/>
    <w:rsid w:val="004E3833"/>
    <w:rsid w:val="004E3E2A"/>
    <w:rsid w:val="004E459A"/>
    <w:rsid w:val="004E4994"/>
    <w:rsid w:val="004E4C3B"/>
    <w:rsid w:val="004E4DD0"/>
    <w:rsid w:val="004E4DFB"/>
    <w:rsid w:val="004E541D"/>
    <w:rsid w:val="004E564C"/>
    <w:rsid w:val="004E572D"/>
    <w:rsid w:val="004E6287"/>
    <w:rsid w:val="004E65C6"/>
    <w:rsid w:val="004E68D7"/>
    <w:rsid w:val="004E69FA"/>
    <w:rsid w:val="004E6AE5"/>
    <w:rsid w:val="004E6CB9"/>
    <w:rsid w:val="004E6DB0"/>
    <w:rsid w:val="004E6F4A"/>
    <w:rsid w:val="004E73AC"/>
    <w:rsid w:val="004E746E"/>
    <w:rsid w:val="004E7728"/>
    <w:rsid w:val="004E79CB"/>
    <w:rsid w:val="004F076A"/>
    <w:rsid w:val="004F0A26"/>
    <w:rsid w:val="004F0DE6"/>
    <w:rsid w:val="004F127F"/>
    <w:rsid w:val="004F1565"/>
    <w:rsid w:val="004F1662"/>
    <w:rsid w:val="004F1895"/>
    <w:rsid w:val="004F18A8"/>
    <w:rsid w:val="004F228A"/>
    <w:rsid w:val="004F2896"/>
    <w:rsid w:val="004F34FF"/>
    <w:rsid w:val="004F35C0"/>
    <w:rsid w:val="004F35C4"/>
    <w:rsid w:val="004F3656"/>
    <w:rsid w:val="004F39DA"/>
    <w:rsid w:val="004F3C81"/>
    <w:rsid w:val="004F4530"/>
    <w:rsid w:val="004F4590"/>
    <w:rsid w:val="004F45FC"/>
    <w:rsid w:val="004F4D93"/>
    <w:rsid w:val="004F4FBB"/>
    <w:rsid w:val="004F5385"/>
    <w:rsid w:val="004F55BE"/>
    <w:rsid w:val="004F57F1"/>
    <w:rsid w:val="004F7125"/>
    <w:rsid w:val="004F742E"/>
    <w:rsid w:val="004F75D4"/>
    <w:rsid w:val="004F7682"/>
    <w:rsid w:val="004F7A51"/>
    <w:rsid w:val="004F7BC4"/>
    <w:rsid w:val="004F7DFA"/>
    <w:rsid w:val="0050001C"/>
    <w:rsid w:val="00500BFB"/>
    <w:rsid w:val="00500C16"/>
    <w:rsid w:val="00500D29"/>
    <w:rsid w:val="00500EC7"/>
    <w:rsid w:val="005010D1"/>
    <w:rsid w:val="00501196"/>
    <w:rsid w:val="005011DE"/>
    <w:rsid w:val="00501CBD"/>
    <w:rsid w:val="00501E79"/>
    <w:rsid w:val="00501F0C"/>
    <w:rsid w:val="0050245B"/>
    <w:rsid w:val="005026DB"/>
    <w:rsid w:val="00502959"/>
    <w:rsid w:val="00503885"/>
    <w:rsid w:val="00504613"/>
    <w:rsid w:val="005049BE"/>
    <w:rsid w:val="00504B09"/>
    <w:rsid w:val="00504CDF"/>
    <w:rsid w:val="00505543"/>
    <w:rsid w:val="0050559B"/>
    <w:rsid w:val="005055AE"/>
    <w:rsid w:val="005055E8"/>
    <w:rsid w:val="00505A84"/>
    <w:rsid w:val="00505C86"/>
    <w:rsid w:val="00505CD7"/>
    <w:rsid w:val="00506173"/>
    <w:rsid w:val="005064F6"/>
    <w:rsid w:val="0050681C"/>
    <w:rsid w:val="00506925"/>
    <w:rsid w:val="00506CF8"/>
    <w:rsid w:val="00507233"/>
    <w:rsid w:val="00507B62"/>
    <w:rsid w:val="00507DA5"/>
    <w:rsid w:val="00507F89"/>
    <w:rsid w:val="00510B37"/>
    <w:rsid w:val="00511307"/>
    <w:rsid w:val="0051157B"/>
    <w:rsid w:val="005115EF"/>
    <w:rsid w:val="005116A1"/>
    <w:rsid w:val="0051177C"/>
    <w:rsid w:val="005117E1"/>
    <w:rsid w:val="0051204A"/>
    <w:rsid w:val="00512E96"/>
    <w:rsid w:val="00513324"/>
    <w:rsid w:val="005133FF"/>
    <w:rsid w:val="005135DA"/>
    <w:rsid w:val="00513892"/>
    <w:rsid w:val="00514756"/>
    <w:rsid w:val="00514A86"/>
    <w:rsid w:val="00515077"/>
    <w:rsid w:val="00515B71"/>
    <w:rsid w:val="00515C72"/>
    <w:rsid w:val="00515D04"/>
    <w:rsid w:val="00516108"/>
    <w:rsid w:val="0051649E"/>
    <w:rsid w:val="0051699B"/>
    <w:rsid w:val="00516DB3"/>
    <w:rsid w:val="00517009"/>
    <w:rsid w:val="005174C8"/>
    <w:rsid w:val="00517800"/>
    <w:rsid w:val="00520074"/>
    <w:rsid w:val="00520231"/>
    <w:rsid w:val="00520754"/>
    <w:rsid w:val="0052089D"/>
    <w:rsid w:val="00520B23"/>
    <w:rsid w:val="005213C2"/>
    <w:rsid w:val="005217BB"/>
    <w:rsid w:val="005219A5"/>
    <w:rsid w:val="00522105"/>
    <w:rsid w:val="0052218D"/>
    <w:rsid w:val="00522535"/>
    <w:rsid w:val="00522854"/>
    <w:rsid w:val="00522C94"/>
    <w:rsid w:val="0052327B"/>
    <w:rsid w:val="00523F2A"/>
    <w:rsid w:val="005242FB"/>
    <w:rsid w:val="00525837"/>
    <w:rsid w:val="00525C17"/>
    <w:rsid w:val="00525C8B"/>
    <w:rsid w:val="00526099"/>
    <w:rsid w:val="00526909"/>
    <w:rsid w:val="005269C5"/>
    <w:rsid w:val="00526D61"/>
    <w:rsid w:val="00526D8D"/>
    <w:rsid w:val="00526E20"/>
    <w:rsid w:val="005272D2"/>
    <w:rsid w:val="005273D1"/>
    <w:rsid w:val="0052747E"/>
    <w:rsid w:val="00527A58"/>
    <w:rsid w:val="00527DDD"/>
    <w:rsid w:val="00527FE7"/>
    <w:rsid w:val="00530028"/>
    <w:rsid w:val="00530427"/>
    <w:rsid w:val="0053058F"/>
    <w:rsid w:val="005311AB"/>
    <w:rsid w:val="005311F1"/>
    <w:rsid w:val="005316E9"/>
    <w:rsid w:val="0053192E"/>
    <w:rsid w:val="00531E6F"/>
    <w:rsid w:val="00531E7B"/>
    <w:rsid w:val="00531F8C"/>
    <w:rsid w:val="00532134"/>
    <w:rsid w:val="00532509"/>
    <w:rsid w:val="00532589"/>
    <w:rsid w:val="00532924"/>
    <w:rsid w:val="005330C6"/>
    <w:rsid w:val="0053327C"/>
    <w:rsid w:val="0053367F"/>
    <w:rsid w:val="00533EA2"/>
    <w:rsid w:val="0053410D"/>
    <w:rsid w:val="0053445C"/>
    <w:rsid w:val="005345C5"/>
    <w:rsid w:val="0053523E"/>
    <w:rsid w:val="005353B0"/>
    <w:rsid w:val="0053575C"/>
    <w:rsid w:val="0053582D"/>
    <w:rsid w:val="005359B8"/>
    <w:rsid w:val="00535DD7"/>
    <w:rsid w:val="00535F69"/>
    <w:rsid w:val="005361C1"/>
    <w:rsid w:val="0053662B"/>
    <w:rsid w:val="00536BBC"/>
    <w:rsid w:val="00536E21"/>
    <w:rsid w:val="00537649"/>
    <w:rsid w:val="00537938"/>
    <w:rsid w:val="0053794A"/>
    <w:rsid w:val="00537AD2"/>
    <w:rsid w:val="00537C4B"/>
    <w:rsid w:val="00537FC5"/>
    <w:rsid w:val="0054002B"/>
    <w:rsid w:val="00540B66"/>
    <w:rsid w:val="00540B72"/>
    <w:rsid w:val="00541CCD"/>
    <w:rsid w:val="00541D76"/>
    <w:rsid w:val="00542891"/>
    <w:rsid w:val="00542AE3"/>
    <w:rsid w:val="00542AEE"/>
    <w:rsid w:val="005432CC"/>
    <w:rsid w:val="00543801"/>
    <w:rsid w:val="00543B0B"/>
    <w:rsid w:val="00543F12"/>
    <w:rsid w:val="005447B4"/>
    <w:rsid w:val="00544801"/>
    <w:rsid w:val="00544AE1"/>
    <w:rsid w:val="00544CDC"/>
    <w:rsid w:val="00544E60"/>
    <w:rsid w:val="005458EB"/>
    <w:rsid w:val="00545BC2"/>
    <w:rsid w:val="00545D66"/>
    <w:rsid w:val="0054629C"/>
    <w:rsid w:val="005464BE"/>
    <w:rsid w:val="0054684B"/>
    <w:rsid w:val="00546ED8"/>
    <w:rsid w:val="00547900"/>
    <w:rsid w:val="00547CBC"/>
    <w:rsid w:val="00550AF2"/>
    <w:rsid w:val="00550B09"/>
    <w:rsid w:val="00550D84"/>
    <w:rsid w:val="00551242"/>
    <w:rsid w:val="005512D8"/>
    <w:rsid w:val="0055162A"/>
    <w:rsid w:val="0055277E"/>
    <w:rsid w:val="00552D0B"/>
    <w:rsid w:val="00552F77"/>
    <w:rsid w:val="00553044"/>
    <w:rsid w:val="0055393C"/>
    <w:rsid w:val="00553BE4"/>
    <w:rsid w:val="00553C2A"/>
    <w:rsid w:val="00554149"/>
    <w:rsid w:val="0055427F"/>
    <w:rsid w:val="00554FCF"/>
    <w:rsid w:val="0055510E"/>
    <w:rsid w:val="005556B5"/>
    <w:rsid w:val="00555F79"/>
    <w:rsid w:val="00556546"/>
    <w:rsid w:val="00556841"/>
    <w:rsid w:val="00557180"/>
    <w:rsid w:val="005571E6"/>
    <w:rsid w:val="00557293"/>
    <w:rsid w:val="005572B6"/>
    <w:rsid w:val="00557534"/>
    <w:rsid w:val="005575E9"/>
    <w:rsid w:val="00557A6D"/>
    <w:rsid w:val="00557C92"/>
    <w:rsid w:val="00557DFB"/>
    <w:rsid w:val="0056052F"/>
    <w:rsid w:val="005607ED"/>
    <w:rsid w:val="0056084F"/>
    <w:rsid w:val="00560D92"/>
    <w:rsid w:val="00560DE0"/>
    <w:rsid w:val="005616AD"/>
    <w:rsid w:val="00561A95"/>
    <w:rsid w:val="00561AFE"/>
    <w:rsid w:val="00561BE1"/>
    <w:rsid w:val="00561FEE"/>
    <w:rsid w:val="005622C4"/>
    <w:rsid w:val="005625CC"/>
    <w:rsid w:val="00562ADF"/>
    <w:rsid w:val="00562D95"/>
    <w:rsid w:val="0056309F"/>
    <w:rsid w:val="005634D2"/>
    <w:rsid w:val="005636A3"/>
    <w:rsid w:val="00563E15"/>
    <w:rsid w:val="00564552"/>
    <w:rsid w:val="00564BA7"/>
    <w:rsid w:val="00564FA5"/>
    <w:rsid w:val="00564FFD"/>
    <w:rsid w:val="00565030"/>
    <w:rsid w:val="00565107"/>
    <w:rsid w:val="005653B6"/>
    <w:rsid w:val="00565644"/>
    <w:rsid w:val="00565795"/>
    <w:rsid w:val="00565D26"/>
    <w:rsid w:val="00565D65"/>
    <w:rsid w:val="005662A6"/>
    <w:rsid w:val="005663CF"/>
    <w:rsid w:val="005663FE"/>
    <w:rsid w:val="00566994"/>
    <w:rsid w:val="005669F5"/>
    <w:rsid w:val="00567B09"/>
    <w:rsid w:val="005700EE"/>
    <w:rsid w:val="00570244"/>
    <w:rsid w:val="0057037E"/>
    <w:rsid w:val="00570A3F"/>
    <w:rsid w:val="00570D7E"/>
    <w:rsid w:val="00571138"/>
    <w:rsid w:val="0057144F"/>
    <w:rsid w:val="00571AF8"/>
    <w:rsid w:val="005724A5"/>
    <w:rsid w:val="00572A85"/>
    <w:rsid w:val="00572B46"/>
    <w:rsid w:val="005735DB"/>
    <w:rsid w:val="00573777"/>
    <w:rsid w:val="00573929"/>
    <w:rsid w:val="005739AD"/>
    <w:rsid w:val="0057481A"/>
    <w:rsid w:val="0057487F"/>
    <w:rsid w:val="00574B8F"/>
    <w:rsid w:val="005758D5"/>
    <w:rsid w:val="00575D10"/>
    <w:rsid w:val="00575D34"/>
    <w:rsid w:val="00576272"/>
    <w:rsid w:val="005769B3"/>
    <w:rsid w:val="00576AC1"/>
    <w:rsid w:val="0057710E"/>
    <w:rsid w:val="00577393"/>
    <w:rsid w:val="005776D0"/>
    <w:rsid w:val="00580B6C"/>
    <w:rsid w:val="00581933"/>
    <w:rsid w:val="00581F81"/>
    <w:rsid w:val="0058233B"/>
    <w:rsid w:val="0058281C"/>
    <w:rsid w:val="00582A99"/>
    <w:rsid w:val="00582E97"/>
    <w:rsid w:val="00582FD6"/>
    <w:rsid w:val="0058326F"/>
    <w:rsid w:val="0058358D"/>
    <w:rsid w:val="005838E6"/>
    <w:rsid w:val="00583C2C"/>
    <w:rsid w:val="00583CB2"/>
    <w:rsid w:val="0058451A"/>
    <w:rsid w:val="005847D9"/>
    <w:rsid w:val="00584967"/>
    <w:rsid w:val="00584D7B"/>
    <w:rsid w:val="0058509A"/>
    <w:rsid w:val="00585250"/>
    <w:rsid w:val="00585A37"/>
    <w:rsid w:val="00585A38"/>
    <w:rsid w:val="00586436"/>
    <w:rsid w:val="00586520"/>
    <w:rsid w:val="005865D5"/>
    <w:rsid w:val="00586684"/>
    <w:rsid w:val="0058672E"/>
    <w:rsid w:val="00586A9C"/>
    <w:rsid w:val="0058716F"/>
    <w:rsid w:val="00587593"/>
    <w:rsid w:val="00587F55"/>
    <w:rsid w:val="0059032D"/>
    <w:rsid w:val="0059037D"/>
    <w:rsid w:val="005904E5"/>
    <w:rsid w:val="00590DF2"/>
    <w:rsid w:val="00591040"/>
    <w:rsid w:val="005918FA"/>
    <w:rsid w:val="00591C64"/>
    <w:rsid w:val="00591E60"/>
    <w:rsid w:val="005922B1"/>
    <w:rsid w:val="00592443"/>
    <w:rsid w:val="00592455"/>
    <w:rsid w:val="00592517"/>
    <w:rsid w:val="005928D9"/>
    <w:rsid w:val="00592A55"/>
    <w:rsid w:val="00592EE8"/>
    <w:rsid w:val="00593275"/>
    <w:rsid w:val="00594706"/>
    <w:rsid w:val="005948F4"/>
    <w:rsid w:val="005949E6"/>
    <w:rsid w:val="00595258"/>
    <w:rsid w:val="005953DB"/>
    <w:rsid w:val="0059541F"/>
    <w:rsid w:val="005959D6"/>
    <w:rsid w:val="00595A4E"/>
    <w:rsid w:val="00595FF9"/>
    <w:rsid w:val="00596486"/>
    <w:rsid w:val="005968D8"/>
    <w:rsid w:val="005969F4"/>
    <w:rsid w:val="00596F66"/>
    <w:rsid w:val="005971A4"/>
    <w:rsid w:val="0059767F"/>
    <w:rsid w:val="00597750"/>
    <w:rsid w:val="00597BD9"/>
    <w:rsid w:val="00597D72"/>
    <w:rsid w:val="005A0414"/>
    <w:rsid w:val="005A07E9"/>
    <w:rsid w:val="005A09C0"/>
    <w:rsid w:val="005A0B0B"/>
    <w:rsid w:val="005A0B6D"/>
    <w:rsid w:val="005A0E47"/>
    <w:rsid w:val="005A0FCC"/>
    <w:rsid w:val="005A214E"/>
    <w:rsid w:val="005A21AF"/>
    <w:rsid w:val="005A229A"/>
    <w:rsid w:val="005A22AF"/>
    <w:rsid w:val="005A247E"/>
    <w:rsid w:val="005A277B"/>
    <w:rsid w:val="005A2A08"/>
    <w:rsid w:val="005A2D4E"/>
    <w:rsid w:val="005A2EA5"/>
    <w:rsid w:val="005A3511"/>
    <w:rsid w:val="005A387D"/>
    <w:rsid w:val="005A3C1C"/>
    <w:rsid w:val="005A4043"/>
    <w:rsid w:val="005A4196"/>
    <w:rsid w:val="005A4335"/>
    <w:rsid w:val="005A5027"/>
    <w:rsid w:val="005A502E"/>
    <w:rsid w:val="005A50CE"/>
    <w:rsid w:val="005A587C"/>
    <w:rsid w:val="005A5B70"/>
    <w:rsid w:val="005A5F27"/>
    <w:rsid w:val="005A61B6"/>
    <w:rsid w:val="005A6205"/>
    <w:rsid w:val="005A6CB6"/>
    <w:rsid w:val="005A7BB2"/>
    <w:rsid w:val="005A7C7C"/>
    <w:rsid w:val="005A7F83"/>
    <w:rsid w:val="005B0108"/>
    <w:rsid w:val="005B07D1"/>
    <w:rsid w:val="005B1126"/>
    <w:rsid w:val="005B12ED"/>
    <w:rsid w:val="005B13A1"/>
    <w:rsid w:val="005B1427"/>
    <w:rsid w:val="005B1B12"/>
    <w:rsid w:val="005B1C82"/>
    <w:rsid w:val="005B1D39"/>
    <w:rsid w:val="005B2067"/>
    <w:rsid w:val="005B2FA7"/>
    <w:rsid w:val="005B2FDC"/>
    <w:rsid w:val="005B3138"/>
    <w:rsid w:val="005B3A1D"/>
    <w:rsid w:val="005B3A70"/>
    <w:rsid w:val="005B3A99"/>
    <w:rsid w:val="005B40ED"/>
    <w:rsid w:val="005B43FF"/>
    <w:rsid w:val="005B4433"/>
    <w:rsid w:val="005B4599"/>
    <w:rsid w:val="005B4E12"/>
    <w:rsid w:val="005B5111"/>
    <w:rsid w:val="005B5FD0"/>
    <w:rsid w:val="005B65AD"/>
    <w:rsid w:val="005B6B4C"/>
    <w:rsid w:val="005B7186"/>
    <w:rsid w:val="005B794E"/>
    <w:rsid w:val="005C00D3"/>
    <w:rsid w:val="005C0369"/>
    <w:rsid w:val="005C13E8"/>
    <w:rsid w:val="005C165C"/>
    <w:rsid w:val="005C180B"/>
    <w:rsid w:val="005C1DEA"/>
    <w:rsid w:val="005C1E56"/>
    <w:rsid w:val="005C2458"/>
    <w:rsid w:val="005C28D7"/>
    <w:rsid w:val="005C2B5D"/>
    <w:rsid w:val="005C2C51"/>
    <w:rsid w:val="005C2D9B"/>
    <w:rsid w:val="005C306E"/>
    <w:rsid w:val="005C3338"/>
    <w:rsid w:val="005C333E"/>
    <w:rsid w:val="005C3507"/>
    <w:rsid w:val="005C3DCE"/>
    <w:rsid w:val="005C3F26"/>
    <w:rsid w:val="005C416E"/>
    <w:rsid w:val="005C464F"/>
    <w:rsid w:val="005C4B33"/>
    <w:rsid w:val="005C4BEF"/>
    <w:rsid w:val="005C51C0"/>
    <w:rsid w:val="005C5374"/>
    <w:rsid w:val="005C5526"/>
    <w:rsid w:val="005C592D"/>
    <w:rsid w:val="005C5D53"/>
    <w:rsid w:val="005C6182"/>
    <w:rsid w:val="005C6243"/>
    <w:rsid w:val="005C6EDD"/>
    <w:rsid w:val="005C7437"/>
    <w:rsid w:val="005C79D5"/>
    <w:rsid w:val="005D0023"/>
    <w:rsid w:val="005D0137"/>
    <w:rsid w:val="005D056E"/>
    <w:rsid w:val="005D068B"/>
    <w:rsid w:val="005D0B2A"/>
    <w:rsid w:val="005D0E85"/>
    <w:rsid w:val="005D12F2"/>
    <w:rsid w:val="005D146A"/>
    <w:rsid w:val="005D180C"/>
    <w:rsid w:val="005D2410"/>
    <w:rsid w:val="005D2834"/>
    <w:rsid w:val="005D2E62"/>
    <w:rsid w:val="005D3B73"/>
    <w:rsid w:val="005D3E12"/>
    <w:rsid w:val="005D4694"/>
    <w:rsid w:val="005D46EB"/>
    <w:rsid w:val="005D4E10"/>
    <w:rsid w:val="005D5183"/>
    <w:rsid w:val="005D5412"/>
    <w:rsid w:val="005D583E"/>
    <w:rsid w:val="005D6859"/>
    <w:rsid w:val="005D691E"/>
    <w:rsid w:val="005D6A67"/>
    <w:rsid w:val="005D6B8A"/>
    <w:rsid w:val="005D6D01"/>
    <w:rsid w:val="005D6EB2"/>
    <w:rsid w:val="005D71B9"/>
    <w:rsid w:val="005D7350"/>
    <w:rsid w:val="005D7726"/>
    <w:rsid w:val="005D7D79"/>
    <w:rsid w:val="005D7F0B"/>
    <w:rsid w:val="005E02C7"/>
    <w:rsid w:val="005E0B41"/>
    <w:rsid w:val="005E0B74"/>
    <w:rsid w:val="005E0EC7"/>
    <w:rsid w:val="005E0F3C"/>
    <w:rsid w:val="005E1430"/>
    <w:rsid w:val="005E1D72"/>
    <w:rsid w:val="005E1FA0"/>
    <w:rsid w:val="005E20A8"/>
    <w:rsid w:val="005E2582"/>
    <w:rsid w:val="005E31B2"/>
    <w:rsid w:val="005E35AE"/>
    <w:rsid w:val="005E3A34"/>
    <w:rsid w:val="005E3A4F"/>
    <w:rsid w:val="005E3EC3"/>
    <w:rsid w:val="005E4B43"/>
    <w:rsid w:val="005E4C27"/>
    <w:rsid w:val="005E51C6"/>
    <w:rsid w:val="005E52BB"/>
    <w:rsid w:val="005E598C"/>
    <w:rsid w:val="005E5AF1"/>
    <w:rsid w:val="005E5EA2"/>
    <w:rsid w:val="005E5FA6"/>
    <w:rsid w:val="005E6042"/>
    <w:rsid w:val="005E685F"/>
    <w:rsid w:val="005E6A8C"/>
    <w:rsid w:val="005E6C8F"/>
    <w:rsid w:val="005E73E4"/>
    <w:rsid w:val="005E7FE1"/>
    <w:rsid w:val="005F01C6"/>
    <w:rsid w:val="005F0639"/>
    <w:rsid w:val="005F097A"/>
    <w:rsid w:val="005F0D39"/>
    <w:rsid w:val="005F178D"/>
    <w:rsid w:val="005F1942"/>
    <w:rsid w:val="005F1A92"/>
    <w:rsid w:val="005F1ADD"/>
    <w:rsid w:val="005F1C39"/>
    <w:rsid w:val="005F1DA3"/>
    <w:rsid w:val="005F1EF2"/>
    <w:rsid w:val="005F2485"/>
    <w:rsid w:val="005F2C82"/>
    <w:rsid w:val="005F3027"/>
    <w:rsid w:val="005F31F7"/>
    <w:rsid w:val="005F3462"/>
    <w:rsid w:val="005F3ADA"/>
    <w:rsid w:val="005F3F71"/>
    <w:rsid w:val="005F4904"/>
    <w:rsid w:val="005F4B55"/>
    <w:rsid w:val="005F4CE0"/>
    <w:rsid w:val="005F55C0"/>
    <w:rsid w:val="005F5928"/>
    <w:rsid w:val="005F5D03"/>
    <w:rsid w:val="005F5ECD"/>
    <w:rsid w:val="005F6654"/>
    <w:rsid w:val="005F6713"/>
    <w:rsid w:val="005F6877"/>
    <w:rsid w:val="005F704E"/>
    <w:rsid w:val="005F7183"/>
    <w:rsid w:val="005F7204"/>
    <w:rsid w:val="005F740F"/>
    <w:rsid w:val="005F7645"/>
    <w:rsid w:val="005F7646"/>
    <w:rsid w:val="005F7945"/>
    <w:rsid w:val="005F79AD"/>
    <w:rsid w:val="00601228"/>
    <w:rsid w:val="00601584"/>
    <w:rsid w:val="0060190F"/>
    <w:rsid w:val="0060194A"/>
    <w:rsid w:val="00601B6A"/>
    <w:rsid w:val="00601D9F"/>
    <w:rsid w:val="00601ECC"/>
    <w:rsid w:val="006020D5"/>
    <w:rsid w:val="006022E7"/>
    <w:rsid w:val="006029F2"/>
    <w:rsid w:val="00602BE9"/>
    <w:rsid w:val="00602C50"/>
    <w:rsid w:val="00602EF5"/>
    <w:rsid w:val="0060312C"/>
    <w:rsid w:val="006032FA"/>
    <w:rsid w:val="00604BFF"/>
    <w:rsid w:val="006054EC"/>
    <w:rsid w:val="0060579D"/>
    <w:rsid w:val="006057E6"/>
    <w:rsid w:val="0060585A"/>
    <w:rsid w:val="006062B1"/>
    <w:rsid w:val="00606771"/>
    <w:rsid w:val="006068EB"/>
    <w:rsid w:val="00606DC3"/>
    <w:rsid w:val="00606EEF"/>
    <w:rsid w:val="006073D1"/>
    <w:rsid w:val="00607600"/>
    <w:rsid w:val="0060772F"/>
    <w:rsid w:val="00607D9F"/>
    <w:rsid w:val="00610775"/>
    <w:rsid w:val="006113CB"/>
    <w:rsid w:val="00611B06"/>
    <w:rsid w:val="00611BC0"/>
    <w:rsid w:val="00611E2E"/>
    <w:rsid w:val="00612325"/>
    <w:rsid w:val="006123AE"/>
    <w:rsid w:val="00612679"/>
    <w:rsid w:val="0061269B"/>
    <w:rsid w:val="00612A1E"/>
    <w:rsid w:val="00612B60"/>
    <w:rsid w:val="006131BC"/>
    <w:rsid w:val="0061335D"/>
    <w:rsid w:val="00613480"/>
    <w:rsid w:val="006135F8"/>
    <w:rsid w:val="00613E6C"/>
    <w:rsid w:val="00614183"/>
    <w:rsid w:val="0061444F"/>
    <w:rsid w:val="006144E0"/>
    <w:rsid w:val="006149DA"/>
    <w:rsid w:val="00614B50"/>
    <w:rsid w:val="00614FED"/>
    <w:rsid w:val="00615096"/>
    <w:rsid w:val="006154BD"/>
    <w:rsid w:val="00615A0C"/>
    <w:rsid w:val="006162F5"/>
    <w:rsid w:val="00617B4A"/>
    <w:rsid w:val="0062038D"/>
    <w:rsid w:val="006206B0"/>
    <w:rsid w:val="006206E9"/>
    <w:rsid w:val="00620934"/>
    <w:rsid w:val="00621C41"/>
    <w:rsid w:val="00622346"/>
    <w:rsid w:val="00622457"/>
    <w:rsid w:val="006227AC"/>
    <w:rsid w:val="006228BD"/>
    <w:rsid w:val="00622BD1"/>
    <w:rsid w:val="00622C06"/>
    <w:rsid w:val="006231EA"/>
    <w:rsid w:val="006232C5"/>
    <w:rsid w:val="006238A4"/>
    <w:rsid w:val="006239F7"/>
    <w:rsid w:val="00623F50"/>
    <w:rsid w:val="00624089"/>
    <w:rsid w:val="00624302"/>
    <w:rsid w:val="00624359"/>
    <w:rsid w:val="00624887"/>
    <w:rsid w:val="00624F15"/>
    <w:rsid w:val="0062517B"/>
    <w:rsid w:val="006253C0"/>
    <w:rsid w:val="00625507"/>
    <w:rsid w:val="006255BE"/>
    <w:rsid w:val="00625C1A"/>
    <w:rsid w:val="00626165"/>
    <w:rsid w:val="00626421"/>
    <w:rsid w:val="00626A29"/>
    <w:rsid w:val="00626B89"/>
    <w:rsid w:val="00626E17"/>
    <w:rsid w:val="00627020"/>
    <w:rsid w:val="00627034"/>
    <w:rsid w:val="006271A7"/>
    <w:rsid w:val="00627362"/>
    <w:rsid w:val="0062746B"/>
    <w:rsid w:val="00627555"/>
    <w:rsid w:val="006276C2"/>
    <w:rsid w:val="00627943"/>
    <w:rsid w:val="00627C1A"/>
    <w:rsid w:val="00627DEE"/>
    <w:rsid w:val="00627F0D"/>
    <w:rsid w:val="006304C3"/>
    <w:rsid w:val="00630C51"/>
    <w:rsid w:val="006310FE"/>
    <w:rsid w:val="00631291"/>
    <w:rsid w:val="00631CD9"/>
    <w:rsid w:val="00631E02"/>
    <w:rsid w:val="00631E96"/>
    <w:rsid w:val="00632BD7"/>
    <w:rsid w:val="00632C5F"/>
    <w:rsid w:val="00632CED"/>
    <w:rsid w:val="00632E3F"/>
    <w:rsid w:val="006330AD"/>
    <w:rsid w:val="006333B8"/>
    <w:rsid w:val="00633762"/>
    <w:rsid w:val="00633A76"/>
    <w:rsid w:val="006341D7"/>
    <w:rsid w:val="006343B7"/>
    <w:rsid w:val="0063454B"/>
    <w:rsid w:val="006345D4"/>
    <w:rsid w:val="006347AD"/>
    <w:rsid w:val="006349F2"/>
    <w:rsid w:val="00635156"/>
    <w:rsid w:val="006352D3"/>
    <w:rsid w:val="0063554B"/>
    <w:rsid w:val="006356A5"/>
    <w:rsid w:val="00636174"/>
    <w:rsid w:val="0063630B"/>
    <w:rsid w:val="00636483"/>
    <w:rsid w:val="0063687B"/>
    <w:rsid w:val="006372F5"/>
    <w:rsid w:val="00640F7A"/>
    <w:rsid w:val="00640FAA"/>
    <w:rsid w:val="006419FE"/>
    <w:rsid w:val="006423DA"/>
    <w:rsid w:val="00643008"/>
    <w:rsid w:val="006430CF"/>
    <w:rsid w:val="006434A9"/>
    <w:rsid w:val="006434C0"/>
    <w:rsid w:val="006435FB"/>
    <w:rsid w:val="00644C2F"/>
    <w:rsid w:val="00644F89"/>
    <w:rsid w:val="00645CFF"/>
    <w:rsid w:val="00645ED4"/>
    <w:rsid w:val="0064650B"/>
    <w:rsid w:val="00646765"/>
    <w:rsid w:val="00646796"/>
    <w:rsid w:val="006468A4"/>
    <w:rsid w:val="006468F0"/>
    <w:rsid w:val="00646B2A"/>
    <w:rsid w:val="00646C84"/>
    <w:rsid w:val="00646D33"/>
    <w:rsid w:val="006500CF"/>
    <w:rsid w:val="00650BDE"/>
    <w:rsid w:val="00650C81"/>
    <w:rsid w:val="00650F7E"/>
    <w:rsid w:val="00650FC2"/>
    <w:rsid w:val="0065136F"/>
    <w:rsid w:val="006514DC"/>
    <w:rsid w:val="00651669"/>
    <w:rsid w:val="006516C6"/>
    <w:rsid w:val="006516F0"/>
    <w:rsid w:val="00651F3D"/>
    <w:rsid w:val="00651FF5"/>
    <w:rsid w:val="00652391"/>
    <w:rsid w:val="00652C46"/>
    <w:rsid w:val="00652C6B"/>
    <w:rsid w:val="00652C73"/>
    <w:rsid w:val="00653262"/>
    <w:rsid w:val="0065345D"/>
    <w:rsid w:val="0065352C"/>
    <w:rsid w:val="00653A88"/>
    <w:rsid w:val="006544D1"/>
    <w:rsid w:val="006546D2"/>
    <w:rsid w:val="00654909"/>
    <w:rsid w:val="00654D17"/>
    <w:rsid w:val="00654FAE"/>
    <w:rsid w:val="006554CC"/>
    <w:rsid w:val="00655646"/>
    <w:rsid w:val="00655978"/>
    <w:rsid w:val="00655AB0"/>
    <w:rsid w:val="00655B2D"/>
    <w:rsid w:val="00655EE4"/>
    <w:rsid w:val="00656F15"/>
    <w:rsid w:val="0065726E"/>
    <w:rsid w:val="0065788C"/>
    <w:rsid w:val="0065788E"/>
    <w:rsid w:val="00657CD5"/>
    <w:rsid w:val="00657D4C"/>
    <w:rsid w:val="00657D8D"/>
    <w:rsid w:val="00657E26"/>
    <w:rsid w:val="00657F3D"/>
    <w:rsid w:val="0066004F"/>
    <w:rsid w:val="00660132"/>
    <w:rsid w:val="006601B0"/>
    <w:rsid w:val="006606BD"/>
    <w:rsid w:val="00660C44"/>
    <w:rsid w:val="00660C79"/>
    <w:rsid w:val="00661605"/>
    <w:rsid w:val="00661A1C"/>
    <w:rsid w:val="00661A97"/>
    <w:rsid w:val="00661D46"/>
    <w:rsid w:val="00662341"/>
    <w:rsid w:val="00662393"/>
    <w:rsid w:val="00662544"/>
    <w:rsid w:val="0066280E"/>
    <w:rsid w:val="00662828"/>
    <w:rsid w:val="00662BD7"/>
    <w:rsid w:val="00662DF5"/>
    <w:rsid w:val="006631B7"/>
    <w:rsid w:val="00664289"/>
    <w:rsid w:val="006642AD"/>
    <w:rsid w:val="006643F4"/>
    <w:rsid w:val="00664585"/>
    <w:rsid w:val="006645F9"/>
    <w:rsid w:val="00664610"/>
    <w:rsid w:val="0066487C"/>
    <w:rsid w:val="00664943"/>
    <w:rsid w:val="0066521D"/>
    <w:rsid w:val="0066547B"/>
    <w:rsid w:val="00665A17"/>
    <w:rsid w:val="00665AD5"/>
    <w:rsid w:val="00666227"/>
    <w:rsid w:val="006666E6"/>
    <w:rsid w:val="00666AB4"/>
    <w:rsid w:val="00670656"/>
    <w:rsid w:val="006706B3"/>
    <w:rsid w:val="00670A30"/>
    <w:rsid w:val="00670A63"/>
    <w:rsid w:val="00670CF5"/>
    <w:rsid w:val="00670E4F"/>
    <w:rsid w:val="0067101F"/>
    <w:rsid w:val="0067132E"/>
    <w:rsid w:val="006714AE"/>
    <w:rsid w:val="006720E7"/>
    <w:rsid w:val="00672150"/>
    <w:rsid w:val="0067298D"/>
    <w:rsid w:val="00672F19"/>
    <w:rsid w:val="00673567"/>
    <w:rsid w:val="00673FC0"/>
    <w:rsid w:val="0067418F"/>
    <w:rsid w:val="006742D2"/>
    <w:rsid w:val="00674538"/>
    <w:rsid w:val="0067498D"/>
    <w:rsid w:val="00674BB2"/>
    <w:rsid w:val="006753FC"/>
    <w:rsid w:val="00675599"/>
    <w:rsid w:val="006759B7"/>
    <w:rsid w:val="006761D1"/>
    <w:rsid w:val="00676514"/>
    <w:rsid w:val="006765E4"/>
    <w:rsid w:val="00676AEB"/>
    <w:rsid w:val="00676DD2"/>
    <w:rsid w:val="00677302"/>
    <w:rsid w:val="0067765C"/>
    <w:rsid w:val="00677885"/>
    <w:rsid w:val="00677889"/>
    <w:rsid w:val="00677DEA"/>
    <w:rsid w:val="00680162"/>
    <w:rsid w:val="00680197"/>
    <w:rsid w:val="0068064C"/>
    <w:rsid w:val="006808D8"/>
    <w:rsid w:val="006809D3"/>
    <w:rsid w:val="00680EDA"/>
    <w:rsid w:val="00681813"/>
    <w:rsid w:val="00682227"/>
    <w:rsid w:val="00682D1B"/>
    <w:rsid w:val="006830F8"/>
    <w:rsid w:val="006831DA"/>
    <w:rsid w:val="00683503"/>
    <w:rsid w:val="0068358C"/>
    <w:rsid w:val="0068360A"/>
    <w:rsid w:val="0068381C"/>
    <w:rsid w:val="00683B27"/>
    <w:rsid w:val="00684084"/>
    <w:rsid w:val="00684319"/>
    <w:rsid w:val="00684528"/>
    <w:rsid w:val="006846E9"/>
    <w:rsid w:val="006847F3"/>
    <w:rsid w:val="00684AE5"/>
    <w:rsid w:val="00684B86"/>
    <w:rsid w:val="0068510F"/>
    <w:rsid w:val="00685594"/>
    <w:rsid w:val="006858E8"/>
    <w:rsid w:val="006859BE"/>
    <w:rsid w:val="00685F69"/>
    <w:rsid w:val="0068692C"/>
    <w:rsid w:val="00686C7D"/>
    <w:rsid w:val="00686D40"/>
    <w:rsid w:val="00686E8B"/>
    <w:rsid w:val="0068719B"/>
    <w:rsid w:val="00687433"/>
    <w:rsid w:val="00687517"/>
    <w:rsid w:val="0068763D"/>
    <w:rsid w:val="00687907"/>
    <w:rsid w:val="00687F46"/>
    <w:rsid w:val="00690055"/>
    <w:rsid w:val="006903A6"/>
    <w:rsid w:val="006905AA"/>
    <w:rsid w:val="0069065B"/>
    <w:rsid w:val="006911A0"/>
    <w:rsid w:val="006912BA"/>
    <w:rsid w:val="00691C2D"/>
    <w:rsid w:val="0069206E"/>
    <w:rsid w:val="006928C9"/>
    <w:rsid w:val="006929A6"/>
    <w:rsid w:val="00692E35"/>
    <w:rsid w:val="00693416"/>
    <w:rsid w:val="0069355B"/>
    <w:rsid w:val="0069379D"/>
    <w:rsid w:val="00693CA9"/>
    <w:rsid w:val="00694BB5"/>
    <w:rsid w:val="00694CFF"/>
    <w:rsid w:val="00694FD2"/>
    <w:rsid w:val="0069517F"/>
    <w:rsid w:val="006951E8"/>
    <w:rsid w:val="0069578D"/>
    <w:rsid w:val="00695A49"/>
    <w:rsid w:val="00695B61"/>
    <w:rsid w:val="0069606D"/>
    <w:rsid w:val="006967D5"/>
    <w:rsid w:val="006971A6"/>
    <w:rsid w:val="00697798"/>
    <w:rsid w:val="00697F09"/>
    <w:rsid w:val="006A05D4"/>
    <w:rsid w:val="006A083A"/>
    <w:rsid w:val="006A0841"/>
    <w:rsid w:val="006A10ED"/>
    <w:rsid w:val="006A1594"/>
    <w:rsid w:val="006A1753"/>
    <w:rsid w:val="006A1AAE"/>
    <w:rsid w:val="006A1D8B"/>
    <w:rsid w:val="006A25B6"/>
    <w:rsid w:val="006A29F8"/>
    <w:rsid w:val="006A2CA5"/>
    <w:rsid w:val="006A2F3A"/>
    <w:rsid w:val="006A331A"/>
    <w:rsid w:val="006A33C9"/>
    <w:rsid w:val="006A3470"/>
    <w:rsid w:val="006A38F0"/>
    <w:rsid w:val="006A3AA0"/>
    <w:rsid w:val="006A3BC2"/>
    <w:rsid w:val="006A4271"/>
    <w:rsid w:val="006A4634"/>
    <w:rsid w:val="006A48ED"/>
    <w:rsid w:val="006A4995"/>
    <w:rsid w:val="006A4AF9"/>
    <w:rsid w:val="006A509D"/>
    <w:rsid w:val="006A50C5"/>
    <w:rsid w:val="006A555E"/>
    <w:rsid w:val="006A5A23"/>
    <w:rsid w:val="006A6586"/>
    <w:rsid w:val="006A6A7A"/>
    <w:rsid w:val="006A6D33"/>
    <w:rsid w:val="006A6F37"/>
    <w:rsid w:val="006A7136"/>
    <w:rsid w:val="006A744F"/>
    <w:rsid w:val="006A74E3"/>
    <w:rsid w:val="006A7763"/>
    <w:rsid w:val="006A7AAC"/>
    <w:rsid w:val="006A7F0D"/>
    <w:rsid w:val="006B02C9"/>
    <w:rsid w:val="006B043F"/>
    <w:rsid w:val="006B04CD"/>
    <w:rsid w:val="006B0965"/>
    <w:rsid w:val="006B0A5D"/>
    <w:rsid w:val="006B0E6E"/>
    <w:rsid w:val="006B15E2"/>
    <w:rsid w:val="006B2A29"/>
    <w:rsid w:val="006B306C"/>
    <w:rsid w:val="006B3285"/>
    <w:rsid w:val="006B339C"/>
    <w:rsid w:val="006B3608"/>
    <w:rsid w:val="006B36E4"/>
    <w:rsid w:val="006B37EC"/>
    <w:rsid w:val="006B3976"/>
    <w:rsid w:val="006B39EC"/>
    <w:rsid w:val="006B3B89"/>
    <w:rsid w:val="006B43D3"/>
    <w:rsid w:val="006B48D1"/>
    <w:rsid w:val="006B4ADC"/>
    <w:rsid w:val="006B4B9D"/>
    <w:rsid w:val="006B4CDA"/>
    <w:rsid w:val="006B4E88"/>
    <w:rsid w:val="006B56CA"/>
    <w:rsid w:val="006B582D"/>
    <w:rsid w:val="006B6AFD"/>
    <w:rsid w:val="006B6B6D"/>
    <w:rsid w:val="006B6C71"/>
    <w:rsid w:val="006B7381"/>
    <w:rsid w:val="006B7705"/>
    <w:rsid w:val="006C01BB"/>
    <w:rsid w:val="006C08A2"/>
    <w:rsid w:val="006C0ABA"/>
    <w:rsid w:val="006C0BE0"/>
    <w:rsid w:val="006C0D96"/>
    <w:rsid w:val="006C10E0"/>
    <w:rsid w:val="006C2049"/>
    <w:rsid w:val="006C2AB4"/>
    <w:rsid w:val="006C2ACF"/>
    <w:rsid w:val="006C2C9F"/>
    <w:rsid w:val="006C2CEA"/>
    <w:rsid w:val="006C2DAC"/>
    <w:rsid w:val="006C2DB7"/>
    <w:rsid w:val="006C2EC2"/>
    <w:rsid w:val="006C329E"/>
    <w:rsid w:val="006C348F"/>
    <w:rsid w:val="006C3832"/>
    <w:rsid w:val="006C4C14"/>
    <w:rsid w:val="006C4EE7"/>
    <w:rsid w:val="006C516A"/>
    <w:rsid w:val="006C51B3"/>
    <w:rsid w:val="006C5944"/>
    <w:rsid w:val="006C5C69"/>
    <w:rsid w:val="006C5EB8"/>
    <w:rsid w:val="006C5FC7"/>
    <w:rsid w:val="006C604D"/>
    <w:rsid w:val="006C608B"/>
    <w:rsid w:val="006C6100"/>
    <w:rsid w:val="006C619A"/>
    <w:rsid w:val="006C6484"/>
    <w:rsid w:val="006C65E4"/>
    <w:rsid w:val="006C6797"/>
    <w:rsid w:val="006C6BE5"/>
    <w:rsid w:val="006C6D1C"/>
    <w:rsid w:val="006C731D"/>
    <w:rsid w:val="006C784E"/>
    <w:rsid w:val="006C7DFB"/>
    <w:rsid w:val="006C7E53"/>
    <w:rsid w:val="006D018D"/>
    <w:rsid w:val="006D02DB"/>
    <w:rsid w:val="006D040D"/>
    <w:rsid w:val="006D04AE"/>
    <w:rsid w:val="006D0735"/>
    <w:rsid w:val="006D09A6"/>
    <w:rsid w:val="006D0AE0"/>
    <w:rsid w:val="006D0BAA"/>
    <w:rsid w:val="006D0FD2"/>
    <w:rsid w:val="006D103A"/>
    <w:rsid w:val="006D149F"/>
    <w:rsid w:val="006D2134"/>
    <w:rsid w:val="006D2657"/>
    <w:rsid w:val="006D2A0D"/>
    <w:rsid w:val="006D2B16"/>
    <w:rsid w:val="006D2BC3"/>
    <w:rsid w:val="006D2CAD"/>
    <w:rsid w:val="006D3422"/>
    <w:rsid w:val="006D3833"/>
    <w:rsid w:val="006D3B36"/>
    <w:rsid w:val="006D42EB"/>
    <w:rsid w:val="006D44DB"/>
    <w:rsid w:val="006D459D"/>
    <w:rsid w:val="006D46CF"/>
    <w:rsid w:val="006D4CE6"/>
    <w:rsid w:val="006D4CE9"/>
    <w:rsid w:val="006D512C"/>
    <w:rsid w:val="006D5375"/>
    <w:rsid w:val="006D5932"/>
    <w:rsid w:val="006D5D4E"/>
    <w:rsid w:val="006D5F87"/>
    <w:rsid w:val="006D63D6"/>
    <w:rsid w:val="006D6904"/>
    <w:rsid w:val="006D6B6D"/>
    <w:rsid w:val="006D75DB"/>
    <w:rsid w:val="006D77CC"/>
    <w:rsid w:val="006D78BA"/>
    <w:rsid w:val="006D7916"/>
    <w:rsid w:val="006D7A3D"/>
    <w:rsid w:val="006D7BFD"/>
    <w:rsid w:val="006D7DDA"/>
    <w:rsid w:val="006E01AB"/>
    <w:rsid w:val="006E031C"/>
    <w:rsid w:val="006E076F"/>
    <w:rsid w:val="006E0788"/>
    <w:rsid w:val="006E0BE2"/>
    <w:rsid w:val="006E1B22"/>
    <w:rsid w:val="006E20A7"/>
    <w:rsid w:val="006E234B"/>
    <w:rsid w:val="006E257E"/>
    <w:rsid w:val="006E2B89"/>
    <w:rsid w:val="006E2CC4"/>
    <w:rsid w:val="006E2E7D"/>
    <w:rsid w:val="006E31B2"/>
    <w:rsid w:val="006E351F"/>
    <w:rsid w:val="006E36D6"/>
    <w:rsid w:val="006E3821"/>
    <w:rsid w:val="006E3A6B"/>
    <w:rsid w:val="006E42A4"/>
    <w:rsid w:val="006E44E2"/>
    <w:rsid w:val="006E46C0"/>
    <w:rsid w:val="006E4821"/>
    <w:rsid w:val="006E5436"/>
    <w:rsid w:val="006E5A58"/>
    <w:rsid w:val="006E5C69"/>
    <w:rsid w:val="006E5D5F"/>
    <w:rsid w:val="006E5F39"/>
    <w:rsid w:val="006E6A11"/>
    <w:rsid w:val="006E6BFD"/>
    <w:rsid w:val="006E6D98"/>
    <w:rsid w:val="006E76DD"/>
    <w:rsid w:val="006F002D"/>
    <w:rsid w:val="006F0982"/>
    <w:rsid w:val="006F1083"/>
    <w:rsid w:val="006F124D"/>
    <w:rsid w:val="006F15B3"/>
    <w:rsid w:val="006F180E"/>
    <w:rsid w:val="006F1903"/>
    <w:rsid w:val="006F1C51"/>
    <w:rsid w:val="006F2182"/>
    <w:rsid w:val="006F27F7"/>
    <w:rsid w:val="006F29BA"/>
    <w:rsid w:val="006F3829"/>
    <w:rsid w:val="006F39AA"/>
    <w:rsid w:val="006F4427"/>
    <w:rsid w:val="006F4513"/>
    <w:rsid w:val="006F4BAA"/>
    <w:rsid w:val="006F50C4"/>
    <w:rsid w:val="006F5791"/>
    <w:rsid w:val="006F5F88"/>
    <w:rsid w:val="006F6174"/>
    <w:rsid w:val="006F65D4"/>
    <w:rsid w:val="006F74A0"/>
    <w:rsid w:val="006F7753"/>
    <w:rsid w:val="006F7845"/>
    <w:rsid w:val="006F79EF"/>
    <w:rsid w:val="006F7AF0"/>
    <w:rsid w:val="00700965"/>
    <w:rsid w:val="007009A0"/>
    <w:rsid w:val="00700BA3"/>
    <w:rsid w:val="00700F29"/>
    <w:rsid w:val="00701004"/>
    <w:rsid w:val="00701099"/>
    <w:rsid w:val="00701964"/>
    <w:rsid w:val="00701B03"/>
    <w:rsid w:val="0070236F"/>
    <w:rsid w:val="0070252F"/>
    <w:rsid w:val="00702C38"/>
    <w:rsid w:val="007030F0"/>
    <w:rsid w:val="00703835"/>
    <w:rsid w:val="007038C2"/>
    <w:rsid w:val="007045C0"/>
    <w:rsid w:val="00704B03"/>
    <w:rsid w:val="00704C8E"/>
    <w:rsid w:val="00705564"/>
    <w:rsid w:val="007058C9"/>
    <w:rsid w:val="00705975"/>
    <w:rsid w:val="00705F5F"/>
    <w:rsid w:val="007061C4"/>
    <w:rsid w:val="00706A27"/>
    <w:rsid w:val="00706BD7"/>
    <w:rsid w:val="00706DC0"/>
    <w:rsid w:val="00707EF6"/>
    <w:rsid w:val="00707F4C"/>
    <w:rsid w:val="00710633"/>
    <w:rsid w:val="00710D7B"/>
    <w:rsid w:val="00710E33"/>
    <w:rsid w:val="00710F64"/>
    <w:rsid w:val="00711468"/>
    <w:rsid w:val="0071149B"/>
    <w:rsid w:val="00711A80"/>
    <w:rsid w:val="00712BBA"/>
    <w:rsid w:val="00712C4C"/>
    <w:rsid w:val="00713066"/>
    <w:rsid w:val="007130D1"/>
    <w:rsid w:val="0071333F"/>
    <w:rsid w:val="00713BAE"/>
    <w:rsid w:val="00714305"/>
    <w:rsid w:val="007148FA"/>
    <w:rsid w:val="00714943"/>
    <w:rsid w:val="007150A6"/>
    <w:rsid w:val="00715110"/>
    <w:rsid w:val="007151AE"/>
    <w:rsid w:val="0071556F"/>
    <w:rsid w:val="0071559F"/>
    <w:rsid w:val="0071588C"/>
    <w:rsid w:val="00715A50"/>
    <w:rsid w:val="00715D79"/>
    <w:rsid w:val="00715E61"/>
    <w:rsid w:val="00716892"/>
    <w:rsid w:val="00716AA7"/>
    <w:rsid w:val="00716B43"/>
    <w:rsid w:val="00716CC0"/>
    <w:rsid w:val="00716EB9"/>
    <w:rsid w:val="00716EBF"/>
    <w:rsid w:val="00717393"/>
    <w:rsid w:val="007176F5"/>
    <w:rsid w:val="00717CB4"/>
    <w:rsid w:val="00720256"/>
    <w:rsid w:val="00720833"/>
    <w:rsid w:val="00720B01"/>
    <w:rsid w:val="00720B49"/>
    <w:rsid w:val="00720CBB"/>
    <w:rsid w:val="00721DC1"/>
    <w:rsid w:val="007225E3"/>
    <w:rsid w:val="007225E9"/>
    <w:rsid w:val="00722BA6"/>
    <w:rsid w:val="00722EB4"/>
    <w:rsid w:val="0072350E"/>
    <w:rsid w:val="00723C1D"/>
    <w:rsid w:val="00724012"/>
    <w:rsid w:val="00724478"/>
    <w:rsid w:val="00724513"/>
    <w:rsid w:val="0072468A"/>
    <w:rsid w:val="007249FD"/>
    <w:rsid w:val="00724A3F"/>
    <w:rsid w:val="00724D46"/>
    <w:rsid w:val="00724E90"/>
    <w:rsid w:val="00724F1D"/>
    <w:rsid w:val="00725022"/>
    <w:rsid w:val="0072514B"/>
    <w:rsid w:val="007256B1"/>
    <w:rsid w:val="00725A79"/>
    <w:rsid w:val="00725C61"/>
    <w:rsid w:val="007263D5"/>
    <w:rsid w:val="00726520"/>
    <w:rsid w:val="00726522"/>
    <w:rsid w:val="00726A70"/>
    <w:rsid w:val="00726E59"/>
    <w:rsid w:val="00726F31"/>
    <w:rsid w:val="00727100"/>
    <w:rsid w:val="007271EF"/>
    <w:rsid w:val="00727A13"/>
    <w:rsid w:val="00727CAF"/>
    <w:rsid w:val="00727D4B"/>
    <w:rsid w:val="00727ECA"/>
    <w:rsid w:val="00730030"/>
    <w:rsid w:val="0073011C"/>
    <w:rsid w:val="007301E7"/>
    <w:rsid w:val="007302EB"/>
    <w:rsid w:val="00730DAC"/>
    <w:rsid w:val="0073126B"/>
    <w:rsid w:val="00731750"/>
    <w:rsid w:val="00731940"/>
    <w:rsid w:val="00731E19"/>
    <w:rsid w:val="007321A9"/>
    <w:rsid w:val="00732211"/>
    <w:rsid w:val="00732700"/>
    <w:rsid w:val="00732D97"/>
    <w:rsid w:val="00733129"/>
    <w:rsid w:val="0073315F"/>
    <w:rsid w:val="00733E54"/>
    <w:rsid w:val="00734468"/>
    <w:rsid w:val="007344E9"/>
    <w:rsid w:val="00734786"/>
    <w:rsid w:val="007348FF"/>
    <w:rsid w:val="007349A8"/>
    <w:rsid w:val="00734A06"/>
    <w:rsid w:val="00734C6D"/>
    <w:rsid w:val="0073554B"/>
    <w:rsid w:val="007359E6"/>
    <w:rsid w:val="00735D15"/>
    <w:rsid w:val="0073682F"/>
    <w:rsid w:val="00736A8C"/>
    <w:rsid w:val="00736ED1"/>
    <w:rsid w:val="00737B64"/>
    <w:rsid w:val="00737E2B"/>
    <w:rsid w:val="00737FDF"/>
    <w:rsid w:val="00737FE5"/>
    <w:rsid w:val="007401A1"/>
    <w:rsid w:val="00740260"/>
    <w:rsid w:val="0074094D"/>
    <w:rsid w:val="00740BA6"/>
    <w:rsid w:val="007414C3"/>
    <w:rsid w:val="007421F8"/>
    <w:rsid w:val="00742251"/>
    <w:rsid w:val="00742985"/>
    <w:rsid w:val="00742A17"/>
    <w:rsid w:val="00742A52"/>
    <w:rsid w:val="00742C08"/>
    <w:rsid w:val="007431E9"/>
    <w:rsid w:val="00743821"/>
    <w:rsid w:val="00743948"/>
    <w:rsid w:val="0074420B"/>
    <w:rsid w:val="0074443B"/>
    <w:rsid w:val="00744877"/>
    <w:rsid w:val="00744A76"/>
    <w:rsid w:val="00745164"/>
    <w:rsid w:val="00745700"/>
    <w:rsid w:val="0074583B"/>
    <w:rsid w:val="007458D5"/>
    <w:rsid w:val="00745F76"/>
    <w:rsid w:val="0074628D"/>
    <w:rsid w:val="007462AB"/>
    <w:rsid w:val="0074666B"/>
    <w:rsid w:val="007466EE"/>
    <w:rsid w:val="007468C6"/>
    <w:rsid w:val="00746CF1"/>
    <w:rsid w:val="0074707F"/>
    <w:rsid w:val="00747291"/>
    <w:rsid w:val="007477EE"/>
    <w:rsid w:val="0074781B"/>
    <w:rsid w:val="00747C49"/>
    <w:rsid w:val="00747F4E"/>
    <w:rsid w:val="00750C3A"/>
    <w:rsid w:val="00751124"/>
    <w:rsid w:val="00751158"/>
    <w:rsid w:val="00751238"/>
    <w:rsid w:val="00751302"/>
    <w:rsid w:val="00751470"/>
    <w:rsid w:val="00751A55"/>
    <w:rsid w:val="00751A5A"/>
    <w:rsid w:val="00751D0B"/>
    <w:rsid w:val="00751D95"/>
    <w:rsid w:val="00751E87"/>
    <w:rsid w:val="007527AD"/>
    <w:rsid w:val="00752B12"/>
    <w:rsid w:val="00753566"/>
    <w:rsid w:val="00753B53"/>
    <w:rsid w:val="00753C3A"/>
    <w:rsid w:val="00753CDA"/>
    <w:rsid w:val="0075415D"/>
    <w:rsid w:val="00754165"/>
    <w:rsid w:val="00754B52"/>
    <w:rsid w:val="007558C6"/>
    <w:rsid w:val="00755A65"/>
    <w:rsid w:val="0075615A"/>
    <w:rsid w:val="007562A1"/>
    <w:rsid w:val="00756744"/>
    <w:rsid w:val="00756B76"/>
    <w:rsid w:val="00756E90"/>
    <w:rsid w:val="00756EA7"/>
    <w:rsid w:val="00757FBF"/>
    <w:rsid w:val="00760036"/>
    <w:rsid w:val="00760FAD"/>
    <w:rsid w:val="007614D4"/>
    <w:rsid w:val="00761633"/>
    <w:rsid w:val="00761AAF"/>
    <w:rsid w:val="00761B99"/>
    <w:rsid w:val="00761BB1"/>
    <w:rsid w:val="00761BB2"/>
    <w:rsid w:val="00761D6A"/>
    <w:rsid w:val="00761FC7"/>
    <w:rsid w:val="007620CA"/>
    <w:rsid w:val="007620D6"/>
    <w:rsid w:val="0076215B"/>
    <w:rsid w:val="00762283"/>
    <w:rsid w:val="00762573"/>
    <w:rsid w:val="007627B0"/>
    <w:rsid w:val="00762959"/>
    <w:rsid w:val="007629B6"/>
    <w:rsid w:val="00762C2E"/>
    <w:rsid w:val="00762EB2"/>
    <w:rsid w:val="0076317E"/>
    <w:rsid w:val="0076329B"/>
    <w:rsid w:val="007633FB"/>
    <w:rsid w:val="00763E62"/>
    <w:rsid w:val="0076415D"/>
    <w:rsid w:val="00764829"/>
    <w:rsid w:val="0076519A"/>
    <w:rsid w:val="007651D1"/>
    <w:rsid w:val="0076533B"/>
    <w:rsid w:val="00765778"/>
    <w:rsid w:val="00765A55"/>
    <w:rsid w:val="00765E2F"/>
    <w:rsid w:val="00766005"/>
    <w:rsid w:val="0076614D"/>
    <w:rsid w:val="00766741"/>
    <w:rsid w:val="007668D3"/>
    <w:rsid w:val="007672A9"/>
    <w:rsid w:val="00767448"/>
    <w:rsid w:val="00767468"/>
    <w:rsid w:val="00767517"/>
    <w:rsid w:val="00767775"/>
    <w:rsid w:val="0077035B"/>
    <w:rsid w:val="007708BF"/>
    <w:rsid w:val="00770F9C"/>
    <w:rsid w:val="00771446"/>
    <w:rsid w:val="007718DD"/>
    <w:rsid w:val="007726A0"/>
    <w:rsid w:val="00772BB7"/>
    <w:rsid w:val="00773285"/>
    <w:rsid w:val="007733A5"/>
    <w:rsid w:val="00773565"/>
    <w:rsid w:val="0077367E"/>
    <w:rsid w:val="00773CEF"/>
    <w:rsid w:val="00773D22"/>
    <w:rsid w:val="00773D2B"/>
    <w:rsid w:val="00773E73"/>
    <w:rsid w:val="00773EB2"/>
    <w:rsid w:val="00774241"/>
    <w:rsid w:val="007745D3"/>
    <w:rsid w:val="00774AC3"/>
    <w:rsid w:val="00774F0C"/>
    <w:rsid w:val="0077564B"/>
    <w:rsid w:val="00775A0A"/>
    <w:rsid w:val="00775BE8"/>
    <w:rsid w:val="00775EB2"/>
    <w:rsid w:val="00775EDC"/>
    <w:rsid w:val="00776423"/>
    <w:rsid w:val="0077689C"/>
    <w:rsid w:val="00776CD8"/>
    <w:rsid w:val="00776E3E"/>
    <w:rsid w:val="00776E72"/>
    <w:rsid w:val="007772EA"/>
    <w:rsid w:val="00780128"/>
    <w:rsid w:val="0078013D"/>
    <w:rsid w:val="0078055D"/>
    <w:rsid w:val="00780987"/>
    <w:rsid w:val="00780DB4"/>
    <w:rsid w:val="00781011"/>
    <w:rsid w:val="007813EA"/>
    <w:rsid w:val="0078143C"/>
    <w:rsid w:val="00781455"/>
    <w:rsid w:val="00781486"/>
    <w:rsid w:val="0078157A"/>
    <w:rsid w:val="00781F56"/>
    <w:rsid w:val="00781F9D"/>
    <w:rsid w:val="0078246D"/>
    <w:rsid w:val="007825DE"/>
    <w:rsid w:val="00782B3D"/>
    <w:rsid w:val="007832D2"/>
    <w:rsid w:val="007836E8"/>
    <w:rsid w:val="00783DE6"/>
    <w:rsid w:val="00783F52"/>
    <w:rsid w:val="007846C0"/>
    <w:rsid w:val="00784A38"/>
    <w:rsid w:val="00784F19"/>
    <w:rsid w:val="00785101"/>
    <w:rsid w:val="007854A0"/>
    <w:rsid w:val="00785730"/>
    <w:rsid w:val="007857FA"/>
    <w:rsid w:val="00785808"/>
    <w:rsid w:val="00785C4A"/>
    <w:rsid w:val="00785EC3"/>
    <w:rsid w:val="0078610F"/>
    <w:rsid w:val="007861F5"/>
    <w:rsid w:val="0078669D"/>
    <w:rsid w:val="007876D0"/>
    <w:rsid w:val="007879CB"/>
    <w:rsid w:val="00787C1C"/>
    <w:rsid w:val="00790620"/>
    <w:rsid w:val="007906D1"/>
    <w:rsid w:val="0079071C"/>
    <w:rsid w:val="00790F77"/>
    <w:rsid w:val="007915BC"/>
    <w:rsid w:val="007915F4"/>
    <w:rsid w:val="007916E6"/>
    <w:rsid w:val="007919C4"/>
    <w:rsid w:val="00791B2B"/>
    <w:rsid w:val="007922AC"/>
    <w:rsid w:val="007924C9"/>
    <w:rsid w:val="007929E3"/>
    <w:rsid w:val="00792FC8"/>
    <w:rsid w:val="007932B3"/>
    <w:rsid w:val="00794217"/>
    <w:rsid w:val="00794320"/>
    <w:rsid w:val="00794B3D"/>
    <w:rsid w:val="00794D80"/>
    <w:rsid w:val="00794F44"/>
    <w:rsid w:val="00795067"/>
    <w:rsid w:val="00795A38"/>
    <w:rsid w:val="00795FB1"/>
    <w:rsid w:val="00796005"/>
    <w:rsid w:val="007960B2"/>
    <w:rsid w:val="0079681E"/>
    <w:rsid w:val="00797008"/>
    <w:rsid w:val="00797216"/>
    <w:rsid w:val="007972EE"/>
    <w:rsid w:val="0079737B"/>
    <w:rsid w:val="007974DC"/>
    <w:rsid w:val="007977A0"/>
    <w:rsid w:val="00797CAA"/>
    <w:rsid w:val="00797F87"/>
    <w:rsid w:val="007A0418"/>
    <w:rsid w:val="007A0576"/>
    <w:rsid w:val="007A05DC"/>
    <w:rsid w:val="007A066A"/>
    <w:rsid w:val="007A0BFC"/>
    <w:rsid w:val="007A0F38"/>
    <w:rsid w:val="007A1106"/>
    <w:rsid w:val="007A171B"/>
    <w:rsid w:val="007A1C67"/>
    <w:rsid w:val="007A2512"/>
    <w:rsid w:val="007A26DD"/>
    <w:rsid w:val="007A2DCA"/>
    <w:rsid w:val="007A2E10"/>
    <w:rsid w:val="007A3311"/>
    <w:rsid w:val="007A3E25"/>
    <w:rsid w:val="007A3E77"/>
    <w:rsid w:val="007A4079"/>
    <w:rsid w:val="007A4147"/>
    <w:rsid w:val="007A4158"/>
    <w:rsid w:val="007A485F"/>
    <w:rsid w:val="007A4C94"/>
    <w:rsid w:val="007A4D28"/>
    <w:rsid w:val="007A4F11"/>
    <w:rsid w:val="007A53EA"/>
    <w:rsid w:val="007A551F"/>
    <w:rsid w:val="007A55A9"/>
    <w:rsid w:val="007A55F1"/>
    <w:rsid w:val="007A5779"/>
    <w:rsid w:val="007A6EE6"/>
    <w:rsid w:val="007A7757"/>
    <w:rsid w:val="007A7850"/>
    <w:rsid w:val="007A79F3"/>
    <w:rsid w:val="007A7C4A"/>
    <w:rsid w:val="007A7D2B"/>
    <w:rsid w:val="007A7DDA"/>
    <w:rsid w:val="007B034C"/>
    <w:rsid w:val="007B0AA1"/>
    <w:rsid w:val="007B0EC8"/>
    <w:rsid w:val="007B19AE"/>
    <w:rsid w:val="007B19B3"/>
    <w:rsid w:val="007B1AF9"/>
    <w:rsid w:val="007B22DC"/>
    <w:rsid w:val="007B2366"/>
    <w:rsid w:val="007B23E6"/>
    <w:rsid w:val="007B25D5"/>
    <w:rsid w:val="007B25EF"/>
    <w:rsid w:val="007B268B"/>
    <w:rsid w:val="007B28FC"/>
    <w:rsid w:val="007B2F61"/>
    <w:rsid w:val="007B3259"/>
    <w:rsid w:val="007B3295"/>
    <w:rsid w:val="007B34F6"/>
    <w:rsid w:val="007B3EF8"/>
    <w:rsid w:val="007B422F"/>
    <w:rsid w:val="007B44B8"/>
    <w:rsid w:val="007B4BD0"/>
    <w:rsid w:val="007B5004"/>
    <w:rsid w:val="007B51F7"/>
    <w:rsid w:val="007B54F4"/>
    <w:rsid w:val="007B5AC1"/>
    <w:rsid w:val="007B7922"/>
    <w:rsid w:val="007B79A4"/>
    <w:rsid w:val="007B7D1F"/>
    <w:rsid w:val="007B7D30"/>
    <w:rsid w:val="007B7D73"/>
    <w:rsid w:val="007C00A3"/>
    <w:rsid w:val="007C01CF"/>
    <w:rsid w:val="007C0D66"/>
    <w:rsid w:val="007C0DE3"/>
    <w:rsid w:val="007C0ED3"/>
    <w:rsid w:val="007C139D"/>
    <w:rsid w:val="007C1EC7"/>
    <w:rsid w:val="007C1F01"/>
    <w:rsid w:val="007C2050"/>
    <w:rsid w:val="007C24D5"/>
    <w:rsid w:val="007C255F"/>
    <w:rsid w:val="007C2666"/>
    <w:rsid w:val="007C2912"/>
    <w:rsid w:val="007C3549"/>
    <w:rsid w:val="007C35A7"/>
    <w:rsid w:val="007C3D9D"/>
    <w:rsid w:val="007C489B"/>
    <w:rsid w:val="007C5155"/>
    <w:rsid w:val="007C5192"/>
    <w:rsid w:val="007C5B09"/>
    <w:rsid w:val="007C5B65"/>
    <w:rsid w:val="007C6162"/>
    <w:rsid w:val="007C62CE"/>
    <w:rsid w:val="007C63DD"/>
    <w:rsid w:val="007C6470"/>
    <w:rsid w:val="007C6896"/>
    <w:rsid w:val="007C6B8B"/>
    <w:rsid w:val="007C702D"/>
    <w:rsid w:val="007C76B1"/>
    <w:rsid w:val="007C780E"/>
    <w:rsid w:val="007D0337"/>
    <w:rsid w:val="007D0469"/>
    <w:rsid w:val="007D0AAD"/>
    <w:rsid w:val="007D1D46"/>
    <w:rsid w:val="007D1F36"/>
    <w:rsid w:val="007D20EC"/>
    <w:rsid w:val="007D23CD"/>
    <w:rsid w:val="007D243B"/>
    <w:rsid w:val="007D2E27"/>
    <w:rsid w:val="007D3204"/>
    <w:rsid w:val="007D48FD"/>
    <w:rsid w:val="007D493E"/>
    <w:rsid w:val="007D49D9"/>
    <w:rsid w:val="007D4D6D"/>
    <w:rsid w:val="007D4E8A"/>
    <w:rsid w:val="007D4F7A"/>
    <w:rsid w:val="007D4F7B"/>
    <w:rsid w:val="007D5626"/>
    <w:rsid w:val="007D5920"/>
    <w:rsid w:val="007D5A8F"/>
    <w:rsid w:val="007D63CE"/>
    <w:rsid w:val="007D69BA"/>
    <w:rsid w:val="007D7396"/>
    <w:rsid w:val="007D73A7"/>
    <w:rsid w:val="007D756E"/>
    <w:rsid w:val="007D76F5"/>
    <w:rsid w:val="007D77EB"/>
    <w:rsid w:val="007D7843"/>
    <w:rsid w:val="007D7876"/>
    <w:rsid w:val="007D7B1E"/>
    <w:rsid w:val="007D7CC2"/>
    <w:rsid w:val="007D7DD2"/>
    <w:rsid w:val="007E0945"/>
    <w:rsid w:val="007E09AD"/>
    <w:rsid w:val="007E0BDC"/>
    <w:rsid w:val="007E0CA6"/>
    <w:rsid w:val="007E0D93"/>
    <w:rsid w:val="007E0E39"/>
    <w:rsid w:val="007E1309"/>
    <w:rsid w:val="007E13A4"/>
    <w:rsid w:val="007E15F1"/>
    <w:rsid w:val="007E1A9B"/>
    <w:rsid w:val="007E1E39"/>
    <w:rsid w:val="007E241E"/>
    <w:rsid w:val="007E25E4"/>
    <w:rsid w:val="007E32F8"/>
    <w:rsid w:val="007E3357"/>
    <w:rsid w:val="007E3A6B"/>
    <w:rsid w:val="007E3B0C"/>
    <w:rsid w:val="007E3C5A"/>
    <w:rsid w:val="007E3FAF"/>
    <w:rsid w:val="007E43F6"/>
    <w:rsid w:val="007E4BEC"/>
    <w:rsid w:val="007E5838"/>
    <w:rsid w:val="007E5AAB"/>
    <w:rsid w:val="007E5CC8"/>
    <w:rsid w:val="007E5D3D"/>
    <w:rsid w:val="007E5E09"/>
    <w:rsid w:val="007E6417"/>
    <w:rsid w:val="007E6733"/>
    <w:rsid w:val="007E6A15"/>
    <w:rsid w:val="007E6D5D"/>
    <w:rsid w:val="007E6D79"/>
    <w:rsid w:val="007E70B6"/>
    <w:rsid w:val="007E723C"/>
    <w:rsid w:val="007E7AB7"/>
    <w:rsid w:val="007F0D8E"/>
    <w:rsid w:val="007F1054"/>
    <w:rsid w:val="007F11A2"/>
    <w:rsid w:val="007F18E6"/>
    <w:rsid w:val="007F195E"/>
    <w:rsid w:val="007F1C1C"/>
    <w:rsid w:val="007F1C8C"/>
    <w:rsid w:val="007F1E23"/>
    <w:rsid w:val="007F1FDE"/>
    <w:rsid w:val="007F21A1"/>
    <w:rsid w:val="007F2666"/>
    <w:rsid w:val="007F2BA0"/>
    <w:rsid w:val="007F3030"/>
    <w:rsid w:val="007F3103"/>
    <w:rsid w:val="007F3373"/>
    <w:rsid w:val="007F41E9"/>
    <w:rsid w:val="007F4244"/>
    <w:rsid w:val="007F46E0"/>
    <w:rsid w:val="007F4D65"/>
    <w:rsid w:val="007F5386"/>
    <w:rsid w:val="007F53BE"/>
    <w:rsid w:val="007F6CDF"/>
    <w:rsid w:val="007F6CE3"/>
    <w:rsid w:val="007F6DA0"/>
    <w:rsid w:val="007F6F2D"/>
    <w:rsid w:val="007F7B08"/>
    <w:rsid w:val="007F7C3B"/>
    <w:rsid w:val="007F7F5B"/>
    <w:rsid w:val="007F7F78"/>
    <w:rsid w:val="00800747"/>
    <w:rsid w:val="00800BD1"/>
    <w:rsid w:val="00800CD9"/>
    <w:rsid w:val="00800FC9"/>
    <w:rsid w:val="008011A0"/>
    <w:rsid w:val="00801512"/>
    <w:rsid w:val="00801671"/>
    <w:rsid w:val="0080207B"/>
    <w:rsid w:val="00802171"/>
    <w:rsid w:val="008021A3"/>
    <w:rsid w:val="00802419"/>
    <w:rsid w:val="00802958"/>
    <w:rsid w:val="00802A9B"/>
    <w:rsid w:val="00802B17"/>
    <w:rsid w:val="00802ECA"/>
    <w:rsid w:val="00802FDA"/>
    <w:rsid w:val="0080333C"/>
    <w:rsid w:val="0080349D"/>
    <w:rsid w:val="00803682"/>
    <w:rsid w:val="00803AD8"/>
    <w:rsid w:val="00804346"/>
    <w:rsid w:val="008047C8"/>
    <w:rsid w:val="00804FB0"/>
    <w:rsid w:val="0080522B"/>
    <w:rsid w:val="00805244"/>
    <w:rsid w:val="0080544C"/>
    <w:rsid w:val="00805653"/>
    <w:rsid w:val="008057E5"/>
    <w:rsid w:val="00806071"/>
    <w:rsid w:val="00806261"/>
    <w:rsid w:val="00806543"/>
    <w:rsid w:val="0080655E"/>
    <w:rsid w:val="00806699"/>
    <w:rsid w:val="008068E2"/>
    <w:rsid w:val="00806A7F"/>
    <w:rsid w:val="00807055"/>
    <w:rsid w:val="008070B7"/>
    <w:rsid w:val="008074DD"/>
    <w:rsid w:val="00807776"/>
    <w:rsid w:val="0080794E"/>
    <w:rsid w:val="00807D5B"/>
    <w:rsid w:val="008102B2"/>
    <w:rsid w:val="00810480"/>
    <w:rsid w:val="0081083B"/>
    <w:rsid w:val="00810888"/>
    <w:rsid w:val="00810BB8"/>
    <w:rsid w:val="0081115D"/>
    <w:rsid w:val="00811327"/>
    <w:rsid w:val="00811A34"/>
    <w:rsid w:val="00811B14"/>
    <w:rsid w:val="00811D28"/>
    <w:rsid w:val="00812319"/>
    <w:rsid w:val="008124D5"/>
    <w:rsid w:val="0081250D"/>
    <w:rsid w:val="00813BC1"/>
    <w:rsid w:val="00813F79"/>
    <w:rsid w:val="00814027"/>
    <w:rsid w:val="00814101"/>
    <w:rsid w:val="0081486F"/>
    <w:rsid w:val="00814D76"/>
    <w:rsid w:val="00814EFB"/>
    <w:rsid w:val="00815021"/>
    <w:rsid w:val="00815BD6"/>
    <w:rsid w:val="00816865"/>
    <w:rsid w:val="00816A9A"/>
    <w:rsid w:val="00816AA3"/>
    <w:rsid w:val="00816FAA"/>
    <w:rsid w:val="0081778E"/>
    <w:rsid w:val="008179D2"/>
    <w:rsid w:val="00817BC3"/>
    <w:rsid w:val="00820C0C"/>
    <w:rsid w:val="0082116C"/>
    <w:rsid w:val="00821971"/>
    <w:rsid w:val="00821DA9"/>
    <w:rsid w:val="00822264"/>
    <w:rsid w:val="0082256C"/>
    <w:rsid w:val="008229FF"/>
    <w:rsid w:val="00822D53"/>
    <w:rsid w:val="00823212"/>
    <w:rsid w:val="00823710"/>
    <w:rsid w:val="0082391A"/>
    <w:rsid w:val="008239DD"/>
    <w:rsid w:val="008239EA"/>
    <w:rsid w:val="00823B8C"/>
    <w:rsid w:val="00823B9F"/>
    <w:rsid w:val="00823C70"/>
    <w:rsid w:val="00824049"/>
    <w:rsid w:val="008246D0"/>
    <w:rsid w:val="008247A0"/>
    <w:rsid w:val="00824CB3"/>
    <w:rsid w:val="00825005"/>
    <w:rsid w:val="008261A9"/>
    <w:rsid w:val="0082642A"/>
    <w:rsid w:val="008264A6"/>
    <w:rsid w:val="008267E0"/>
    <w:rsid w:val="008268D8"/>
    <w:rsid w:val="0082694F"/>
    <w:rsid w:val="00826C2C"/>
    <w:rsid w:val="00826EDA"/>
    <w:rsid w:val="00826EE1"/>
    <w:rsid w:val="00827088"/>
    <w:rsid w:val="008271FE"/>
    <w:rsid w:val="008278A3"/>
    <w:rsid w:val="008278FC"/>
    <w:rsid w:val="008279BB"/>
    <w:rsid w:val="00827AD8"/>
    <w:rsid w:val="00827FA3"/>
    <w:rsid w:val="008300F8"/>
    <w:rsid w:val="008307BE"/>
    <w:rsid w:val="00831047"/>
    <w:rsid w:val="0083162A"/>
    <w:rsid w:val="00831692"/>
    <w:rsid w:val="00831AD6"/>
    <w:rsid w:val="00831B49"/>
    <w:rsid w:val="00831B88"/>
    <w:rsid w:val="00832687"/>
    <w:rsid w:val="008330E7"/>
    <w:rsid w:val="008331BE"/>
    <w:rsid w:val="0083383C"/>
    <w:rsid w:val="00833B10"/>
    <w:rsid w:val="008340E0"/>
    <w:rsid w:val="00834198"/>
    <w:rsid w:val="00834529"/>
    <w:rsid w:val="00834CF8"/>
    <w:rsid w:val="00834F73"/>
    <w:rsid w:val="00835958"/>
    <w:rsid w:val="00835A8F"/>
    <w:rsid w:val="00836FCA"/>
    <w:rsid w:val="008376BD"/>
    <w:rsid w:val="00837AE0"/>
    <w:rsid w:val="00840B89"/>
    <w:rsid w:val="00840E97"/>
    <w:rsid w:val="00840FCB"/>
    <w:rsid w:val="00841CE4"/>
    <w:rsid w:val="00841EBB"/>
    <w:rsid w:val="00842279"/>
    <w:rsid w:val="008428FE"/>
    <w:rsid w:val="00842CB4"/>
    <w:rsid w:val="00842F0A"/>
    <w:rsid w:val="0084317F"/>
    <w:rsid w:val="00843237"/>
    <w:rsid w:val="008432E6"/>
    <w:rsid w:val="008434CE"/>
    <w:rsid w:val="00843F6C"/>
    <w:rsid w:val="008445AB"/>
    <w:rsid w:val="008445C9"/>
    <w:rsid w:val="008449B8"/>
    <w:rsid w:val="00844E1A"/>
    <w:rsid w:val="008451D7"/>
    <w:rsid w:val="00845717"/>
    <w:rsid w:val="00846109"/>
    <w:rsid w:val="00846318"/>
    <w:rsid w:val="008468DE"/>
    <w:rsid w:val="00846909"/>
    <w:rsid w:val="00846C15"/>
    <w:rsid w:val="00846D60"/>
    <w:rsid w:val="00846E65"/>
    <w:rsid w:val="00847BEE"/>
    <w:rsid w:val="00850776"/>
    <w:rsid w:val="00850E0B"/>
    <w:rsid w:val="00850E62"/>
    <w:rsid w:val="00851195"/>
    <w:rsid w:val="00851739"/>
    <w:rsid w:val="0085175D"/>
    <w:rsid w:val="00851E41"/>
    <w:rsid w:val="008520DE"/>
    <w:rsid w:val="008525D0"/>
    <w:rsid w:val="00852847"/>
    <w:rsid w:val="00852AC4"/>
    <w:rsid w:val="0085301A"/>
    <w:rsid w:val="0085315E"/>
    <w:rsid w:val="008534F3"/>
    <w:rsid w:val="008540A1"/>
    <w:rsid w:val="0085435A"/>
    <w:rsid w:val="00854536"/>
    <w:rsid w:val="008554C6"/>
    <w:rsid w:val="008554E1"/>
    <w:rsid w:val="00855613"/>
    <w:rsid w:val="00855ACF"/>
    <w:rsid w:val="008569E6"/>
    <w:rsid w:val="00856A3A"/>
    <w:rsid w:val="00856B2F"/>
    <w:rsid w:val="00856B35"/>
    <w:rsid w:val="00856D89"/>
    <w:rsid w:val="00856E1C"/>
    <w:rsid w:val="00857279"/>
    <w:rsid w:val="008574F2"/>
    <w:rsid w:val="0085780C"/>
    <w:rsid w:val="008578FD"/>
    <w:rsid w:val="00857A49"/>
    <w:rsid w:val="00857A99"/>
    <w:rsid w:val="00857F7A"/>
    <w:rsid w:val="00860050"/>
    <w:rsid w:val="0086035D"/>
    <w:rsid w:val="008608E5"/>
    <w:rsid w:val="00861512"/>
    <w:rsid w:val="008616FA"/>
    <w:rsid w:val="00861E14"/>
    <w:rsid w:val="00862046"/>
    <w:rsid w:val="00862387"/>
    <w:rsid w:val="008626FB"/>
    <w:rsid w:val="008629F4"/>
    <w:rsid w:val="00862F5F"/>
    <w:rsid w:val="00863AD0"/>
    <w:rsid w:val="0086482C"/>
    <w:rsid w:val="00864D12"/>
    <w:rsid w:val="00864E9D"/>
    <w:rsid w:val="008655D4"/>
    <w:rsid w:val="00866290"/>
    <w:rsid w:val="00866706"/>
    <w:rsid w:val="008667BB"/>
    <w:rsid w:val="0086695E"/>
    <w:rsid w:val="00866DDB"/>
    <w:rsid w:val="00866FC5"/>
    <w:rsid w:val="00867583"/>
    <w:rsid w:val="0087031C"/>
    <w:rsid w:val="00870808"/>
    <w:rsid w:val="00870A30"/>
    <w:rsid w:val="00870E30"/>
    <w:rsid w:val="00870E80"/>
    <w:rsid w:val="00871C02"/>
    <w:rsid w:val="00871CF1"/>
    <w:rsid w:val="00871E07"/>
    <w:rsid w:val="00871F6D"/>
    <w:rsid w:val="00872BB0"/>
    <w:rsid w:val="00872C60"/>
    <w:rsid w:val="0087468C"/>
    <w:rsid w:val="00874CD5"/>
    <w:rsid w:val="00875C31"/>
    <w:rsid w:val="00875D74"/>
    <w:rsid w:val="00875E3A"/>
    <w:rsid w:val="00875EAF"/>
    <w:rsid w:val="00876890"/>
    <w:rsid w:val="00876A50"/>
    <w:rsid w:val="0087710B"/>
    <w:rsid w:val="00877115"/>
    <w:rsid w:val="00877A21"/>
    <w:rsid w:val="00877C28"/>
    <w:rsid w:val="00877E9B"/>
    <w:rsid w:val="008803B0"/>
    <w:rsid w:val="0088062E"/>
    <w:rsid w:val="00880A8C"/>
    <w:rsid w:val="00881274"/>
    <w:rsid w:val="00882406"/>
    <w:rsid w:val="0088274E"/>
    <w:rsid w:val="008828B9"/>
    <w:rsid w:val="00882D08"/>
    <w:rsid w:val="00882D91"/>
    <w:rsid w:val="0088331C"/>
    <w:rsid w:val="0088364B"/>
    <w:rsid w:val="00884047"/>
    <w:rsid w:val="00884696"/>
    <w:rsid w:val="00884EA4"/>
    <w:rsid w:val="00885BC0"/>
    <w:rsid w:val="00885FD7"/>
    <w:rsid w:val="0088626E"/>
    <w:rsid w:val="00886337"/>
    <w:rsid w:val="008864E6"/>
    <w:rsid w:val="00887186"/>
    <w:rsid w:val="00887352"/>
    <w:rsid w:val="008876AD"/>
    <w:rsid w:val="0088773A"/>
    <w:rsid w:val="00887862"/>
    <w:rsid w:val="00887D15"/>
    <w:rsid w:val="00887E4F"/>
    <w:rsid w:val="00890575"/>
    <w:rsid w:val="00890C86"/>
    <w:rsid w:val="00890E5F"/>
    <w:rsid w:val="00891ECE"/>
    <w:rsid w:val="0089203A"/>
    <w:rsid w:val="0089255C"/>
    <w:rsid w:val="00892DD2"/>
    <w:rsid w:val="00892E14"/>
    <w:rsid w:val="00892EA7"/>
    <w:rsid w:val="00893319"/>
    <w:rsid w:val="008933E2"/>
    <w:rsid w:val="00893DB2"/>
    <w:rsid w:val="0089441B"/>
    <w:rsid w:val="00894645"/>
    <w:rsid w:val="0089470D"/>
    <w:rsid w:val="008949B7"/>
    <w:rsid w:val="00894B10"/>
    <w:rsid w:val="00894C33"/>
    <w:rsid w:val="0089502D"/>
    <w:rsid w:val="00895250"/>
    <w:rsid w:val="00895D0A"/>
    <w:rsid w:val="00896240"/>
    <w:rsid w:val="00896F07"/>
    <w:rsid w:val="008973B3"/>
    <w:rsid w:val="008977BE"/>
    <w:rsid w:val="00897FF1"/>
    <w:rsid w:val="008A0812"/>
    <w:rsid w:val="008A0AED"/>
    <w:rsid w:val="008A0B74"/>
    <w:rsid w:val="008A0D45"/>
    <w:rsid w:val="008A12B6"/>
    <w:rsid w:val="008A13EF"/>
    <w:rsid w:val="008A1550"/>
    <w:rsid w:val="008A1C95"/>
    <w:rsid w:val="008A23E9"/>
    <w:rsid w:val="008A285C"/>
    <w:rsid w:val="008A2AC0"/>
    <w:rsid w:val="008A2C89"/>
    <w:rsid w:val="008A2DBD"/>
    <w:rsid w:val="008A301C"/>
    <w:rsid w:val="008A31A3"/>
    <w:rsid w:val="008A3550"/>
    <w:rsid w:val="008A384F"/>
    <w:rsid w:val="008A394B"/>
    <w:rsid w:val="008A4201"/>
    <w:rsid w:val="008A44C0"/>
    <w:rsid w:val="008A4578"/>
    <w:rsid w:val="008A4591"/>
    <w:rsid w:val="008A4985"/>
    <w:rsid w:val="008A49BB"/>
    <w:rsid w:val="008A4A28"/>
    <w:rsid w:val="008A4C7D"/>
    <w:rsid w:val="008A4CD9"/>
    <w:rsid w:val="008A50A0"/>
    <w:rsid w:val="008A50D8"/>
    <w:rsid w:val="008A51DB"/>
    <w:rsid w:val="008A5CF2"/>
    <w:rsid w:val="008A5F6A"/>
    <w:rsid w:val="008A61AC"/>
    <w:rsid w:val="008A637A"/>
    <w:rsid w:val="008A6FAD"/>
    <w:rsid w:val="008A7154"/>
    <w:rsid w:val="008A748D"/>
    <w:rsid w:val="008A771E"/>
    <w:rsid w:val="008A7BD9"/>
    <w:rsid w:val="008B007F"/>
    <w:rsid w:val="008B0120"/>
    <w:rsid w:val="008B012F"/>
    <w:rsid w:val="008B046A"/>
    <w:rsid w:val="008B05E1"/>
    <w:rsid w:val="008B06F6"/>
    <w:rsid w:val="008B0847"/>
    <w:rsid w:val="008B09CD"/>
    <w:rsid w:val="008B14B2"/>
    <w:rsid w:val="008B1ED1"/>
    <w:rsid w:val="008B1F41"/>
    <w:rsid w:val="008B2062"/>
    <w:rsid w:val="008B2460"/>
    <w:rsid w:val="008B2666"/>
    <w:rsid w:val="008B288B"/>
    <w:rsid w:val="008B2E4F"/>
    <w:rsid w:val="008B35E7"/>
    <w:rsid w:val="008B36A7"/>
    <w:rsid w:val="008B3767"/>
    <w:rsid w:val="008B385F"/>
    <w:rsid w:val="008B393A"/>
    <w:rsid w:val="008B3A7D"/>
    <w:rsid w:val="008B3AF7"/>
    <w:rsid w:val="008B3B78"/>
    <w:rsid w:val="008B3CD1"/>
    <w:rsid w:val="008B4AA1"/>
    <w:rsid w:val="008B4B31"/>
    <w:rsid w:val="008B5A03"/>
    <w:rsid w:val="008B5A79"/>
    <w:rsid w:val="008B64BD"/>
    <w:rsid w:val="008B6E77"/>
    <w:rsid w:val="008B7127"/>
    <w:rsid w:val="008B72FC"/>
    <w:rsid w:val="008B730A"/>
    <w:rsid w:val="008B78FA"/>
    <w:rsid w:val="008B7B19"/>
    <w:rsid w:val="008C0C5D"/>
    <w:rsid w:val="008C103C"/>
    <w:rsid w:val="008C1140"/>
    <w:rsid w:val="008C13C1"/>
    <w:rsid w:val="008C1448"/>
    <w:rsid w:val="008C16A8"/>
    <w:rsid w:val="008C17C7"/>
    <w:rsid w:val="008C18BF"/>
    <w:rsid w:val="008C1B5D"/>
    <w:rsid w:val="008C2264"/>
    <w:rsid w:val="008C2527"/>
    <w:rsid w:val="008C30DD"/>
    <w:rsid w:val="008C4229"/>
    <w:rsid w:val="008C423D"/>
    <w:rsid w:val="008C444C"/>
    <w:rsid w:val="008C492F"/>
    <w:rsid w:val="008C4A67"/>
    <w:rsid w:val="008C4F4B"/>
    <w:rsid w:val="008C526F"/>
    <w:rsid w:val="008C5862"/>
    <w:rsid w:val="008C5B8B"/>
    <w:rsid w:val="008C5F13"/>
    <w:rsid w:val="008C5F59"/>
    <w:rsid w:val="008C613D"/>
    <w:rsid w:val="008C6630"/>
    <w:rsid w:val="008C6C92"/>
    <w:rsid w:val="008C72C4"/>
    <w:rsid w:val="008C7385"/>
    <w:rsid w:val="008C7DDE"/>
    <w:rsid w:val="008D0440"/>
    <w:rsid w:val="008D090F"/>
    <w:rsid w:val="008D0A14"/>
    <w:rsid w:val="008D0AD0"/>
    <w:rsid w:val="008D0F33"/>
    <w:rsid w:val="008D1000"/>
    <w:rsid w:val="008D1D15"/>
    <w:rsid w:val="008D1E7A"/>
    <w:rsid w:val="008D207A"/>
    <w:rsid w:val="008D23B8"/>
    <w:rsid w:val="008D24FD"/>
    <w:rsid w:val="008D290B"/>
    <w:rsid w:val="008D2EE4"/>
    <w:rsid w:val="008D330A"/>
    <w:rsid w:val="008D3425"/>
    <w:rsid w:val="008D37B2"/>
    <w:rsid w:val="008D4351"/>
    <w:rsid w:val="008D43EF"/>
    <w:rsid w:val="008D4799"/>
    <w:rsid w:val="008D4B84"/>
    <w:rsid w:val="008D5C54"/>
    <w:rsid w:val="008D5E59"/>
    <w:rsid w:val="008D5E63"/>
    <w:rsid w:val="008D6310"/>
    <w:rsid w:val="008D6486"/>
    <w:rsid w:val="008D6DA0"/>
    <w:rsid w:val="008D759C"/>
    <w:rsid w:val="008D77A8"/>
    <w:rsid w:val="008D7C4D"/>
    <w:rsid w:val="008E0B4A"/>
    <w:rsid w:val="008E10CB"/>
    <w:rsid w:val="008E1245"/>
    <w:rsid w:val="008E128B"/>
    <w:rsid w:val="008E15E9"/>
    <w:rsid w:val="008E17A6"/>
    <w:rsid w:val="008E17AF"/>
    <w:rsid w:val="008E1EA0"/>
    <w:rsid w:val="008E2C90"/>
    <w:rsid w:val="008E2EA1"/>
    <w:rsid w:val="008E3059"/>
    <w:rsid w:val="008E3385"/>
    <w:rsid w:val="008E36E3"/>
    <w:rsid w:val="008E371F"/>
    <w:rsid w:val="008E3AC4"/>
    <w:rsid w:val="008E3BDB"/>
    <w:rsid w:val="008E3C88"/>
    <w:rsid w:val="008E3CEE"/>
    <w:rsid w:val="008E4573"/>
    <w:rsid w:val="008E461C"/>
    <w:rsid w:val="008E46CC"/>
    <w:rsid w:val="008E5870"/>
    <w:rsid w:val="008E59B8"/>
    <w:rsid w:val="008E5A57"/>
    <w:rsid w:val="008E64F4"/>
    <w:rsid w:val="008E6686"/>
    <w:rsid w:val="008E6784"/>
    <w:rsid w:val="008E683B"/>
    <w:rsid w:val="008E69F3"/>
    <w:rsid w:val="008E6ADF"/>
    <w:rsid w:val="008E7244"/>
    <w:rsid w:val="008E75CF"/>
    <w:rsid w:val="008F007F"/>
    <w:rsid w:val="008F0232"/>
    <w:rsid w:val="008F0392"/>
    <w:rsid w:val="008F0472"/>
    <w:rsid w:val="008F06A9"/>
    <w:rsid w:val="008F0E9F"/>
    <w:rsid w:val="008F12B4"/>
    <w:rsid w:val="008F1430"/>
    <w:rsid w:val="008F1509"/>
    <w:rsid w:val="008F1730"/>
    <w:rsid w:val="008F19A6"/>
    <w:rsid w:val="008F1BE6"/>
    <w:rsid w:val="008F22DC"/>
    <w:rsid w:val="008F274D"/>
    <w:rsid w:val="008F27F7"/>
    <w:rsid w:val="008F31CE"/>
    <w:rsid w:val="008F3415"/>
    <w:rsid w:val="008F368A"/>
    <w:rsid w:val="008F40B7"/>
    <w:rsid w:val="008F4157"/>
    <w:rsid w:val="008F4313"/>
    <w:rsid w:val="008F43F2"/>
    <w:rsid w:val="008F446D"/>
    <w:rsid w:val="008F476D"/>
    <w:rsid w:val="008F4C93"/>
    <w:rsid w:val="008F4CDC"/>
    <w:rsid w:val="008F4D08"/>
    <w:rsid w:val="008F526A"/>
    <w:rsid w:val="008F5DC9"/>
    <w:rsid w:val="008F61E4"/>
    <w:rsid w:val="008F632A"/>
    <w:rsid w:val="008F66A9"/>
    <w:rsid w:val="008F72D0"/>
    <w:rsid w:val="008F7562"/>
    <w:rsid w:val="008F78C6"/>
    <w:rsid w:val="008F7ABC"/>
    <w:rsid w:val="008F7CD4"/>
    <w:rsid w:val="009004F1"/>
    <w:rsid w:val="0090059E"/>
    <w:rsid w:val="00900903"/>
    <w:rsid w:val="009012CB"/>
    <w:rsid w:val="0090181F"/>
    <w:rsid w:val="009018D7"/>
    <w:rsid w:val="00902001"/>
    <w:rsid w:val="00902A1C"/>
    <w:rsid w:val="00902F83"/>
    <w:rsid w:val="00903482"/>
    <w:rsid w:val="009034B1"/>
    <w:rsid w:val="00904271"/>
    <w:rsid w:val="009042F1"/>
    <w:rsid w:val="009046CA"/>
    <w:rsid w:val="009046F3"/>
    <w:rsid w:val="009048D5"/>
    <w:rsid w:val="00904BC7"/>
    <w:rsid w:val="00904CC6"/>
    <w:rsid w:val="0090533E"/>
    <w:rsid w:val="009055C6"/>
    <w:rsid w:val="00905C8D"/>
    <w:rsid w:val="00905CC3"/>
    <w:rsid w:val="00905D81"/>
    <w:rsid w:val="00905D8C"/>
    <w:rsid w:val="00905EB8"/>
    <w:rsid w:val="0090633A"/>
    <w:rsid w:val="009065AC"/>
    <w:rsid w:val="009068E4"/>
    <w:rsid w:val="00906915"/>
    <w:rsid w:val="00906E8B"/>
    <w:rsid w:val="0090736F"/>
    <w:rsid w:val="009073BB"/>
    <w:rsid w:val="00910255"/>
    <w:rsid w:val="009104ED"/>
    <w:rsid w:val="00910925"/>
    <w:rsid w:val="00910999"/>
    <w:rsid w:val="00910C9F"/>
    <w:rsid w:val="00911192"/>
    <w:rsid w:val="0091141E"/>
    <w:rsid w:val="00911F90"/>
    <w:rsid w:val="009129DB"/>
    <w:rsid w:val="00913017"/>
    <w:rsid w:val="00913047"/>
    <w:rsid w:val="00913707"/>
    <w:rsid w:val="00914314"/>
    <w:rsid w:val="00914BA8"/>
    <w:rsid w:val="00914ECC"/>
    <w:rsid w:val="00915E20"/>
    <w:rsid w:val="00915FD2"/>
    <w:rsid w:val="00916041"/>
    <w:rsid w:val="0091631E"/>
    <w:rsid w:val="0091694D"/>
    <w:rsid w:val="00916A4B"/>
    <w:rsid w:val="00916EE0"/>
    <w:rsid w:val="00916F52"/>
    <w:rsid w:val="0091761A"/>
    <w:rsid w:val="009200A3"/>
    <w:rsid w:val="009208B7"/>
    <w:rsid w:val="00920D3F"/>
    <w:rsid w:val="00920E48"/>
    <w:rsid w:val="00921072"/>
    <w:rsid w:val="009211A0"/>
    <w:rsid w:val="009211A1"/>
    <w:rsid w:val="009214D0"/>
    <w:rsid w:val="00921D40"/>
    <w:rsid w:val="00921F69"/>
    <w:rsid w:val="00922077"/>
    <w:rsid w:val="009222B5"/>
    <w:rsid w:val="009225E5"/>
    <w:rsid w:val="00922FA4"/>
    <w:rsid w:val="009231B5"/>
    <w:rsid w:val="009236F9"/>
    <w:rsid w:val="00923743"/>
    <w:rsid w:val="00923E87"/>
    <w:rsid w:val="009240F9"/>
    <w:rsid w:val="00924F96"/>
    <w:rsid w:val="00924F99"/>
    <w:rsid w:val="009257D3"/>
    <w:rsid w:val="00925DC6"/>
    <w:rsid w:val="00925F0D"/>
    <w:rsid w:val="009260BE"/>
    <w:rsid w:val="00926935"/>
    <w:rsid w:val="00927277"/>
    <w:rsid w:val="009275BC"/>
    <w:rsid w:val="00927C52"/>
    <w:rsid w:val="0093025A"/>
    <w:rsid w:val="009303A4"/>
    <w:rsid w:val="00930872"/>
    <w:rsid w:val="009308B6"/>
    <w:rsid w:val="00930F25"/>
    <w:rsid w:val="00931148"/>
    <w:rsid w:val="00931602"/>
    <w:rsid w:val="00931697"/>
    <w:rsid w:val="00931877"/>
    <w:rsid w:val="00932161"/>
    <w:rsid w:val="00932511"/>
    <w:rsid w:val="009330AC"/>
    <w:rsid w:val="009332E2"/>
    <w:rsid w:val="009334A2"/>
    <w:rsid w:val="00933A18"/>
    <w:rsid w:val="00933AA4"/>
    <w:rsid w:val="00933C85"/>
    <w:rsid w:val="009341B3"/>
    <w:rsid w:val="00934318"/>
    <w:rsid w:val="00934323"/>
    <w:rsid w:val="00934A0A"/>
    <w:rsid w:val="00934AA0"/>
    <w:rsid w:val="00934D51"/>
    <w:rsid w:val="00934DC6"/>
    <w:rsid w:val="009351E8"/>
    <w:rsid w:val="00935229"/>
    <w:rsid w:val="009354C6"/>
    <w:rsid w:val="009357B5"/>
    <w:rsid w:val="00935AC2"/>
    <w:rsid w:val="00935BBF"/>
    <w:rsid w:val="00935BF9"/>
    <w:rsid w:val="00935C76"/>
    <w:rsid w:val="009361A3"/>
    <w:rsid w:val="00936265"/>
    <w:rsid w:val="0093634A"/>
    <w:rsid w:val="00936370"/>
    <w:rsid w:val="0093656C"/>
    <w:rsid w:val="0093673D"/>
    <w:rsid w:val="009369CD"/>
    <w:rsid w:val="00936A68"/>
    <w:rsid w:val="00936A7C"/>
    <w:rsid w:val="00936F98"/>
    <w:rsid w:val="00937482"/>
    <w:rsid w:val="00937905"/>
    <w:rsid w:val="009401C1"/>
    <w:rsid w:val="009401FC"/>
    <w:rsid w:val="0094027B"/>
    <w:rsid w:val="00940340"/>
    <w:rsid w:val="009405B8"/>
    <w:rsid w:val="00940668"/>
    <w:rsid w:val="009408AC"/>
    <w:rsid w:val="00940A71"/>
    <w:rsid w:val="00940CAF"/>
    <w:rsid w:val="00940F21"/>
    <w:rsid w:val="00941230"/>
    <w:rsid w:val="00941951"/>
    <w:rsid w:val="0094296E"/>
    <w:rsid w:val="00942C90"/>
    <w:rsid w:val="00943132"/>
    <w:rsid w:val="00943172"/>
    <w:rsid w:val="0094362D"/>
    <w:rsid w:val="009436F3"/>
    <w:rsid w:val="00943E35"/>
    <w:rsid w:val="009442D6"/>
    <w:rsid w:val="009447F7"/>
    <w:rsid w:val="00944D62"/>
    <w:rsid w:val="009456A1"/>
    <w:rsid w:val="00945920"/>
    <w:rsid w:val="00945ABA"/>
    <w:rsid w:val="009462AA"/>
    <w:rsid w:val="009463DC"/>
    <w:rsid w:val="00946967"/>
    <w:rsid w:val="00946D27"/>
    <w:rsid w:val="00946E6E"/>
    <w:rsid w:val="009474DB"/>
    <w:rsid w:val="0094769D"/>
    <w:rsid w:val="00947A41"/>
    <w:rsid w:val="00947AF4"/>
    <w:rsid w:val="00947CAF"/>
    <w:rsid w:val="00947E18"/>
    <w:rsid w:val="0095009A"/>
    <w:rsid w:val="0095021E"/>
    <w:rsid w:val="009505E0"/>
    <w:rsid w:val="00950B7B"/>
    <w:rsid w:val="00950D55"/>
    <w:rsid w:val="009513FE"/>
    <w:rsid w:val="009514B4"/>
    <w:rsid w:val="00951B1A"/>
    <w:rsid w:val="009522FB"/>
    <w:rsid w:val="00952969"/>
    <w:rsid w:val="00952A1B"/>
    <w:rsid w:val="00952AB9"/>
    <w:rsid w:val="00952EB1"/>
    <w:rsid w:val="00953973"/>
    <w:rsid w:val="00953FE3"/>
    <w:rsid w:val="00954114"/>
    <w:rsid w:val="00954488"/>
    <w:rsid w:val="00954B37"/>
    <w:rsid w:val="00954BF5"/>
    <w:rsid w:val="00954C38"/>
    <w:rsid w:val="0095573D"/>
    <w:rsid w:val="00955CB6"/>
    <w:rsid w:val="00955F6F"/>
    <w:rsid w:val="00956161"/>
    <w:rsid w:val="00956AF7"/>
    <w:rsid w:val="00956FBF"/>
    <w:rsid w:val="00957092"/>
    <w:rsid w:val="00957120"/>
    <w:rsid w:val="00957560"/>
    <w:rsid w:val="00957570"/>
    <w:rsid w:val="00957820"/>
    <w:rsid w:val="00957A8C"/>
    <w:rsid w:val="00957F57"/>
    <w:rsid w:val="00960147"/>
    <w:rsid w:val="009602CA"/>
    <w:rsid w:val="00960854"/>
    <w:rsid w:val="00960C0A"/>
    <w:rsid w:val="009611FA"/>
    <w:rsid w:val="0096199E"/>
    <w:rsid w:val="00961BB7"/>
    <w:rsid w:val="00961ECE"/>
    <w:rsid w:val="00962951"/>
    <w:rsid w:val="00962D17"/>
    <w:rsid w:val="00962DC0"/>
    <w:rsid w:val="00962EE6"/>
    <w:rsid w:val="00962FDA"/>
    <w:rsid w:val="00963090"/>
    <w:rsid w:val="009630A5"/>
    <w:rsid w:val="00963100"/>
    <w:rsid w:val="009633D4"/>
    <w:rsid w:val="009636AA"/>
    <w:rsid w:val="0096399C"/>
    <w:rsid w:val="00963C27"/>
    <w:rsid w:val="00964446"/>
    <w:rsid w:val="0096492C"/>
    <w:rsid w:val="009649FA"/>
    <w:rsid w:val="00964CC9"/>
    <w:rsid w:val="00964EC5"/>
    <w:rsid w:val="00965084"/>
    <w:rsid w:val="0096508B"/>
    <w:rsid w:val="009658AE"/>
    <w:rsid w:val="00965BA8"/>
    <w:rsid w:val="00965F3A"/>
    <w:rsid w:val="0096616E"/>
    <w:rsid w:val="009664B5"/>
    <w:rsid w:val="009667E6"/>
    <w:rsid w:val="00966918"/>
    <w:rsid w:val="00966F16"/>
    <w:rsid w:val="00967F43"/>
    <w:rsid w:val="00970458"/>
    <w:rsid w:val="00970815"/>
    <w:rsid w:val="0097096F"/>
    <w:rsid w:val="00970B13"/>
    <w:rsid w:val="00970C00"/>
    <w:rsid w:val="00970D71"/>
    <w:rsid w:val="00970D90"/>
    <w:rsid w:val="00970E95"/>
    <w:rsid w:val="00970F7D"/>
    <w:rsid w:val="00971042"/>
    <w:rsid w:val="009711E1"/>
    <w:rsid w:val="0097197F"/>
    <w:rsid w:val="009719D8"/>
    <w:rsid w:val="00972126"/>
    <w:rsid w:val="009724AC"/>
    <w:rsid w:val="0097277F"/>
    <w:rsid w:val="00972C03"/>
    <w:rsid w:val="00972C4F"/>
    <w:rsid w:val="00972F11"/>
    <w:rsid w:val="00973228"/>
    <w:rsid w:val="00973A6A"/>
    <w:rsid w:val="0097428F"/>
    <w:rsid w:val="009748F4"/>
    <w:rsid w:val="00974A98"/>
    <w:rsid w:val="00974AF0"/>
    <w:rsid w:val="00974F57"/>
    <w:rsid w:val="00974FE6"/>
    <w:rsid w:val="0097547C"/>
    <w:rsid w:val="00975654"/>
    <w:rsid w:val="00975BA9"/>
    <w:rsid w:val="009761EC"/>
    <w:rsid w:val="00976221"/>
    <w:rsid w:val="009768DA"/>
    <w:rsid w:val="00976C93"/>
    <w:rsid w:val="00977020"/>
    <w:rsid w:val="00977060"/>
    <w:rsid w:val="0097714F"/>
    <w:rsid w:val="00977173"/>
    <w:rsid w:val="0097771B"/>
    <w:rsid w:val="00977BF2"/>
    <w:rsid w:val="00977FF7"/>
    <w:rsid w:val="0098005F"/>
    <w:rsid w:val="0098010F"/>
    <w:rsid w:val="00980578"/>
    <w:rsid w:val="00980BC8"/>
    <w:rsid w:val="0098182E"/>
    <w:rsid w:val="009818FE"/>
    <w:rsid w:val="00981944"/>
    <w:rsid w:val="00981CA0"/>
    <w:rsid w:val="00982440"/>
    <w:rsid w:val="00982638"/>
    <w:rsid w:val="0098266E"/>
    <w:rsid w:val="00982896"/>
    <w:rsid w:val="009829FE"/>
    <w:rsid w:val="00982DC1"/>
    <w:rsid w:val="009830EC"/>
    <w:rsid w:val="0098339A"/>
    <w:rsid w:val="00983434"/>
    <w:rsid w:val="009836B3"/>
    <w:rsid w:val="0098370C"/>
    <w:rsid w:val="00983994"/>
    <w:rsid w:val="00983B03"/>
    <w:rsid w:val="0098432B"/>
    <w:rsid w:val="009844AA"/>
    <w:rsid w:val="00984879"/>
    <w:rsid w:val="0098490A"/>
    <w:rsid w:val="009852E2"/>
    <w:rsid w:val="0098574A"/>
    <w:rsid w:val="0098619F"/>
    <w:rsid w:val="009865D9"/>
    <w:rsid w:val="009866CD"/>
    <w:rsid w:val="009867E2"/>
    <w:rsid w:val="00986938"/>
    <w:rsid w:val="00987409"/>
    <w:rsid w:val="009874F9"/>
    <w:rsid w:val="0098793B"/>
    <w:rsid w:val="00987D93"/>
    <w:rsid w:val="00987E12"/>
    <w:rsid w:val="00987FA9"/>
    <w:rsid w:val="009908F6"/>
    <w:rsid w:val="00990906"/>
    <w:rsid w:val="00990AD8"/>
    <w:rsid w:val="00990E8F"/>
    <w:rsid w:val="00990F0F"/>
    <w:rsid w:val="00991622"/>
    <w:rsid w:val="009917FF"/>
    <w:rsid w:val="009918BD"/>
    <w:rsid w:val="00991C6B"/>
    <w:rsid w:val="00992107"/>
    <w:rsid w:val="00992402"/>
    <w:rsid w:val="009926BB"/>
    <w:rsid w:val="00992877"/>
    <w:rsid w:val="00992A33"/>
    <w:rsid w:val="00992B8C"/>
    <w:rsid w:val="00992C0F"/>
    <w:rsid w:val="00993187"/>
    <w:rsid w:val="009932B2"/>
    <w:rsid w:val="009933BE"/>
    <w:rsid w:val="00993407"/>
    <w:rsid w:val="0099385D"/>
    <w:rsid w:val="00993BF5"/>
    <w:rsid w:val="00993C5B"/>
    <w:rsid w:val="00993CDD"/>
    <w:rsid w:val="00993F8F"/>
    <w:rsid w:val="0099406B"/>
    <w:rsid w:val="00994341"/>
    <w:rsid w:val="00994431"/>
    <w:rsid w:val="0099445D"/>
    <w:rsid w:val="0099474D"/>
    <w:rsid w:val="009949D0"/>
    <w:rsid w:val="0099537F"/>
    <w:rsid w:val="00995381"/>
    <w:rsid w:val="009954E3"/>
    <w:rsid w:val="00995844"/>
    <w:rsid w:val="00995FD7"/>
    <w:rsid w:val="00996121"/>
    <w:rsid w:val="00996930"/>
    <w:rsid w:val="009969E0"/>
    <w:rsid w:val="009971A4"/>
    <w:rsid w:val="009972E0"/>
    <w:rsid w:val="0099743A"/>
    <w:rsid w:val="00997665"/>
    <w:rsid w:val="00997B7F"/>
    <w:rsid w:val="00997BCD"/>
    <w:rsid w:val="00997E6D"/>
    <w:rsid w:val="009A09F9"/>
    <w:rsid w:val="009A0D32"/>
    <w:rsid w:val="009A0D7C"/>
    <w:rsid w:val="009A0F2B"/>
    <w:rsid w:val="009A141C"/>
    <w:rsid w:val="009A14D7"/>
    <w:rsid w:val="009A1585"/>
    <w:rsid w:val="009A1D11"/>
    <w:rsid w:val="009A1F5B"/>
    <w:rsid w:val="009A1F98"/>
    <w:rsid w:val="009A24AF"/>
    <w:rsid w:val="009A2924"/>
    <w:rsid w:val="009A29C6"/>
    <w:rsid w:val="009A2A44"/>
    <w:rsid w:val="009A2E92"/>
    <w:rsid w:val="009A363C"/>
    <w:rsid w:val="009A3714"/>
    <w:rsid w:val="009A3981"/>
    <w:rsid w:val="009A3D36"/>
    <w:rsid w:val="009A48B7"/>
    <w:rsid w:val="009A4B62"/>
    <w:rsid w:val="009A4C6E"/>
    <w:rsid w:val="009A4D13"/>
    <w:rsid w:val="009A5054"/>
    <w:rsid w:val="009A58C7"/>
    <w:rsid w:val="009A59D7"/>
    <w:rsid w:val="009A5F22"/>
    <w:rsid w:val="009A6913"/>
    <w:rsid w:val="009A6AEA"/>
    <w:rsid w:val="009A6B09"/>
    <w:rsid w:val="009A7793"/>
    <w:rsid w:val="009A7A62"/>
    <w:rsid w:val="009A7DF4"/>
    <w:rsid w:val="009B0448"/>
    <w:rsid w:val="009B04E1"/>
    <w:rsid w:val="009B05CA"/>
    <w:rsid w:val="009B0923"/>
    <w:rsid w:val="009B0A2A"/>
    <w:rsid w:val="009B0DB1"/>
    <w:rsid w:val="009B1C22"/>
    <w:rsid w:val="009B1DDA"/>
    <w:rsid w:val="009B1FC5"/>
    <w:rsid w:val="009B2188"/>
    <w:rsid w:val="009B234D"/>
    <w:rsid w:val="009B2646"/>
    <w:rsid w:val="009B269C"/>
    <w:rsid w:val="009B2885"/>
    <w:rsid w:val="009B2E5A"/>
    <w:rsid w:val="009B32EE"/>
    <w:rsid w:val="009B3784"/>
    <w:rsid w:val="009B37A3"/>
    <w:rsid w:val="009B3AD8"/>
    <w:rsid w:val="009B3F5D"/>
    <w:rsid w:val="009B3F96"/>
    <w:rsid w:val="009B45EE"/>
    <w:rsid w:val="009B480A"/>
    <w:rsid w:val="009B49BA"/>
    <w:rsid w:val="009B4E85"/>
    <w:rsid w:val="009B505F"/>
    <w:rsid w:val="009B50F9"/>
    <w:rsid w:val="009B554D"/>
    <w:rsid w:val="009B56E3"/>
    <w:rsid w:val="009B5897"/>
    <w:rsid w:val="009B5B60"/>
    <w:rsid w:val="009B5F1C"/>
    <w:rsid w:val="009B61C2"/>
    <w:rsid w:val="009B65F0"/>
    <w:rsid w:val="009B75B8"/>
    <w:rsid w:val="009B7B78"/>
    <w:rsid w:val="009B7C97"/>
    <w:rsid w:val="009B7CDF"/>
    <w:rsid w:val="009C0246"/>
    <w:rsid w:val="009C0D20"/>
    <w:rsid w:val="009C201B"/>
    <w:rsid w:val="009C28E7"/>
    <w:rsid w:val="009C2A8D"/>
    <w:rsid w:val="009C2B2B"/>
    <w:rsid w:val="009C2E07"/>
    <w:rsid w:val="009C315F"/>
    <w:rsid w:val="009C33A5"/>
    <w:rsid w:val="009C36EE"/>
    <w:rsid w:val="009C40B8"/>
    <w:rsid w:val="009C43D3"/>
    <w:rsid w:val="009C4549"/>
    <w:rsid w:val="009C45ED"/>
    <w:rsid w:val="009C46F2"/>
    <w:rsid w:val="009C4E9A"/>
    <w:rsid w:val="009C5262"/>
    <w:rsid w:val="009C54E5"/>
    <w:rsid w:val="009C5D7B"/>
    <w:rsid w:val="009C6222"/>
    <w:rsid w:val="009C64A9"/>
    <w:rsid w:val="009C6782"/>
    <w:rsid w:val="009C6A16"/>
    <w:rsid w:val="009C6A37"/>
    <w:rsid w:val="009C6DC6"/>
    <w:rsid w:val="009C71FE"/>
    <w:rsid w:val="009C7220"/>
    <w:rsid w:val="009D01CA"/>
    <w:rsid w:val="009D0597"/>
    <w:rsid w:val="009D0CDB"/>
    <w:rsid w:val="009D0EA0"/>
    <w:rsid w:val="009D1042"/>
    <w:rsid w:val="009D17C6"/>
    <w:rsid w:val="009D1D7B"/>
    <w:rsid w:val="009D20CB"/>
    <w:rsid w:val="009D2CE3"/>
    <w:rsid w:val="009D2FD5"/>
    <w:rsid w:val="009D3696"/>
    <w:rsid w:val="009D37D8"/>
    <w:rsid w:val="009D38D5"/>
    <w:rsid w:val="009D38F3"/>
    <w:rsid w:val="009D3A40"/>
    <w:rsid w:val="009D4110"/>
    <w:rsid w:val="009D450C"/>
    <w:rsid w:val="009D45E8"/>
    <w:rsid w:val="009D4913"/>
    <w:rsid w:val="009D50B9"/>
    <w:rsid w:val="009D5229"/>
    <w:rsid w:val="009D5AEC"/>
    <w:rsid w:val="009D5EA8"/>
    <w:rsid w:val="009D5FDA"/>
    <w:rsid w:val="009D64A9"/>
    <w:rsid w:val="009D74DD"/>
    <w:rsid w:val="009D763F"/>
    <w:rsid w:val="009D7646"/>
    <w:rsid w:val="009D771F"/>
    <w:rsid w:val="009E002C"/>
    <w:rsid w:val="009E006F"/>
    <w:rsid w:val="009E0341"/>
    <w:rsid w:val="009E052A"/>
    <w:rsid w:val="009E05EE"/>
    <w:rsid w:val="009E12E7"/>
    <w:rsid w:val="009E16DC"/>
    <w:rsid w:val="009E18DA"/>
    <w:rsid w:val="009E1C11"/>
    <w:rsid w:val="009E1CA9"/>
    <w:rsid w:val="009E1CE4"/>
    <w:rsid w:val="009E1D0C"/>
    <w:rsid w:val="009E20EC"/>
    <w:rsid w:val="009E2AF6"/>
    <w:rsid w:val="009E2B86"/>
    <w:rsid w:val="009E2D14"/>
    <w:rsid w:val="009E2D19"/>
    <w:rsid w:val="009E2EFB"/>
    <w:rsid w:val="009E2F08"/>
    <w:rsid w:val="009E33A7"/>
    <w:rsid w:val="009E3597"/>
    <w:rsid w:val="009E3645"/>
    <w:rsid w:val="009E39E7"/>
    <w:rsid w:val="009E4185"/>
    <w:rsid w:val="009E4247"/>
    <w:rsid w:val="009E4337"/>
    <w:rsid w:val="009E43BA"/>
    <w:rsid w:val="009E4738"/>
    <w:rsid w:val="009E476E"/>
    <w:rsid w:val="009E4869"/>
    <w:rsid w:val="009E5054"/>
    <w:rsid w:val="009E52EE"/>
    <w:rsid w:val="009E57F6"/>
    <w:rsid w:val="009E5A01"/>
    <w:rsid w:val="009E5ACC"/>
    <w:rsid w:val="009E5EB0"/>
    <w:rsid w:val="009E6389"/>
    <w:rsid w:val="009E6701"/>
    <w:rsid w:val="009E6BD8"/>
    <w:rsid w:val="009E76D8"/>
    <w:rsid w:val="009E7706"/>
    <w:rsid w:val="009E7AD0"/>
    <w:rsid w:val="009E7C27"/>
    <w:rsid w:val="009E7FC8"/>
    <w:rsid w:val="009F0739"/>
    <w:rsid w:val="009F0C78"/>
    <w:rsid w:val="009F151E"/>
    <w:rsid w:val="009F1BEA"/>
    <w:rsid w:val="009F1C37"/>
    <w:rsid w:val="009F1E89"/>
    <w:rsid w:val="009F1FAB"/>
    <w:rsid w:val="009F2164"/>
    <w:rsid w:val="009F2258"/>
    <w:rsid w:val="009F24C0"/>
    <w:rsid w:val="009F2920"/>
    <w:rsid w:val="009F294C"/>
    <w:rsid w:val="009F352A"/>
    <w:rsid w:val="009F382F"/>
    <w:rsid w:val="009F3A3D"/>
    <w:rsid w:val="009F3B02"/>
    <w:rsid w:val="009F3BD8"/>
    <w:rsid w:val="009F3D28"/>
    <w:rsid w:val="009F4750"/>
    <w:rsid w:val="009F47DF"/>
    <w:rsid w:val="009F4C54"/>
    <w:rsid w:val="009F4F68"/>
    <w:rsid w:val="009F531E"/>
    <w:rsid w:val="009F561F"/>
    <w:rsid w:val="009F6C35"/>
    <w:rsid w:val="009F72BA"/>
    <w:rsid w:val="009F7377"/>
    <w:rsid w:val="009F7A1C"/>
    <w:rsid w:val="00A00358"/>
    <w:rsid w:val="00A00B8C"/>
    <w:rsid w:val="00A011E4"/>
    <w:rsid w:val="00A02114"/>
    <w:rsid w:val="00A024AB"/>
    <w:rsid w:val="00A02778"/>
    <w:rsid w:val="00A0288F"/>
    <w:rsid w:val="00A03B72"/>
    <w:rsid w:val="00A04267"/>
    <w:rsid w:val="00A04290"/>
    <w:rsid w:val="00A04415"/>
    <w:rsid w:val="00A04791"/>
    <w:rsid w:val="00A05187"/>
    <w:rsid w:val="00A05512"/>
    <w:rsid w:val="00A056B1"/>
    <w:rsid w:val="00A059B4"/>
    <w:rsid w:val="00A05E95"/>
    <w:rsid w:val="00A06287"/>
    <w:rsid w:val="00A06C68"/>
    <w:rsid w:val="00A06CB1"/>
    <w:rsid w:val="00A0703C"/>
    <w:rsid w:val="00A07B62"/>
    <w:rsid w:val="00A101F1"/>
    <w:rsid w:val="00A101F6"/>
    <w:rsid w:val="00A103ED"/>
    <w:rsid w:val="00A106CD"/>
    <w:rsid w:val="00A10BDF"/>
    <w:rsid w:val="00A11C5A"/>
    <w:rsid w:val="00A1242A"/>
    <w:rsid w:val="00A12622"/>
    <w:rsid w:val="00A1273D"/>
    <w:rsid w:val="00A12BF0"/>
    <w:rsid w:val="00A12BF7"/>
    <w:rsid w:val="00A13463"/>
    <w:rsid w:val="00A13E0B"/>
    <w:rsid w:val="00A143FD"/>
    <w:rsid w:val="00A147D7"/>
    <w:rsid w:val="00A14D04"/>
    <w:rsid w:val="00A1551F"/>
    <w:rsid w:val="00A15804"/>
    <w:rsid w:val="00A158EC"/>
    <w:rsid w:val="00A15A67"/>
    <w:rsid w:val="00A15A79"/>
    <w:rsid w:val="00A15C1F"/>
    <w:rsid w:val="00A16397"/>
    <w:rsid w:val="00A1708A"/>
    <w:rsid w:val="00A20119"/>
    <w:rsid w:val="00A201DD"/>
    <w:rsid w:val="00A20B7B"/>
    <w:rsid w:val="00A211CB"/>
    <w:rsid w:val="00A21854"/>
    <w:rsid w:val="00A21B35"/>
    <w:rsid w:val="00A21B59"/>
    <w:rsid w:val="00A225D4"/>
    <w:rsid w:val="00A2288A"/>
    <w:rsid w:val="00A22993"/>
    <w:rsid w:val="00A22E48"/>
    <w:rsid w:val="00A22F3A"/>
    <w:rsid w:val="00A23381"/>
    <w:rsid w:val="00A23644"/>
    <w:rsid w:val="00A23BB0"/>
    <w:rsid w:val="00A23C02"/>
    <w:rsid w:val="00A23CBD"/>
    <w:rsid w:val="00A23CEA"/>
    <w:rsid w:val="00A242DF"/>
    <w:rsid w:val="00A2460C"/>
    <w:rsid w:val="00A24AD0"/>
    <w:rsid w:val="00A24AF8"/>
    <w:rsid w:val="00A24FE3"/>
    <w:rsid w:val="00A255D3"/>
    <w:rsid w:val="00A25F30"/>
    <w:rsid w:val="00A26058"/>
    <w:rsid w:val="00A26132"/>
    <w:rsid w:val="00A266DD"/>
    <w:rsid w:val="00A2696E"/>
    <w:rsid w:val="00A27280"/>
    <w:rsid w:val="00A272C9"/>
    <w:rsid w:val="00A27960"/>
    <w:rsid w:val="00A27A07"/>
    <w:rsid w:val="00A27C03"/>
    <w:rsid w:val="00A27D8F"/>
    <w:rsid w:val="00A30926"/>
    <w:rsid w:val="00A30C7D"/>
    <w:rsid w:val="00A31105"/>
    <w:rsid w:val="00A315AC"/>
    <w:rsid w:val="00A3190B"/>
    <w:rsid w:val="00A31BD4"/>
    <w:rsid w:val="00A3260F"/>
    <w:rsid w:val="00A32784"/>
    <w:rsid w:val="00A32890"/>
    <w:rsid w:val="00A32E22"/>
    <w:rsid w:val="00A32EE2"/>
    <w:rsid w:val="00A3322D"/>
    <w:rsid w:val="00A33393"/>
    <w:rsid w:val="00A33974"/>
    <w:rsid w:val="00A33A98"/>
    <w:rsid w:val="00A33CBF"/>
    <w:rsid w:val="00A33DB7"/>
    <w:rsid w:val="00A33FF2"/>
    <w:rsid w:val="00A343AB"/>
    <w:rsid w:val="00A346B6"/>
    <w:rsid w:val="00A34AED"/>
    <w:rsid w:val="00A34B6B"/>
    <w:rsid w:val="00A353EE"/>
    <w:rsid w:val="00A3564F"/>
    <w:rsid w:val="00A35F73"/>
    <w:rsid w:val="00A35FD9"/>
    <w:rsid w:val="00A361ED"/>
    <w:rsid w:val="00A362A9"/>
    <w:rsid w:val="00A3729E"/>
    <w:rsid w:val="00A37C31"/>
    <w:rsid w:val="00A37EEA"/>
    <w:rsid w:val="00A40248"/>
    <w:rsid w:val="00A4073C"/>
    <w:rsid w:val="00A408E4"/>
    <w:rsid w:val="00A40AE7"/>
    <w:rsid w:val="00A40B08"/>
    <w:rsid w:val="00A40E52"/>
    <w:rsid w:val="00A40FA3"/>
    <w:rsid w:val="00A4121A"/>
    <w:rsid w:val="00A413E4"/>
    <w:rsid w:val="00A414B5"/>
    <w:rsid w:val="00A41B25"/>
    <w:rsid w:val="00A41CDE"/>
    <w:rsid w:val="00A4220E"/>
    <w:rsid w:val="00A4251D"/>
    <w:rsid w:val="00A42702"/>
    <w:rsid w:val="00A42809"/>
    <w:rsid w:val="00A42B4A"/>
    <w:rsid w:val="00A42CCA"/>
    <w:rsid w:val="00A42E8B"/>
    <w:rsid w:val="00A43310"/>
    <w:rsid w:val="00A4359E"/>
    <w:rsid w:val="00A43610"/>
    <w:rsid w:val="00A44E3C"/>
    <w:rsid w:val="00A45083"/>
    <w:rsid w:val="00A45210"/>
    <w:rsid w:val="00A45389"/>
    <w:rsid w:val="00A456FE"/>
    <w:rsid w:val="00A45D6F"/>
    <w:rsid w:val="00A46EFF"/>
    <w:rsid w:val="00A47367"/>
    <w:rsid w:val="00A476E8"/>
    <w:rsid w:val="00A47ED0"/>
    <w:rsid w:val="00A501EF"/>
    <w:rsid w:val="00A502F6"/>
    <w:rsid w:val="00A504A1"/>
    <w:rsid w:val="00A51244"/>
    <w:rsid w:val="00A518B4"/>
    <w:rsid w:val="00A518F3"/>
    <w:rsid w:val="00A51F8C"/>
    <w:rsid w:val="00A5238E"/>
    <w:rsid w:val="00A530DA"/>
    <w:rsid w:val="00A54031"/>
    <w:rsid w:val="00A5427E"/>
    <w:rsid w:val="00A54311"/>
    <w:rsid w:val="00A545DC"/>
    <w:rsid w:val="00A546A7"/>
    <w:rsid w:val="00A546B9"/>
    <w:rsid w:val="00A5484D"/>
    <w:rsid w:val="00A54A27"/>
    <w:rsid w:val="00A54DBF"/>
    <w:rsid w:val="00A55684"/>
    <w:rsid w:val="00A5582A"/>
    <w:rsid w:val="00A55A9F"/>
    <w:rsid w:val="00A55AEA"/>
    <w:rsid w:val="00A56356"/>
    <w:rsid w:val="00A56927"/>
    <w:rsid w:val="00A571DF"/>
    <w:rsid w:val="00A577B3"/>
    <w:rsid w:val="00A57A90"/>
    <w:rsid w:val="00A57E98"/>
    <w:rsid w:val="00A57FD9"/>
    <w:rsid w:val="00A60182"/>
    <w:rsid w:val="00A6065B"/>
    <w:rsid w:val="00A60E47"/>
    <w:rsid w:val="00A60F47"/>
    <w:rsid w:val="00A612C8"/>
    <w:rsid w:val="00A61792"/>
    <w:rsid w:val="00A619E4"/>
    <w:rsid w:val="00A61E4C"/>
    <w:rsid w:val="00A61F53"/>
    <w:rsid w:val="00A61FBF"/>
    <w:rsid w:val="00A62A89"/>
    <w:rsid w:val="00A62C69"/>
    <w:rsid w:val="00A62CAA"/>
    <w:rsid w:val="00A62D97"/>
    <w:rsid w:val="00A646A9"/>
    <w:rsid w:val="00A64792"/>
    <w:rsid w:val="00A65073"/>
    <w:rsid w:val="00A65189"/>
    <w:rsid w:val="00A653D4"/>
    <w:rsid w:val="00A65EC6"/>
    <w:rsid w:val="00A65ECF"/>
    <w:rsid w:val="00A6644C"/>
    <w:rsid w:val="00A66658"/>
    <w:rsid w:val="00A666F5"/>
    <w:rsid w:val="00A6695E"/>
    <w:rsid w:val="00A66CA5"/>
    <w:rsid w:val="00A66D9B"/>
    <w:rsid w:val="00A67011"/>
    <w:rsid w:val="00A676B8"/>
    <w:rsid w:val="00A67803"/>
    <w:rsid w:val="00A679D1"/>
    <w:rsid w:val="00A679E4"/>
    <w:rsid w:val="00A67F4B"/>
    <w:rsid w:val="00A702E0"/>
    <w:rsid w:val="00A70522"/>
    <w:rsid w:val="00A70658"/>
    <w:rsid w:val="00A70D33"/>
    <w:rsid w:val="00A711B3"/>
    <w:rsid w:val="00A7124E"/>
    <w:rsid w:val="00A712F6"/>
    <w:rsid w:val="00A71FA7"/>
    <w:rsid w:val="00A72141"/>
    <w:rsid w:val="00A726EE"/>
    <w:rsid w:val="00A72987"/>
    <w:rsid w:val="00A72C19"/>
    <w:rsid w:val="00A732A1"/>
    <w:rsid w:val="00A7338D"/>
    <w:rsid w:val="00A736FA"/>
    <w:rsid w:val="00A73F97"/>
    <w:rsid w:val="00A74558"/>
    <w:rsid w:val="00A74661"/>
    <w:rsid w:val="00A74CB4"/>
    <w:rsid w:val="00A75805"/>
    <w:rsid w:val="00A75905"/>
    <w:rsid w:val="00A75ECA"/>
    <w:rsid w:val="00A76485"/>
    <w:rsid w:val="00A76592"/>
    <w:rsid w:val="00A7661C"/>
    <w:rsid w:val="00A767A2"/>
    <w:rsid w:val="00A769FF"/>
    <w:rsid w:val="00A76C5A"/>
    <w:rsid w:val="00A773C0"/>
    <w:rsid w:val="00A77809"/>
    <w:rsid w:val="00A77A2E"/>
    <w:rsid w:val="00A803DF"/>
    <w:rsid w:val="00A8091A"/>
    <w:rsid w:val="00A80CAF"/>
    <w:rsid w:val="00A80F51"/>
    <w:rsid w:val="00A81577"/>
    <w:rsid w:val="00A8183D"/>
    <w:rsid w:val="00A8217F"/>
    <w:rsid w:val="00A82665"/>
    <w:rsid w:val="00A82849"/>
    <w:rsid w:val="00A82D92"/>
    <w:rsid w:val="00A836F5"/>
    <w:rsid w:val="00A83C0D"/>
    <w:rsid w:val="00A849FE"/>
    <w:rsid w:val="00A84A1A"/>
    <w:rsid w:val="00A84FD0"/>
    <w:rsid w:val="00A85118"/>
    <w:rsid w:val="00A85308"/>
    <w:rsid w:val="00A853D8"/>
    <w:rsid w:val="00A854A0"/>
    <w:rsid w:val="00A857BF"/>
    <w:rsid w:val="00A85A07"/>
    <w:rsid w:val="00A85E15"/>
    <w:rsid w:val="00A86E74"/>
    <w:rsid w:val="00A870C0"/>
    <w:rsid w:val="00A8751E"/>
    <w:rsid w:val="00A9015D"/>
    <w:rsid w:val="00A9051B"/>
    <w:rsid w:val="00A910D1"/>
    <w:rsid w:val="00A9112E"/>
    <w:rsid w:val="00A9171C"/>
    <w:rsid w:val="00A9175B"/>
    <w:rsid w:val="00A92410"/>
    <w:rsid w:val="00A92741"/>
    <w:rsid w:val="00A9308B"/>
    <w:rsid w:val="00A930E7"/>
    <w:rsid w:val="00A930FD"/>
    <w:rsid w:val="00A934C2"/>
    <w:rsid w:val="00A93791"/>
    <w:rsid w:val="00A9386E"/>
    <w:rsid w:val="00A9398B"/>
    <w:rsid w:val="00A939C3"/>
    <w:rsid w:val="00A93E67"/>
    <w:rsid w:val="00A93FAF"/>
    <w:rsid w:val="00A94021"/>
    <w:rsid w:val="00A94323"/>
    <w:rsid w:val="00A9468F"/>
    <w:rsid w:val="00A949F0"/>
    <w:rsid w:val="00A94F28"/>
    <w:rsid w:val="00A95290"/>
    <w:rsid w:val="00A952A8"/>
    <w:rsid w:val="00A95FDB"/>
    <w:rsid w:val="00A96111"/>
    <w:rsid w:val="00A962BF"/>
    <w:rsid w:val="00A9685E"/>
    <w:rsid w:val="00A9688E"/>
    <w:rsid w:val="00A97862"/>
    <w:rsid w:val="00A97DE0"/>
    <w:rsid w:val="00A97E41"/>
    <w:rsid w:val="00AA074F"/>
    <w:rsid w:val="00AA083F"/>
    <w:rsid w:val="00AA0EAE"/>
    <w:rsid w:val="00AA1B68"/>
    <w:rsid w:val="00AA1C8C"/>
    <w:rsid w:val="00AA2280"/>
    <w:rsid w:val="00AA418C"/>
    <w:rsid w:val="00AA4874"/>
    <w:rsid w:val="00AA4E03"/>
    <w:rsid w:val="00AA5247"/>
    <w:rsid w:val="00AA533D"/>
    <w:rsid w:val="00AA55AF"/>
    <w:rsid w:val="00AA61FE"/>
    <w:rsid w:val="00AA73BB"/>
    <w:rsid w:val="00AA7471"/>
    <w:rsid w:val="00AA77CC"/>
    <w:rsid w:val="00AA77FF"/>
    <w:rsid w:val="00AA7833"/>
    <w:rsid w:val="00AB006D"/>
    <w:rsid w:val="00AB0F58"/>
    <w:rsid w:val="00AB15D5"/>
    <w:rsid w:val="00AB1ED8"/>
    <w:rsid w:val="00AB2572"/>
    <w:rsid w:val="00AB26BB"/>
    <w:rsid w:val="00AB33C5"/>
    <w:rsid w:val="00AB3A4C"/>
    <w:rsid w:val="00AB3CBB"/>
    <w:rsid w:val="00AB45A8"/>
    <w:rsid w:val="00AB477A"/>
    <w:rsid w:val="00AB57D4"/>
    <w:rsid w:val="00AB5CFE"/>
    <w:rsid w:val="00AB5D48"/>
    <w:rsid w:val="00AB6081"/>
    <w:rsid w:val="00AB68C5"/>
    <w:rsid w:val="00AB71CF"/>
    <w:rsid w:val="00AB74D7"/>
    <w:rsid w:val="00AB7929"/>
    <w:rsid w:val="00AB7B81"/>
    <w:rsid w:val="00AB7F8A"/>
    <w:rsid w:val="00AC00ED"/>
    <w:rsid w:val="00AC010D"/>
    <w:rsid w:val="00AC0141"/>
    <w:rsid w:val="00AC02F7"/>
    <w:rsid w:val="00AC06D9"/>
    <w:rsid w:val="00AC0A22"/>
    <w:rsid w:val="00AC0A91"/>
    <w:rsid w:val="00AC0DAE"/>
    <w:rsid w:val="00AC23B5"/>
    <w:rsid w:val="00AC26A9"/>
    <w:rsid w:val="00AC270D"/>
    <w:rsid w:val="00AC2A4C"/>
    <w:rsid w:val="00AC2C46"/>
    <w:rsid w:val="00AC2D8B"/>
    <w:rsid w:val="00AC2E7B"/>
    <w:rsid w:val="00AC312F"/>
    <w:rsid w:val="00AC315A"/>
    <w:rsid w:val="00AC3467"/>
    <w:rsid w:val="00AC350A"/>
    <w:rsid w:val="00AC3511"/>
    <w:rsid w:val="00AC39A6"/>
    <w:rsid w:val="00AC3E16"/>
    <w:rsid w:val="00AC47F7"/>
    <w:rsid w:val="00AC4910"/>
    <w:rsid w:val="00AC4AE3"/>
    <w:rsid w:val="00AC4B1D"/>
    <w:rsid w:val="00AC4D38"/>
    <w:rsid w:val="00AC4D86"/>
    <w:rsid w:val="00AC4E2D"/>
    <w:rsid w:val="00AC51FF"/>
    <w:rsid w:val="00AC53FF"/>
    <w:rsid w:val="00AC5D89"/>
    <w:rsid w:val="00AC65DD"/>
    <w:rsid w:val="00AC6B4E"/>
    <w:rsid w:val="00AC6E38"/>
    <w:rsid w:val="00AC7531"/>
    <w:rsid w:val="00AC773E"/>
    <w:rsid w:val="00AC7FAE"/>
    <w:rsid w:val="00AD005D"/>
    <w:rsid w:val="00AD0072"/>
    <w:rsid w:val="00AD0657"/>
    <w:rsid w:val="00AD0830"/>
    <w:rsid w:val="00AD0A0A"/>
    <w:rsid w:val="00AD0C40"/>
    <w:rsid w:val="00AD1603"/>
    <w:rsid w:val="00AD184F"/>
    <w:rsid w:val="00AD1856"/>
    <w:rsid w:val="00AD1D47"/>
    <w:rsid w:val="00AD1FAB"/>
    <w:rsid w:val="00AD23B9"/>
    <w:rsid w:val="00AD2657"/>
    <w:rsid w:val="00AD339E"/>
    <w:rsid w:val="00AD358C"/>
    <w:rsid w:val="00AD3673"/>
    <w:rsid w:val="00AD36A4"/>
    <w:rsid w:val="00AD36FD"/>
    <w:rsid w:val="00AD4159"/>
    <w:rsid w:val="00AD4278"/>
    <w:rsid w:val="00AD441C"/>
    <w:rsid w:val="00AD4430"/>
    <w:rsid w:val="00AD4592"/>
    <w:rsid w:val="00AD46FB"/>
    <w:rsid w:val="00AD48EE"/>
    <w:rsid w:val="00AD497C"/>
    <w:rsid w:val="00AD4C03"/>
    <w:rsid w:val="00AD505F"/>
    <w:rsid w:val="00AD5473"/>
    <w:rsid w:val="00AD5798"/>
    <w:rsid w:val="00AD5B18"/>
    <w:rsid w:val="00AD6191"/>
    <w:rsid w:val="00AD6350"/>
    <w:rsid w:val="00AD6411"/>
    <w:rsid w:val="00AD662A"/>
    <w:rsid w:val="00AD68DD"/>
    <w:rsid w:val="00AD69F8"/>
    <w:rsid w:val="00AD7152"/>
    <w:rsid w:val="00AD78D5"/>
    <w:rsid w:val="00AD7DB3"/>
    <w:rsid w:val="00AD7F22"/>
    <w:rsid w:val="00AD7F9F"/>
    <w:rsid w:val="00AE098E"/>
    <w:rsid w:val="00AE10C6"/>
    <w:rsid w:val="00AE18DB"/>
    <w:rsid w:val="00AE1A78"/>
    <w:rsid w:val="00AE1E4E"/>
    <w:rsid w:val="00AE2161"/>
    <w:rsid w:val="00AE216B"/>
    <w:rsid w:val="00AE265D"/>
    <w:rsid w:val="00AE269C"/>
    <w:rsid w:val="00AE3417"/>
    <w:rsid w:val="00AE355D"/>
    <w:rsid w:val="00AE3B13"/>
    <w:rsid w:val="00AE3F22"/>
    <w:rsid w:val="00AE4027"/>
    <w:rsid w:val="00AE469F"/>
    <w:rsid w:val="00AE4D27"/>
    <w:rsid w:val="00AE4EA1"/>
    <w:rsid w:val="00AE5157"/>
    <w:rsid w:val="00AE52A4"/>
    <w:rsid w:val="00AE52A8"/>
    <w:rsid w:val="00AE54D0"/>
    <w:rsid w:val="00AE588F"/>
    <w:rsid w:val="00AE5E61"/>
    <w:rsid w:val="00AE62CB"/>
    <w:rsid w:val="00AE66FF"/>
    <w:rsid w:val="00AE6C1C"/>
    <w:rsid w:val="00AE6DD0"/>
    <w:rsid w:val="00AE72E7"/>
    <w:rsid w:val="00AE765D"/>
    <w:rsid w:val="00AE7D83"/>
    <w:rsid w:val="00AE7FC7"/>
    <w:rsid w:val="00AF0354"/>
    <w:rsid w:val="00AF0CDD"/>
    <w:rsid w:val="00AF1473"/>
    <w:rsid w:val="00AF14E0"/>
    <w:rsid w:val="00AF1802"/>
    <w:rsid w:val="00AF1C08"/>
    <w:rsid w:val="00AF2707"/>
    <w:rsid w:val="00AF27EF"/>
    <w:rsid w:val="00AF2AB4"/>
    <w:rsid w:val="00AF2F8E"/>
    <w:rsid w:val="00AF304E"/>
    <w:rsid w:val="00AF311C"/>
    <w:rsid w:val="00AF313A"/>
    <w:rsid w:val="00AF36D5"/>
    <w:rsid w:val="00AF37FC"/>
    <w:rsid w:val="00AF3AEA"/>
    <w:rsid w:val="00AF3E7A"/>
    <w:rsid w:val="00AF47A9"/>
    <w:rsid w:val="00AF4CFC"/>
    <w:rsid w:val="00AF4D1B"/>
    <w:rsid w:val="00AF5BF1"/>
    <w:rsid w:val="00AF5EBF"/>
    <w:rsid w:val="00AF6542"/>
    <w:rsid w:val="00AF656C"/>
    <w:rsid w:val="00AF7112"/>
    <w:rsid w:val="00AF711F"/>
    <w:rsid w:val="00AF75B5"/>
    <w:rsid w:val="00AF7625"/>
    <w:rsid w:val="00AF77A8"/>
    <w:rsid w:val="00AF79F5"/>
    <w:rsid w:val="00AF7A10"/>
    <w:rsid w:val="00AF7DA0"/>
    <w:rsid w:val="00B009AC"/>
    <w:rsid w:val="00B00DD6"/>
    <w:rsid w:val="00B00E9B"/>
    <w:rsid w:val="00B00F09"/>
    <w:rsid w:val="00B017C3"/>
    <w:rsid w:val="00B01EBB"/>
    <w:rsid w:val="00B0240D"/>
    <w:rsid w:val="00B02630"/>
    <w:rsid w:val="00B0280A"/>
    <w:rsid w:val="00B0311F"/>
    <w:rsid w:val="00B03689"/>
    <w:rsid w:val="00B038AF"/>
    <w:rsid w:val="00B038BF"/>
    <w:rsid w:val="00B043EF"/>
    <w:rsid w:val="00B0441C"/>
    <w:rsid w:val="00B044B8"/>
    <w:rsid w:val="00B04BB1"/>
    <w:rsid w:val="00B04CBF"/>
    <w:rsid w:val="00B04E21"/>
    <w:rsid w:val="00B04FC1"/>
    <w:rsid w:val="00B050D5"/>
    <w:rsid w:val="00B05146"/>
    <w:rsid w:val="00B05ACD"/>
    <w:rsid w:val="00B05C99"/>
    <w:rsid w:val="00B060C1"/>
    <w:rsid w:val="00B06211"/>
    <w:rsid w:val="00B06493"/>
    <w:rsid w:val="00B069EC"/>
    <w:rsid w:val="00B07873"/>
    <w:rsid w:val="00B07915"/>
    <w:rsid w:val="00B079AB"/>
    <w:rsid w:val="00B07A0E"/>
    <w:rsid w:val="00B07B29"/>
    <w:rsid w:val="00B07B9D"/>
    <w:rsid w:val="00B07E94"/>
    <w:rsid w:val="00B10232"/>
    <w:rsid w:val="00B102ED"/>
    <w:rsid w:val="00B10921"/>
    <w:rsid w:val="00B10CD5"/>
    <w:rsid w:val="00B10DAA"/>
    <w:rsid w:val="00B10FEA"/>
    <w:rsid w:val="00B110D7"/>
    <w:rsid w:val="00B11531"/>
    <w:rsid w:val="00B11A15"/>
    <w:rsid w:val="00B122B2"/>
    <w:rsid w:val="00B122EE"/>
    <w:rsid w:val="00B124A2"/>
    <w:rsid w:val="00B124B4"/>
    <w:rsid w:val="00B12644"/>
    <w:rsid w:val="00B128EC"/>
    <w:rsid w:val="00B12ABA"/>
    <w:rsid w:val="00B137B0"/>
    <w:rsid w:val="00B14027"/>
    <w:rsid w:val="00B1451E"/>
    <w:rsid w:val="00B145AA"/>
    <w:rsid w:val="00B14D33"/>
    <w:rsid w:val="00B14F87"/>
    <w:rsid w:val="00B150DA"/>
    <w:rsid w:val="00B151E1"/>
    <w:rsid w:val="00B15615"/>
    <w:rsid w:val="00B158AA"/>
    <w:rsid w:val="00B15EC6"/>
    <w:rsid w:val="00B1601D"/>
    <w:rsid w:val="00B161E6"/>
    <w:rsid w:val="00B1649F"/>
    <w:rsid w:val="00B16698"/>
    <w:rsid w:val="00B16E66"/>
    <w:rsid w:val="00B17480"/>
    <w:rsid w:val="00B17A92"/>
    <w:rsid w:val="00B17C71"/>
    <w:rsid w:val="00B20606"/>
    <w:rsid w:val="00B20735"/>
    <w:rsid w:val="00B207F2"/>
    <w:rsid w:val="00B20BDC"/>
    <w:rsid w:val="00B20D36"/>
    <w:rsid w:val="00B210A0"/>
    <w:rsid w:val="00B2139C"/>
    <w:rsid w:val="00B221E7"/>
    <w:rsid w:val="00B22589"/>
    <w:rsid w:val="00B22665"/>
    <w:rsid w:val="00B227C6"/>
    <w:rsid w:val="00B23713"/>
    <w:rsid w:val="00B2371D"/>
    <w:rsid w:val="00B23B1B"/>
    <w:rsid w:val="00B23DE3"/>
    <w:rsid w:val="00B23EC3"/>
    <w:rsid w:val="00B24289"/>
    <w:rsid w:val="00B24D75"/>
    <w:rsid w:val="00B24E09"/>
    <w:rsid w:val="00B24FFE"/>
    <w:rsid w:val="00B2593E"/>
    <w:rsid w:val="00B259FA"/>
    <w:rsid w:val="00B266E3"/>
    <w:rsid w:val="00B26D27"/>
    <w:rsid w:val="00B272A1"/>
    <w:rsid w:val="00B27766"/>
    <w:rsid w:val="00B27792"/>
    <w:rsid w:val="00B27C9D"/>
    <w:rsid w:val="00B3025B"/>
    <w:rsid w:val="00B30476"/>
    <w:rsid w:val="00B30641"/>
    <w:rsid w:val="00B3067E"/>
    <w:rsid w:val="00B30743"/>
    <w:rsid w:val="00B30920"/>
    <w:rsid w:val="00B30A7D"/>
    <w:rsid w:val="00B30D13"/>
    <w:rsid w:val="00B31588"/>
    <w:rsid w:val="00B315B1"/>
    <w:rsid w:val="00B31996"/>
    <w:rsid w:val="00B31C1A"/>
    <w:rsid w:val="00B31CA5"/>
    <w:rsid w:val="00B324BD"/>
    <w:rsid w:val="00B324D3"/>
    <w:rsid w:val="00B33194"/>
    <w:rsid w:val="00B331C3"/>
    <w:rsid w:val="00B33277"/>
    <w:rsid w:val="00B33421"/>
    <w:rsid w:val="00B33545"/>
    <w:rsid w:val="00B338FA"/>
    <w:rsid w:val="00B3422A"/>
    <w:rsid w:val="00B34377"/>
    <w:rsid w:val="00B3445D"/>
    <w:rsid w:val="00B34C1B"/>
    <w:rsid w:val="00B34D55"/>
    <w:rsid w:val="00B34F07"/>
    <w:rsid w:val="00B353C9"/>
    <w:rsid w:val="00B3569D"/>
    <w:rsid w:val="00B3594E"/>
    <w:rsid w:val="00B35A9A"/>
    <w:rsid w:val="00B36350"/>
    <w:rsid w:val="00B36570"/>
    <w:rsid w:val="00B36596"/>
    <w:rsid w:val="00B366E6"/>
    <w:rsid w:val="00B367F5"/>
    <w:rsid w:val="00B36B1C"/>
    <w:rsid w:val="00B36DB5"/>
    <w:rsid w:val="00B372B2"/>
    <w:rsid w:val="00B37485"/>
    <w:rsid w:val="00B37AA5"/>
    <w:rsid w:val="00B37F7F"/>
    <w:rsid w:val="00B37FA9"/>
    <w:rsid w:val="00B4096E"/>
    <w:rsid w:val="00B40B6D"/>
    <w:rsid w:val="00B40D02"/>
    <w:rsid w:val="00B40EC3"/>
    <w:rsid w:val="00B4112B"/>
    <w:rsid w:val="00B412CB"/>
    <w:rsid w:val="00B416BC"/>
    <w:rsid w:val="00B4176C"/>
    <w:rsid w:val="00B41BE9"/>
    <w:rsid w:val="00B41CBC"/>
    <w:rsid w:val="00B421B5"/>
    <w:rsid w:val="00B42BB6"/>
    <w:rsid w:val="00B42ED4"/>
    <w:rsid w:val="00B42F5D"/>
    <w:rsid w:val="00B438B0"/>
    <w:rsid w:val="00B43A09"/>
    <w:rsid w:val="00B43C9C"/>
    <w:rsid w:val="00B440AA"/>
    <w:rsid w:val="00B44D68"/>
    <w:rsid w:val="00B450B3"/>
    <w:rsid w:val="00B452C2"/>
    <w:rsid w:val="00B45AD9"/>
    <w:rsid w:val="00B46471"/>
    <w:rsid w:val="00B46A19"/>
    <w:rsid w:val="00B46CDE"/>
    <w:rsid w:val="00B472BF"/>
    <w:rsid w:val="00B473AD"/>
    <w:rsid w:val="00B473D1"/>
    <w:rsid w:val="00B47A22"/>
    <w:rsid w:val="00B5057E"/>
    <w:rsid w:val="00B516BF"/>
    <w:rsid w:val="00B518C1"/>
    <w:rsid w:val="00B51A91"/>
    <w:rsid w:val="00B51DC0"/>
    <w:rsid w:val="00B51DCC"/>
    <w:rsid w:val="00B521CE"/>
    <w:rsid w:val="00B523DC"/>
    <w:rsid w:val="00B52429"/>
    <w:rsid w:val="00B532B8"/>
    <w:rsid w:val="00B533C0"/>
    <w:rsid w:val="00B5360D"/>
    <w:rsid w:val="00B538AE"/>
    <w:rsid w:val="00B545BE"/>
    <w:rsid w:val="00B548F9"/>
    <w:rsid w:val="00B54AE2"/>
    <w:rsid w:val="00B55C51"/>
    <w:rsid w:val="00B55E4C"/>
    <w:rsid w:val="00B5601D"/>
    <w:rsid w:val="00B56A93"/>
    <w:rsid w:val="00B56BDF"/>
    <w:rsid w:val="00B56D24"/>
    <w:rsid w:val="00B57609"/>
    <w:rsid w:val="00B5763A"/>
    <w:rsid w:val="00B57793"/>
    <w:rsid w:val="00B578DB"/>
    <w:rsid w:val="00B578DD"/>
    <w:rsid w:val="00B57B0B"/>
    <w:rsid w:val="00B603E5"/>
    <w:rsid w:val="00B605B1"/>
    <w:rsid w:val="00B609EB"/>
    <w:rsid w:val="00B612EF"/>
    <w:rsid w:val="00B61B9C"/>
    <w:rsid w:val="00B61ED7"/>
    <w:rsid w:val="00B6227F"/>
    <w:rsid w:val="00B625BC"/>
    <w:rsid w:val="00B6289C"/>
    <w:rsid w:val="00B62F7F"/>
    <w:rsid w:val="00B63499"/>
    <w:rsid w:val="00B63565"/>
    <w:rsid w:val="00B63836"/>
    <w:rsid w:val="00B638C0"/>
    <w:rsid w:val="00B6402F"/>
    <w:rsid w:val="00B65820"/>
    <w:rsid w:val="00B6592B"/>
    <w:rsid w:val="00B65BB0"/>
    <w:rsid w:val="00B6637D"/>
    <w:rsid w:val="00B667AE"/>
    <w:rsid w:val="00B67500"/>
    <w:rsid w:val="00B6770E"/>
    <w:rsid w:val="00B67767"/>
    <w:rsid w:val="00B67C2E"/>
    <w:rsid w:val="00B67D8D"/>
    <w:rsid w:val="00B7028C"/>
    <w:rsid w:val="00B702F7"/>
    <w:rsid w:val="00B70615"/>
    <w:rsid w:val="00B70E51"/>
    <w:rsid w:val="00B70F3D"/>
    <w:rsid w:val="00B71117"/>
    <w:rsid w:val="00B711B6"/>
    <w:rsid w:val="00B71A41"/>
    <w:rsid w:val="00B71C4A"/>
    <w:rsid w:val="00B71C95"/>
    <w:rsid w:val="00B71E91"/>
    <w:rsid w:val="00B71F04"/>
    <w:rsid w:val="00B72B20"/>
    <w:rsid w:val="00B73778"/>
    <w:rsid w:val="00B739A1"/>
    <w:rsid w:val="00B73C06"/>
    <w:rsid w:val="00B73D44"/>
    <w:rsid w:val="00B73F34"/>
    <w:rsid w:val="00B7482E"/>
    <w:rsid w:val="00B74884"/>
    <w:rsid w:val="00B74E25"/>
    <w:rsid w:val="00B751A2"/>
    <w:rsid w:val="00B7627A"/>
    <w:rsid w:val="00B766C6"/>
    <w:rsid w:val="00B768C9"/>
    <w:rsid w:val="00B76F20"/>
    <w:rsid w:val="00B7786E"/>
    <w:rsid w:val="00B77D0E"/>
    <w:rsid w:val="00B77FBA"/>
    <w:rsid w:val="00B8010B"/>
    <w:rsid w:val="00B80698"/>
    <w:rsid w:val="00B80D7C"/>
    <w:rsid w:val="00B814D9"/>
    <w:rsid w:val="00B81635"/>
    <w:rsid w:val="00B81926"/>
    <w:rsid w:val="00B81D55"/>
    <w:rsid w:val="00B824D8"/>
    <w:rsid w:val="00B82539"/>
    <w:rsid w:val="00B828B2"/>
    <w:rsid w:val="00B82E1E"/>
    <w:rsid w:val="00B832BF"/>
    <w:rsid w:val="00B83778"/>
    <w:rsid w:val="00B83A53"/>
    <w:rsid w:val="00B83D1B"/>
    <w:rsid w:val="00B83F5A"/>
    <w:rsid w:val="00B83F5C"/>
    <w:rsid w:val="00B84316"/>
    <w:rsid w:val="00B8435A"/>
    <w:rsid w:val="00B84419"/>
    <w:rsid w:val="00B844EC"/>
    <w:rsid w:val="00B84745"/>
    <w:rsid w:val="00B848AE"/>
    <w:rsid w:val="00B84BA6"/>
    <w:rsid w:val="00B84C32"/>
    <w:rsid w:val="00B84E67"/>
    <w:rsid w:val="00B850B9"/>
    <w:rsid w:val="00B850E4"/>
    <w:rsid w:val="00B85190"/>
    <w:rsid w:val="00B8568D"/>
    <w:rsid w:val="00B85ECF"/>
    <w:rsid w:val="00B86295"/>
    <w:rsid w:val="00B865AD"/>
    <w:rsid w:val="00B866D9"/>
    <w:rsid w:val="00B86F50"/>
    <w:rsid w:val="00B873EC"/>
    <w:rsid w:val="00B87AA0"/>
    <w:rsid w:val="00B87FAD"/>
    <w:rsid w:val="00B9007D"/>
    <w:rsid w:val="00B904B9"/>
    <w:rsid w:val="00B90528"/>
    <w:rsid w:val="00B90890"/>
    <w:rsid w:val="00B90894"/>
    <w:rsid w:val="00B90C50"/>
    <w:rsid w:val="00B91CC9"/>
    <w:rsid w:val="00B91D27"/>
    <w:rsid w:val="00B91F62"/>
    <w:rsid w:val="00B920DD"/>
    <w:rsid w:val="00B927FE"/>
    <w:rsid w:val="00B92A14"/>
    <w:rsid w:val="00B92C42"/>
    <w:rsid w:val="00B933C5"/>
    <w:rsid w:val="00B933F6"/>
    <w:rsid w:val="00B93E60"/>
    <w:rsid w:val="00B94A07"/>
    <w:rsid w:val="00B94F99"/>
    <w:rsid w:val="00B94F9F"/>
    <w:rsid w:val="00B94FAC"/>
    <w:rsid w:val="00B94FBE"/>
    <w:rsid w:val="00B95412"/>
    <w:rsid w:val="00B96248"/>
    <w:rsid w:val="00B972ED"/>
    <w:rsid w:val="00B97F73"/>
    <w:rsid w:val="00BA074C"/>
    <w:rsid w:val="00BA09DB"/>
    <w:rsid w:val="00BA0E63"/>
    <w:rsid w:val="00BA148C"/>
    <w:rsid w:val="00BA17BD"/>
    <w:rsid w:val="00BA18F0"/>
    <w:rsid w:val="00BA2E28"/>
    <w:rsid w:val="00BA3E4F"/>
    <w:rsid w:val="00BA3E82"/>
    <w:rsid w:val="00BA3FB9"/>
    <w:rsid w:val="00BA4425"/>
    <w:rsid w:val="00BA52ED"/>
    <w:rsid w:val="00BA5A78"/>
    <w:rsid w:val="00BA5DE7"/>
    <w:rsid w:val="00BA5DFD"/>
    <w:rsid w:val="00BA6DCA"/>
    <w:rsid w:val="00BA6EF0"/>
    <w:rsid w:val="00BA6F6C"/>
    <w:rsid w:val="00BA7280"/>
    <w:rsid w:val="00BA72D3"/>
    <w:rsid w:val="00BA74FD"/>
    <w:rsid w:val="00BB0020"/>
    <w:rsid w:val="00BB025B"/>
    <w:rsid w:val="00BB02B7"/>
    <w:rsid w:val="00BB073A"/>
    <w:rsid w:val="00BB098F"/>
    <w:rsid w:val="00BB0CD7"/>
    <w:rsid w:val="00BB13B4"/>
    <w:rsid w:val="00BB1B54"/>
    <w:rsid w:val="00BB1DE4"/>
    <w:rsid w:val="00BB221A"/>
    <w:rsid w:val="00BB227A"/>
    <w:rsid w:val="00BB2C0D"/>
    <w:rsid w:val="00BB2F43"/>
    <w:rsid w:val="00BB2F9E"/>
    <w:rsid w:val="00BB30B9"/>
    <w:rsid w:val="00BB3846"/>
    <w:rsid w:val="00BB3B4D"/>
    <w:rsid w:val="00BB3C4E"/>
    <w:rsid w:val="00BB3C5D"/>
    <w:rsid w:val="00BB3C6D"/>
    <w:rsid w:val="00BB3CA6"/>
    <w:rsid w:val="00BB4160"/>
    <w:rsid w:val="00BB4716"/>
    <w:rsid w:val="00BB4B4F"/>
    <w:rsid w:val="00BB52B5"/>
    <w:rsid w:val="00BB5A2A"/>
    <w:rsid w:val="00BB62D5"/>
    <w:rsid w:val="00BB635A"/>
    <w:rsid w:val="00BB663C"/>
    <w:rsid w:val="00BB6841"/>
    <w:rsid w:val="00BB697F"/>
    <w:rsid w:val="00BB6B59"/>
    <w:rsid w:val="00BB6CB1"/>
    <w:rsid w:val="00BB6EDB"/>
    <w:rsid w:val="00BB6FDE"/>
    <w:rsid w:val="00BB74EB"/>
    <w:rsid w:val="00BC003B"/>
    <w:rsid w:val="00BC0BB0"/>
    <w:rsid w:val="00BC0D0C"/>
    <w:rsid w:val="00BC0E5C"/>
    <w:rsid w:val="00BC11CB"/>
    <w:rsid w:val="00BC1D18"/>
    <w:rsid w:val="00BC210B"/>
    <w:rsid w:val="00BC216E"/>
    <w:rsid w:val="00BC21AE"/>
    <w:rsid w:val="00BC223A"/>
    <w:rsid w:val="00BC2477"/>
    <w:rsid w:val="00BC26F9"/>
    <w:rsid w:val="00BC2F54"/>
    <w:rsid w:val="00BC313A"/>
    <w:rsid w:val="00BC3257"/>
    <w:rsid w:val="00BC3824"/>
    <w:rsid w:val="00BC3AE8"/>
    <w:rsid w:val="00BC3C62"/>
    <w:rsid w:val="00BC41DC"/>
    <w:rsid w:val="00BC4320"/>
    <w:rsid w:val="00BC435E"/>
    <w:rsid w:val="00BC4908"/>
    <w:rsid w:val="00BC4AEF"/>
    <w:rsid w:val="00BC53BF"/>
    <w:rsid w:val="00BC53DD"/>
    <w:rsid w:val="00BC547F"/>
    <w:rsid w:val="00BC57C2"/>
    <w:rsid w:val="00BC5877"/>
    <w:rsid w:val="00BC58CC"/>
    <w:rsid w:val="00BC6AE2"/>
    <w:rsid w:val="00BC6EC3"/>
    <w:rsid w:val="00BC7A78"/>
    <w:rsid w:val="00BC7B7A"/>
    <w:rsid w:val="00BC7B99"/>
    <w:rsid w:val="00BD0552"/>
    <w:rsid w:val="00BD05C3"/>
    <w:rsid w:val="00BD082C"/>
    <w:rsid w:val="00BD0837"/>
    <w:rsid w:val="00BD0921"/>
    <w:rsid w:val="00BD09BD"/>
    <w:rsid w:val="00BD129F"/>
    <w:rsid w:val="00BD1851"/>
    <w:rsid w:val="00BD1D6D"/>
    <w:rsid w:val="00BD2014"/>
    <w:rsid w:val="00BD210C"/>
    <w:rsid w:val="00BD227F"/>
    <w:rsid w:val="00BD26C3"/>
    <w:rsid w:val="00BD2D64"/>
    <w:rsid w:val="00BD2EEA"/>
    <w:rsid w:val="00BD2F43"/>
    <w:rsid w:val="00BD3C68"/>
    <w:rsid w:val="00BD3CAB"/>
    <w:rsid w:val="00BD3E62"/>
    <w:rsid w:val="00BD3E69"/>
    <w:rsid w:val="00BD3F23"/>
    <w:rsid w:val="00BD54B7"/>
    <w:rsid w:val="00BD5E93"/>
    <w:rsid w:val="00BD6B29"/>
    <w:rsid w:val="00BD7511"/>
    <w:rsid w:val="00BD7F2E"/>
    <w:rsid w:val="00BD7F81"/>
    <w:rsid w:val="00BE006B"/>
    <w:rsid w:val="00BE010F"/>
    <w:rsid w:val="00BE0868"/>
    <w:rsid w:val="00BE0889"/>
    <w:rsid w:val="00BE09BE"/>
    <w:rsid w:val="00BE0B18"/>
    <w:rsid w:val="00BE1104"/>
    <w:rsid w:val="00BE1360"/>
    <w:rsid w:val="00BE1B40"/>
    <w:rsid w:val="00BE1C64"/>
    <w:rsid w:val="00BE1F27"/>
    <w:rsid w:val="00BE2E3B"/>
    <w:rsid w:val="00BE2FE6"/>
    <w:rsid w:val="00BE3047"/>
    <w:rsid w:val="00BE3125"/>
    <w:rsid w:val="00BE3AF5"/>
    <w:rsid w:val="00BE3E35"/>
    <w:rsid w:val="00BE3E66"/>
    <w:rsid w:val="00BE3F5D"/>
    <w:rsid w:val="00BE4031"/>
    <w:rsid w:val="00BE4985"/>
    <w:rsid w:val="00BE4990"/>
    <w:rsid w:val="00BE4AF0"/>
    <w:rsid w:val="00BE526B"/>
    <w:rsid w:val="00BE55A8"/>
    <w:rsid w:val="00BE579D"/>
    <w:rsid w:val="00BE58C4"/>
    <w:rsid w:val="00BE58C7"/>
    <w:rsid w:val="00BE5A4F"/>
    <w:rsid w:val="00BE5B84"/>
    <w:rsid w:val="00BE62E8"/>
    <w:rsid w:val="00BE6333"/>
    <w:rsid w:val="00BE6770"/>
    <w:rsid w:val="00BE6984"/>
    <w:rsid w:val="00BE6A0C"/>
    <w:rsid w:val="00BE6A19"/>
    <w:rsid w:val="00BE7046"/>
    <w:rsid w:val="00BE73BA"/>
    <w:rsid w:val="00BE7EC8"/>
    <w:rsid w:val="00BF02DE"/>
    <w:rsid w:val="00BF03D0"/>
    <w:rsid w:val="00BF06B2"/>
    <w:rsid w:val="00BF09F1"/>
    <w:rsid w:val="00BF0D15"/>
    <w:rsid w:val="00BF0EBB"/>
    <w:rsid w:val="00BF2343"/>
    <w:rsid w:val="00BF2707"/>
    <w:rsid w:val="00BF2D9A"/>
    <w:rsid w:val="00BF2F30"/>
    <w:rsid w:val="00BF2F9E"/>
    <w:rsid w:val="00BF3031"/>
    <w:rsid w:val="00BF30EF"/>
    <w:rsid w:val="00BF31A0"/>
    <w:rsid w:val="00BF3488"/>
    <w:rsid w:val="00BF3D1C"/>
    <w:rsid w:val="00BF3FAA"/>
    <w:rsid w:val="00BF43D1"/>
    <w:rsid w:val="00BF4656"/>
    <w:rsid w:val="00BF4737"/>
    <w:rsid w:val="00BF488E"/>
    <w:rsid w:val="00BF4AD0"/>
    <w:rsid w:val="00BF4FD7"/>
    <w:rsid w:val="00BF508F"/>
    <w:rsid w:val="00BF51F7"/>
    <w:rsid w:val="00BF6097"/>
    <w:rsid w:val="00BF632D"/>
    <w:rsid w:val="00BF6A51"/>
    <w:rsid w:val="00BF7593"/>
    <w:rsid w:val="00BF78D5"/>
    <w:rsid w:val="00BF7925"/>
    <w:rsid w:val="00BF799B"/>
    <w:rsid w:val="00BF79E1"/>
    <w:rsid w:val="00BF7D37"/>
    <w:rsid w:val="00C00975"/>
    <w:rsid w:val="00C00E54"/>
    <w:rsid w:val="00C00F10"/>
    <w:rsid w:val="00C010DE"/>
    <w:rsid w:val="00C01344"/>
    <w:rsid w:val="00C017F4"/>
    <w:rsid w:val="00C01B3A"/>
    <w:rsid w:val="00C01C1D"/>
    <w:rsid w:val="00C02858"/>
    <w:rsid w:val="00C02CF6"/>
    <w:rsid w:val="00C02DF3"/>
    <w:rsid w:val="00C0345B"/>
    <w:rsid w:val="00C0345F"/>
    <w:rsid w:val="00C03715"/>
    <w:rsid w:val="00C03884"/>
    <w:rsid w:val="00C038E2"/>
    <w:rsid w:val="00C03A1E"/>
    <w:rsid w:val="00C03C51"/>
    <w:rsid w:val="00C03CD8"/>
    <w:rsid w:val="00C03E4F"/>
    <w:rsid w:val="00C040C8"/>
    <w:rsid w:val="00C04552"/>
    <w:rsid w:val="00C045E8"/>
    <w:rsid w:val="00C0488E"/>
    <w:rsid w:val="00C04ABD"/>
    <w:rsid w:val="00C04BC5"/>
    <w:rsid w:val="00C04EA7"/>
    <w:rsid w:val="00C04F7E"/>
    <w:rsid w:val="00C05453"/>
    <w:rsid w:val="00C054A7"/>
    <w:rsid w:val="00C056D1"/>
    <w:rsid w:val="00C05CD7"/>
    <w:rsid w:val="00C06260"/>
    <w:rsid w:val="00C062E9"/>
    <w:rsid w:val="00C06312"/>
    <w:rsid w:val="00C067F4"/>
    <w:rsid w:val="00C06810"/>
    <w:rsid w:val="00C06840"/>
    <w:rsid w:val="00C06F75"/>
    <w:rsid w:val="00C070AE"/>
    <w:rsid w:val="00C070D8"/>
    <w:rsid w:val="00C075EF"/>
    <w:rsid w:val="00C0764C"/>
    <w:rsid w:val="00C07888"/>
    <w:rsid w:val="00C07D9F"/>
    <w:rsid w:val="00C07F1D"/>
    <w:rsid w:val="00C1052B"/>
    <w:rsid w:val="00C10E78"/>
    <w:rsid w:val="00C11ADB"/>
    <w:rsid w:val="00C11CC9"/>
    <w:rsid w:val="00C120DB"/>
    <w:rsid w:val="00C12307"/>
    <w:rsid w:val="00C1276D"/>
    <w:rsid w:val="00C12F1C"/>
    <w:rsid w:val="00C1354C"/>
    <w:rsid w:val="00C137C2"/>
    <w:rsid w:val="00C139B1"/>
    <w:rsid w:val="00C13A40"/>
    <w:rsid w:val="00C13A84"/>
    <w:rsid w:val="00C13DF4"/>
    <w:rsid w:val="00C13E57"/>
    <w:rsid w:val="00C14206"/>
    <w:rsid w:val="00C14A41"/>
    <w:rsid w:val="00C1511B"/>
    <w:rsid w:val="00C15144"/>
    <w:rsid w:val="00C154CB"/>
    <w:rsid w:val="00C15668"/>
    <w:rsid w:val="00C1582E"/>
    <w:rsid w:val="00C15938"/>
    <w:rsid w:val="00C15AA1"/>
    <w:rsid w:val="00C15F31"/>
    <w:rsid w:val="00C16080"/>
    <w:rsid w:val="00C16306"/>
    <w:rsid w:val="00C1639E"/>
    <w:rsid w:val="00C166F8"/>
    <w:rsid w:val="00C16AC1"/>
    <w:rsid w:val="00C173C5"/>
    <w:rsid w:val="00C1790A"/>
    <w:rsid w:val="00C2084A"/>
    <w:rsid w:val="00C20B9A"/>
    <w:rsid w:val="00C2132A"/>
    <w:rsid w:val="00C2168B"/>
    <w:rsid w:val="00C21821"/>
    <w:rsid w:val="00C21C0D"/>
    <w:rsid w:val="00C21E6D"/>
    <w:rsid w:val="00C21EAD"/>
    <w:rsid w:val="00C2216B"/>
    <w:rsid w:val="00C227CD"/>
    <w:rsid w:val="00C22DDE"/>
    <w:rsid w:val="00C2306A"/>
    <w:rsid w:val="00C23099"/>
    <w:rsid w:val="00C2317E"/>
    <w:rsid w:val="00C23236"/>
    <w:rsid w:val="00C235BA"/>
    <w:rsid w:val="00C23A3F"/>
    <w:rsid w:val="00C23C68"/>
    <w:rsid w:val="00C241A8"/>
    <w:rsid w:val="00C2454E"/>
    <w:rsid w:val="00C24657"/>
    <w:rsid w:val="00C24A6E"/>
    <w:rsid w:val="00C251BA"/>
    <w:rsid w:val="00C25350"/>
    <w:rsid w:val="00C26073"/>
    <w:rsid w:val="00C26850"/>
    <w:rsid w:val="00C27219"/>
    <w:rsid w:val="00C27414"/>
    <w:rsid w:val="00C274B3"/>
    <w:rsid w:val="00C27A04"/>
    <w:rsid w:val="00C27A75"/>
    <w:rsid w:val="00C27CD9"/>
    <w:rsid w:val="00C30095"/>
    <w:rsid w:val="00C30869"/>
    <w:rsid w:val="00C31150"/>
    <w:rsid w:val="00C31290"/>
    <w:rsid w:val="00C3135A"/>
    <w:rsid w:val="00C31367"/>
    <w:rsid w:val="00C3208E"/>
    <w:rsid w:val="00C320E8"/>
    <w:rsid w:val="00C32704"/>
    <w:rsid w:val="00C3279B"/>
    <w:rsid w:val="00C3287F"/>
    <w:rsid w:val="00C32A2D"/>
    <w:rsid w:val="00C32EDA"/>
    <w:rsid w:val="00C33611"/>
    <w:rsid w:val="00C34059"/>
    <w:rsid w:val="00C34145"/>
    <w:rsid w:val="00C344EB"/>
    <w:rsid w:val="00C344EF"/>
    <w:rsid w:val="00C34CC5"/>
    <w:rsid w:val="00C35100"/>
    <w:rsid w:val="00C35223"/>
    <w:rsid w:val="00C35265"/>
    <w:rsid w:val="00C35482"/>
    <w:rsid w:val="00C35556"/>
    <w:rsid w:val="00C35742"/>
    <w:rsid w:val="00C357A6"/>
    <w:rsid w:val="00C35A14"/>
    <w:rsid w:val="00C35AB0"/>
    <w:rsid w:val="00C35B9B"/>
    <w:rsid w:val="00C3632A"/>
    <w:rsid w:val="00C36564"/>
    <w:rsid w:val="00C36744"/>
    <w:rsid w:val="00C368D4"/>
    <w:rsid w:val="00C36A24"/>
    <w:rsid w:val="00C36AB0"/>
    <w:rsid w:val="00C36C06"/>
    <w:rsid w:val="00C36DBA"/>
    <w:rsid w:val="00C3721D"/>
    <w:rsid w:val="00C37283"/>
    <w:rsid w:val="00C37553"/>
    <w:rsid w:val="00C3787F"/>
    <w:rsid w:val="00C37B9A"/>
    <w:rsid w:val="00C37E20"/>
    <w:rsid w:val="00C37F92"/>
    <w:rsid w:val="00C401B2"/>
    <w:rsid w:val="00C40527"/>
    <w:rsid w:val="00C40B98"/>
    <w:rsid w:val="00C40CAA"/>
    <w:rsid w:val="00C40D07"/>
    <w:rsid w:val="00C4104A"/>
    <w:rsid w:val="00C4168F"/>
    <w:rsid w:val="00C417C1"/>
    <w:rsid w:val="00C41FC2"/>
    <w:rsid w:val="00C422A8"/>
    <w:rsid w:val="00C423D7"/>
    <w:rsid w:val="00C4299D"/>
    <w:rsid w:val="00C43721"/>
    <w:rsid w:val="00C43F41"/>
    <w:rsid w:val="00C444B1"/>
    <w:rsid w:val="00C44AC1"/>
    <w:rsid w:val="00C44B66"/>
    <w:rsid w:val="00C44B80"/>
    <w:rsid w:val="00C44F1E"/>
    <w:rsid w:val="00C44F52"/>
    <w:rsid w:val="00C45060"/>
    <w:rsid w:val="00C45745"/>
    <w:rsid w:val="00C45F03"/>
    <w:rsid w:val="00C4676D"/>
    <w:rsid w:val="00C467F7"/>
    <w:rsid w:val="00C46D08"/>
    <w:rsid w:val="00C471FF"/>
    <w:rsid w:val="00C4745E"/>
    <w:rsid w:val="00C4799C"/>
    <w:rsid w:val="00C47B0A"/>
    <w:rsid w:val="00C50C78"/>
    <w:rsid w:val="00C50D26"/>
    <w:rsid w:val="00C50D28"/>
    <w:rsid w:val="00C50F96"/>
    <w:rsid w:val="00C50FD5"/>
    <w:rsid w:val="00C51508"/>
    <w:rsid w:val="00C51616"/>
    <w:rsid w:val="00C51879"/>
    <w:rsid w:val="00C51EF2"/>
    <w:rsid w:val="00C522E8"/>
    <w:rsid w:val="00C523AF"/>
    <w:rsid w:val="00C523D3"/>
    <w:rsid w:val="00C52698"/>
    <w:rsid w:val="00C52CD5"/>
    <w:rsid w:val="00C52E77"/>
    <w:rsid w:val="00C52EA4"/>
    <w:rsid w:val="00C538C6"/>
    <w:rsid w:val="00C540BC"/>
    <w:rsid w:val="00C5415A"/>
    <w:rsid w:val="00C54189"/>
    <w:rsid w:val="00C54A52"/>
    <w:rsid w:val="00C55261"/>
    <w:rsid w:val="00C554A5"/>
    <w:rsid w:val="00C55C56"/>
    <w:rsid w:val="00C5601D"/>
    <w:rsid w:val="00C56044"/>
    <w:rsid w:val="00C5607A"/>
    <w:rsid w:val="00C56152"/>
    <w:rsid w:val="00C56501"/>
    <w:rsid w:val="00C56C0D"/>
    <w:rsid w:val="00C56DBC"/>
    <w:rsid w:val="00C56E2A"/>
    <w:rsid w:val="00C57310"/>
    <w:rsid w:val="00C57440"/>
    <w:rsid w:val="00C57AF7"/>
    <w:rsid w:val="00C57FA5"/>
    <w:rsid w:val="00C60003"/>
    <w:rsid w:val="00C602AE"/>
    <w:rsid w:val="00C603A8"/>
    <w:rsid w:val="00C6040D"/>
    <w:rsid w:val="00C60911"/>
    <w:rsid w:val="00C60B15"/>
    <w:rsid w:val="00C60CBD"/>
    <w:rsid w:val="00C6145B"/>
    <w:rsid w:val="00C61994"/>
    <w:rsid w:val="00C61BA0"/>
    <w:rsid w:val="00C61CA8"/>
    <w:rsid w:val="00C61DBD"/>
    <w:rsid w:val="00C61F8C"/>
    <w:rsid w:val="00C620D9"/>
    <w:rsid w:val="00C621B6"/>
    <w:rsid w:val="00C6262D"/>
    <w:rsid w:val="00C6267F"/>
    <w:rsid w:val="00C62BEF"/>
    <w:rsid w:val="00C62C9C"/>
    <w:rsid w:val="00C62DCA"/>
    <w:rsid w:val="00C62F18"/>
    <w:rsid w:val="00C631C9"/>
    <w:rsid w:val="00C632FE"/>
    <w:rsid w:val="00C63C1E"/>
    <w:rsid w:val="00C64584"/>
    <w:rsid w:val="00C64847"/>
    <w:rsid w:val="00C64B80"/>
    <w:rsid w:val="00C6555D"/>
    <w:rsid w:val="00C65914"/>
    <w:rsid w:val="00C65CEE"/>
    <w:rsid w:val="00C65DF5"/>
    <w:rsid w:val="00C66120"/>
    <w:rsid w:val="00C66616"/>
    <w:rsid w:val="00C6674F"/>
    <w:rsid w:val="00C66BB3"/>
    <w:rsid w:val="00C66C5E"/>
    <w:rsid w:val="00C66CCD"/>
    <w:rsid w:val="00C67442"/>
    <w:rsid w:val="00C6746A"/>
    <w:rsid w:val="00C67772"/>
    <w:rsid w:val="00C67E16"/>
    <w:rsid w:val="00C70997"/>
    <w:rsid w:val="00C70EC1"/>
    <w:rsid w:val="00C70FFA"/>
    <w:rsid w:val="00C71531"/>
    <w:rsid w:val="00C7188D"/>
    <w:rsid w:val="00C71D47"/>
    <w:rsid w:val="00C71E4D"/>
    <w:rsid w:val="00C71FDD"/>
    <w:rsid w:val="00C7211F"/>
    <w:rsid w:val="00C72479"/>
    <w:rsid w:val="00C724F4"/>
    <w:rsid w:val="00C7291D"/>
    <w:rsid w:val="00C732AA"/>
    <w:rsid w:val="00C733F2"/>
    <w:rsid w:val="00C73AA1"/>
    <w:rsid w:val="00C7443F"/>
    <w:rsid w:val="00C7450A"/>
    <w:rsid w:val="00C74757"/>
    <w:rsid w:val="00C750B3"/>
    <w:rsid w:val="00C750F2"/>
    <w:rsid w:val="00C75128"/>
    <w:rsid w:val="00C7594A"/>
    <w:rsid w:val="00C75995"/>
    <w:rsid w:val="00C76076"/>
    <w:rsid w:val="00C7640F"/>
    <w:rsid w:val="00C7675E"/>
    <w:rsid w:val="00C76765"/>
    <w:rsid w:val="00C76AB9"/>
    <w:rsid w:val="00C77225"/>
    <w:rsid w:val="00C77291"/>
    <w:rsid w:val="00C77CC1"/>
    <w:rsid w:val="00C80031"/>
    <w:rsid w:val="00C80156"/>
    <w:rsid w:val="00C8028C"/>
    <w:rsid w:val="00C80349"/>
    <w:rsid w:val="00C803DE"/>
    <w:rsid w:val="00C80418"/>
    <w:rsid w:val="00C80C9A"/>
    <w:rsid w:val="00C81196"/>
    <w:rsid w:val="00C81326"/>
    <w:rsid w:val="00C816BC"/>
    <w:rsid w:val="00C8240E"/>
    <w:rsid w:val="00C82BF0"/>
    <w:rsid w:val="00C834FA"/>
    <w:rsid w:val="00C835F6"/>
    <w:rsid w:val="00C837A8"/>
    <w:rsid w:val="00C84939"/>
    <w:rsid w:val="00C849C1"/>
    <w:rsid w:val="00C84A40"/>
    <w:rsid w:val="00C84B44"/>
    <w:rsid w:val="00C84D5C"/>
    <w:rsid w:val="00C851CE"/>
    <w:rsid w:val="00C852DA"/>
    <w:rsid w:val="00C8548F"/>
    <w:rsid w:val="00C85D7F"/>
    <w:rsid w:val="00C8667C"/>
    <w:rsid w:val="00C86B38"/>
    <w:rsid w:val="00C86DBD"/>
    <w:rsid w:val="00C86E83"/>
    <w:rsid w:val="00C86E96"/>
    <w:rsid w:val="00C86F8A"/>
    <w:rsid w:val="00C8734B"/>
    <w:rsid w:val="00C873B8"/>
    <w:rsid w:val="00C87C0C"/>
    <w:rsid w:val="00C900EB"/>
    <w:rsid w:val="00C90D74"/>
    <w:rsid w:val="00C90FC2"/>
    <w:rsid w:val="00C91328"/>
    <w:rsid w:val="00C913A0"/>
    <w:rsid w:val="00C914F5"/>
    <w:rsid w:val="00C916E4"/>
    <w:rsid w:val="00C91700"/>
    <w:rsid w:val="00C922B4"/>
    <w:rsid w:val="00C9230F"/>
    <w:rsid w:val="00C92396"/>
    <w:rsid w:val="00C9267C"/>
    <w:rsid w:val="00C9292C"/>
    <w:rsid w:val="00C92AF9"/>
    <w:rsid w:val="00C92B44"/>
    <w:rsid w:val="00C92DC9"/>
    <w:rsid w:val="00C930D3"/>
    <w:rsid w:val="00C931AE"/>
    <w:rsid w:val="00C93626"/>
    <w:rsid w:val="00C9426C"/>
    <w:rsid w:val="00C94610"/>
    <w:rsid w:val="00C9495E"/>
    <w:rsid w:val="00C94CF0"/>
    <w:rsid w:val="00C94F0A"/>
    <w:rsid w:val="00C95143"/>
    <w:rsid w:val="00C951D3"/>
    <w:rsid w:val="00C9537A"/>
    <w:rsid w:val="00C95432"/>
    <w:rsid w:val="00C95DCB"/>
    <w:rsid w:val="00C96DE8"/>
    <w:rsid w:val="00C96DEA"/>
    <w:rsid w:val="00C9704B"/>
    <w:rsid w:val="00C977A4"/>
    <w:rsid w:val="00C97A75"/>
    <w:rsid w:val="00C97B4F"/>
    <w:rsid w:val="00C97D61"/>
    <w:rsid w:val="00C97F96"/>
    <w:rsid w:val="00CA01D5"/>
    <w:rsid w:val="00CA0324"/>
    <w:rsid w:val="00CA03CB"/>
    <w:rsid w:val="00CA1088"/>
    <w:rsid w:val="00CA12E0"/>
    <w:rsid w:val="00CA1CEB"/>
    <w:rsid w:val="00CA1FF3"/>
    <w:rsid w:val="00CA2A0E"/>
    <w:rsid w:val="00CA2C20"/>
    <w:rsid w:val="00CA315F"/>
    <w:rsid w:val="00CA3654"/>
    <w:rsid w:val="00CA3B6A"/>
    <w:rsid w:val="00CA3D29"/>
    <w:rsid w:val="00CA4CA4"/>
    <w:rsid w:val="00CA4FA0"/>
    <w:rsid w:val="00CA50C7"/>
    <w:rsid w:val="00CA5BE6"/>
    <w:rsid w:val="00CA5CDD"/>
    <w:rsid w:val="00CA5D98"/>
    <w:rsid w:val="00CA6189"/>
    <w:rsid w:val="00CA6886"/>
    <w:rsid w:val="00CA723B"/>
    <w:rsid w:val="00CA7485"/>
    <w:rsid w:val="00CA777C"/>
    <w:rsid w:val="00CA7DD0"/>
    <w:rsid w:val="00CA7E93"/>
    <w:rsid w:val="00CA7F5C"/>
    <w:rsid w:val="00CB011C"/>
    <w:rsid w:val="00CB0248"/>
    <w:rsid w:val="00CB041D"/>
    <w:rsid w:val="00CB0560"/>
    <w:rsid w:val="00CB07C9"/>
    <w:rsid w:val="00CB0874"/>
    <w:rsid w:val="00CB0D92"/>
    <w:rsid w:val="00CB0E97"/>
    <w:rsid w:val="00CB0F15"/>
    <w:rsid w:val="00CB1301"/>
    <w:rsid w:val="00CB15B5"/>
    <w:rsid w:val="00CB16E0"/>
    <w:rsid w:val="00CB1ECD"/>
    <w:rsid w:val="00CB351C"/>
    <w:rsid w:val="00CB40D8"/>
    <w:rsid w:val="00CB4445"/>
    <w:rsid w:val="00CB4B60"/>
    <w:rsid w:val="00CB4C26"/>
    <w:rsid w:val="00CB4CAA"/>
    <w:rsid w:val="00CB4D8F"/>
    <w:rsid w:val="00CB4F5B"/>
    <w:rsid w:val="00CB5757"/>
    <w:rsid w:val="00CB576C"/>
    <w:rsid w:val="00CB5E2E"/>
    <w:rsid w:val="00CB6315"/>
    <w:rsid w:val="00CB64B7"/>
    <w:rsid w:val="00CB66F3"/>
    <w:rsid w:val="00CB6886"/>
    <w:rsid w:val="00CB6D7F"/>
    <w:rsid w:val="00CB757C"/>
    <w:rsid w:val="00CB758D"/>
    <w:rsid w:val="00CB759D"/>
    <w:rsid w:val="00CB7614"/>
    <w:rsid w:val="00CB7B69"/>
    <w:rsid w:val="00CB7E64"/>
    <w:rsid w:val="00CC01B4"/>
    <w:rsid w:val="00CC040F"/>
    <w:rsid w:val="00CC04DF"/>
    <w:rsid w:val="00CC0501"/>
    <w:rsid w:val="00CC104F"/>
    <w:rsid w:val="00CC1154"/>
    <w:rsid w:val="00CC11E1"/>
    <w:rsid w:val="00CC143D"/>
    <w:rsid w:val="00CC14D4"/>
    <w:rsid w:val="00CC1F52"/>
    <w:rsid w:val="00CC222A"/>
    <w:rsid w:val="00CC2ADA"/>
    <w:rsid w:val="00CC2C70"/>
    <w:rsid w:val="00CC2D0A"/>
    <w:rsid w:val="00CC30DA"/>
    <w:rsid w:val="00CC34CD"/>
    <w:rsid w:val="00CC3AC9"/>
    <w:rsid w:val="00CC3B2A"/>
    <w:rsid w:val="00CC3B4B"/>
    <w:rsid w:val="00CC3E1F"/>
    <w:rsid w:val="00CC3F32"/>
    <w:rsid w:val="00CC4254"/>
    <w:rsid w:val="00CC45B8"/>
    <w:rsid w:val="00CC5094"/>
    <w:rsid w:val="00CC5157"/>
    <w:rsid w:val="00CC525C"/>
    <w:rsid w:val="00CC53A4"/>
    <w:rsid w:val="00CC581A"/>
    <w:rsid w:val="00CC59FA"/>
    <w:rsid w:val="00CC602A"/>
    <w:rsid w:val="00CC6ADF"/>
    <w:rsid w:val="00CC75B1"/>
    <w:rsid w:val="00CC7621"/>
    <w:rsid w:val="00CC774E"/>
    <w:rsid w:val="00CC792F"/>
    <w:rsid w:val="00CD02B9"/>
    <w:rsid w:val="00CD0953"/>
    <w:rsid w:val="00CD0CE1"/>
    <w:rsid w:val="00CD0DCF"/>
    <w:rsid w:val="00CD12E9"/>
    <w:rsid w:val="00CD15B6"/>
    <w:rsid w:val="00CD16CD"/>
    <w:rsid w:val="00CD177D"/>
    <w:rsid w:val="00CD1B23"/>
    <w:rsid w:val="00CD23F7"/>
    <w:rsid w:val="00CD2C65"/>
    <w:rsid w:val="00CD3624"/>
    <w:rsid w:val="00CD3A34"/>
    <w:rsid w:val="00CD3B9B"/>
    <w:rsid w:val="00CD4031"/>
    <w:rsid w:val="00CD42A4"/>
    <w:rsid w:val="00CD485C"/>
    <w:rsid w:val="00CD4F09"/>
    <w:rsid w:val="00CD54F4"/>
    <w:rsid w:val="00CD58C6"/>
    <w:rsid w:val="00CD59FB"/>
    <w:rsid w:val="00CD5CD8"/>
    <w:rsid w:val="00CD6093"/>
    <w:rsid w:val="00CD66EE"/>
    <w:rsid w:val="00CD6DAF"/>
    <w:rsid w:val="00CD704E"/>
    <w:rsid w:val="00CD7190"/>
    <w:rsid w:val="00CD79AA"/>
    <w:rsid w:val="00CD7B9C"/>
    <w:rsid w:val="00CD7EDD"/>
    <w:rsid w:val="00CE0152"/>
    <w:rsid w:val="00CE026D"/>
    <w:rsid w:val="00CE0631"/>
    <w:rsid w:val="00CE1310"/>
    <w:rsid w:val="00CE1380"/>
    <w:rsid w:val="00CE1E8C"/>
    <w:rsid w:val="00CE1F2B"/>
    <w:rsid w:val="00CE28FF"/>
    <w:rsid w:val="00CE2CA4"/>
    <w:rsid w:val="00CE2FE9"/>
    <w:rsid w:val="00CE32E7"/>
    <w:rsid w:val="00CE34D2"/>
    <w:rsid w:val="00CE391E"/>
    <w:rsid w:val="00CE3A78"/>
    <w:rsid w:val="00CE3A8D"/>
    <w:rsid w:val="00CE45F4"/>
    <w:rsid w:val="00CE4FD9"/>
    <w:rsid w:val="00CE531A"/>
    <w:rsid w:val="00CE531D"/>
    <w:rsid w:val="00CE5D4C"/>
    <w:rsid w:val="00CE62F2"/>
    <w:rsid w:val="00CE657E"/>
    <w:rsid w:val="00CE67EF"/>
    <w:rsid w:val="00CE6FFA"/>
    <w:rsid w:val="00CE719C"/>
    <w:rsid w:val="00CE7256"/>
    <w:rsid w:val="00CE7386"/>
    <w:rsid w:val="00CE740A"/>
    <w:rsid w:val="00CE7B24"/>
    <w:rsid w:val="00CE7C62"/>
    <w:rsid w:val="00CF02FA"/>
    <w:rsid w:val="00CF16D8"/>
    <w:rsid w:val="00CF1E56"/>
    <w:rsid w:val="00CF2459"/>
    <w:rsid w:val="00CF263A"/>
    <w:rsid w:val="00CF2816"/>
    <w:rsid w:val="00CF2AE8"/>
    <w:rsid w:val="00CF2AF9"/>
    <w:rsid w:val="00CF33C6"/>
    <w:rsid w:val="00CF341A"/>
    <w:rsid w:val="00CF3454"/>
    <w:rsid w:val="00CF3638"/>
    <w:rsid w:val="00CF3797"/>
    <w:rsid w:val="00CF3EBD"/>
    <w:rsid w:val="00CF40F9"/>
    <w:rsid w:val="00CF4262"/>
    <w:rsid w:val="00CF42F4"/>
    <w:rsid w:val="00CF4433"/>
    <w:rsid w:val="00CF4481"/>
    <w:rsid w:val="00CF4F9D"/>
    <w:rsid w:val="00CF5028"/>
    <w:rsid w:val="00CF5043"/>
    <w:rsid w:val="00CF50F1"/>
    <w:rsid w:val="00CF6459"/>
    <w:rsid w:val="00CF6766"/>
    <w:rsid w:val="00CF6899"/>
    <w:rsid w:val="00CF6B60"/>
    <w:rsid w:val="00CF7301"/>
    <w:rsid w:val="00D001C9"/>
    <w:rsid w:val="00D016C5"/>
    <w:rsid w:val="00D01968"/>
    <w:rsid w:val="00D025FC"/>
    <w:rsid w:val="00D03677"/>
    <w:rsid w:val="00D039C9"/>
    <w:rsid w:val="00D03C74"/>
    <w:rsid w:val="00D03F07"/>
    <w:rsid w:val="00D04C69"/>
    <w:rsid w:val="00D05450"/>
    <w:rsid w:val="00D05CE3"/>
    <w:rsid w:val="00D05E94"/>
    <w:rsid w:val="00D0635F"/>
    <w:rsid w:val="00D0677A"/>
    <w:rsid w:val="00D069D1"/>
    <w:rsid w:val="00D071F8"/>
    <w:rsid w:val="00D0740B"/>
    <w:rsid w:val="00D07CB6"/>
    <w:rsid w:val="00D07EF9"/>
    <w:rsid w:val="00D106C1"/>
    <w:rsid w:val="00D10921"/>
    <w:rsid w:val="00D10B46"/>
    <w:rsid w:val="00D10C59"/>
    <w:rsid w:val="00D10DF6"/>
    <w:rsid w:val="00D114BF"/>
    <w:rsid w:val="00D11777"/>
    <w:rsid w:val="00D122F2"/>
    <w:rsid w:val="00D12406"/>
    <w:rsid w:val="00D124BA"/>
    <w:rsid w:val="00D12C13"/>
    <w:rsid w:val="00D12CFD"/>
    <w:rsid w:val="00D12ECE"/>
    <w:rsid w:val="00D14106"/>
    <w:rsid w:val="00D143E3"/>
    <w:rsid w:val="00D14911"/>
    <w:rsid w:val="00D14E43"/>
    <w:rsid w:val="00D1521C"/>
    <w:rsid w:val="00D15285"/>
    <w:rsid w:val="00D15960"/>
    <w:rsid w:val="00D15CCE"/>
    <w:rsid w:val="00D15FCC"/>
    <w:rsid w:val="00D162F7"/>
    <w:rsid w:val="00D16A88"/>
    <w:rsid w:val="00D16EDA"/>
    <w:rsid w:val="00D170C4"/>
    <w:rsid w:val="00D17395"/>
    <w:rsid w:val="00D1742F"/>
    <w:rsid w:val="00D177D1"/>
    <w:rsid w:val="00D17900"/>
    <w:rsid w:val="00D179AA"/>
    <w:rsid w:val="00D179D5"/>
    <w:rsid w:val="00D17FD6"/>
    <w:rsid w:val="00D2046E"/>
    <w:rsid w:val="00D205F1"/>
    <w:rsid w:val="00D21892"/>
    <w:rsid w:val="00D21CA2"/>
    <w:rsid w:val="00D21E99"/>
    <w:rsid w:val="00D21F98"/>
    <w:rsid w:val="00D224F9"/>
    <w:rsid w:val="00D225D6"/>
    <w:rsid w:val="00D22BB8"/>
    <w:rsid w:val="00D22F30"/>
    <w:rsid w:val="00D230EB"/>
    <w:rsid w:val="00D23441"/>
    <w:rsid w:val="00D23757"/>
    <w:rsid w:val="00D2379A"/>
    <w:rsid w:val="00D23C1E"/>
    <w:rsid w:val="00D2410D"/>
    <w:rsid w:val="00D24320"/>
    <w:rsid w:val="00D24BCD"/>
    <w:rsid w:val="00D25472"/>
    <w:rsid w:val="00D2549A"/>
    <w:rsid w:val="00D25647"/>
    <w:rsid w:val="00D25B76"/>
    <w:rsid w:val="00D25CA3"/>
    <w:rsid w:val="00D25E3B"/>
    <w:rsid w:val="00D25E73"/>
    <w:rsid w:val="00D26410"/>
    <w:rsid w:val="00D26AD0"/>
    <w:rsid w:val="00D2737B"/>
    <w:rsid w:val="00D2761B"/>
    <w:rsid w:val="00D278D3"/>
    <w:rsid w:val="00D30544"/>
    <w:rsid w:val="00D30700"/>
    <w:rsid w:val="00D30910"/>
    <w:rsid w:val="00D30CE5"/>
    <w:rsid w:val="00D30D2F"/>
    <w:rsid w:val="00D30D3C"/>
    <w:rsid w:val="00D31055"/>
    <w:rsid w:val="00D31239"/>
    <w:rsid w:val="00D31384"/>
    <w:rsid w:val="00D315C2"/>
    <w:rsid w:val="00D316A3"/>
    <w:rsid w:val="00D318CE"/>
    <w:rsid w:val="00D31CE6"/>
    <w:rsid w:val="00D31FDB"/>
    <w:rsid w:val="00D32877"/>
    <w:rsid w:val="00D328E8"/>
    <w:rsid w:val="00D32B65"/>
    <w:rsid w:val="00D344F8"/>
    <w:rsid w:val="00D34E10"/>
    <w:rsid w:val="00D34E70"/>
    <w:rsid w:val="00D3531F"/>
    <w:rsid w:val="00D35485"/>
    <w:rsid w:val="00D356D5"/>
    <w:rsid w:val="00D35DA1"/>
    <w:rsid w:val="00D36FE5"/>
    <w:rsid w:val="00D3722C"/>
    <w:rsid w:val="00D37D23"/>
    <w:rsid w:val="00D406A2"/>
    <w:rsid w:val="00D40B9F"/>
    <w:rsid w:val="00D40E6F"/>
    <w:rsid w:val="00D41019"/>
    <w:rsid w:val="00D41324"/>
    <w:rsid w:val="00D41A24"/>
    <w:rsid w:val="00D41CD1"/>
    <w:rsid w:val="00D421FE"/>
    <w:rsid w:val="00D42283"/>
    <w:rsid w:val="00D42455"/>
    <w:rsid w:val="00D426EA"/>
    <w:rsid w:val="00D42849"/>
    <w:rsid w:val="00D42A65"/>
    <w:rsid w:val="00D43531"/>
    <w:rsid w:val="00D435BA"/>
    <w:rsid w:val="00D43983"/>
    <w:rsid w:val="00D43D6C"/>
    <w:rsid w:val="00D440F3"/>
    <w:rsid w:val="00D441A7"/>
    <w:rsid w:val="00D444E3"/>
    <w:rsid w:val="00D44C23"/>
    <w:rsid w:val="00D44E2F"/>
    <w:rsid w:val="00D44F9D"/>
    <w:rsid w:val="00D44FA2"/>
    <w:rsid w:val="00D45268"/>
    <w:rsid w:val="00D459AA"/>
    <w:rsid w:val="00D45D5F"/>
    <w:rsid w:val="00D46174"/>
    <w:rsid w:val="00D465CE"/>
    <w:rsid w:val="00D46B85"/>
    <w:rsid w:val="00D46DBD"/>
    <w:rsid w:val="00D46E80"/>
    <w:rsid w:val="00D472CD"/>
    <w:rsid w:val="00D47476"/>
    <w:rsid w:val="00D475D5"/>
    <w:rsid w:val="00D4781C"/>
    <w:rsid w:val="00D47C27"/>
    <w:rsid w:val="00D5015A"/>
    <w:rsid w:val="00D501EA"/>
    <w:rsid w:val="00D5068F"/>
    <w:rsid w:val="00D5069E"/>
    <w:rsid w:val="00D50879"/>
    <w:rsid w:val="00D5089B"/>
    <w:rsid w:val="00D50BB6"/>
    <w:rsid w:val="00D5106B"/>
    <w:rsid w:val="00D51E4F"/>
    <w:rsid w:val="00D51FCC"/>
    <w:rsid w:val="00D5207A"/>
    <w:rsid w:val="00D524B3"/>
    <w:rsid w:val="00D52BFB"/>
    <w:rsid w:val="00D52D23"/>
    <w:rsid w:val="00D52E2F"/>
    <w:rsid w:val="00D532F5"/>
    <w:rsid w:val="00D53378"/>
    <w:rsid w:val="00D5366B"/>
    <w:rsid w:val="00D53812"/>
    <w:rsid w:val="00D53870"/>
    <w:rsid w:val="00D539CB"/>
    <w:rsid w:val="00D53A2E"/>
    <w:rsid w:val="00D53B02"/>
    <w:rsid w:val="00D53CB1"/>
    <w:rsid w:val="00D53D05"/>
    <w:rsid w:val="00D54158"/>
    <w:rsid w:val="00D5424C"/>
    <w:rsid w:val="00D5429B"/>
    <w:rsid w:val="00D54980"/>
    <w:rsid w:val="00D549DC"/>
    <w:rsid w:val="00D54CB5"/>
    <w:rsid w:val="00D54E78"/>
    <w:rsid w:val="00D55750"/>
    <w:rsid w:val="00D55814"/>
    <w:rsid w:val="00D55BF2"/>
    <w:rsid w:val="00D562FF"/>
    <w:rsid w:val="00D565AA"/>
    <w:rsid w:val="00D56988"/>
    <w:rsid w:val="00D5748F"/>
    <w:rsid w:val="00D576EE"/>
    <w:rsid w:val="00D600D3"/>
    <w:rsid w:val="00D602CB"/>
    <w:rsid w:val="00D604F6"/>
    <w:rsid w:val="00D6097F"/>
    <w:rsid w:val="00D610B3"/>
    <w:rsid w:val="00D611CB"/>
    <w:rsid w:val="00D6237C"/>
    <w:rsid w:val="00D623EE"/>
    <w:rsid w:val="00D625A1"/>
    <w:rsid w:val="00D63908"/>
    <w:rsid w:val="00D63A65"/>
    <w:rsid w:val="00D64531"/>
    <w:rsid w:val="00D64734"/>
    <w:rsid w:val="00D64789"/>
    <w:rsid w:val="00D64A5A"/>
    <w:rsid w:val="00D652E0"/>
    <w:rsid w:val="00D6560E"/>
    <w:rsid w:val="00D65A0C"/>
    <w:rsid w:val="00D65B1F"/>
    <w:rsid w:val="00D65E93"/>
    <w:rsid w:val="00D6606C"/>
    <w:rsid w:val="00D6669C"/>
    <w:rsid w:val="00D66D0B"/>
    <w:rsid w:val="00D66F8B"/>
    <w:rsid w:val="00D67147"/>
    <w:rsid w:val="00D6722E"/>
    <w:rsid w:val="00D67668"/>
    <w:rsid w:val="00D6794B"/>
    <w:rsid w:val="00D67A28"/>
    <w:rsid w:val="00D70192"/>
    <w:rsid w:val="00D7155E"/>
    <w:rsid w:val="00D71C9E"/>
    <w:rsid w:val="00D71D80"/>
    <w:rsid w:val="00D7267C"/>
    <w:rsid w:val="00D72883"/>
    <w:rsid w:val="00D729EB"/>
    <w:rsid w:val="00D72A32"/>
    <w:rsid w:val="00D73586"/>
    <w:rsid w:val="00D73956"/>
    <w:rsid w:val="00D73A5C"/>
    <w:rsid w:val="00D73D7B"/>
    <w:rsid w:val="00D73F35"/>
    <w:rsid w:val="00D74963"/>
    <w:rsid w:val="00D74CB5"/>
    <w:rsid w:val="00D74EB6"/>
    <w:rsid w:val="00D752D6"/>
    <w:rsid w:val="00D75611"/>
    <w:rsid w:val="00D75877"/>
    <w:rsid w:val="00D75BC2"/>
    <w:rsid w:val="00D75F51"/>
    <w:rsid w:val="00D76704"/>
    <w:rsid w:val="00D76E40"/>
    <w:rsid w:val="00D775A5"/>
    <w:rsid w:val="00D802D9"/>
    <w:rsid w:val="00D8037A"/>
    <w:rsid w:val="00D80658"/>
    <w:rsid w:val="00D80C04"/>
    <w:rsid w:val="00D80E11"/>
    <w:rsid w:val="00D81774"/>
    <w:rsid w:val="00D81B38"/>
    <w:rsid w:val="00D81CA5"/>
    <w:rsid w:val="00D81FBC"/>
    <w:rsid w:val="00D82339"/>
    <w:rsid w:val="00D8314F"/>
    <w:rsid w:val="00D83763"/>
    <w:rsid w:val="00D83B1A"/>
    <w:rsid w:val="00D83C1E"/>
    <w:rsid w:val="00D83D35"/>
    <w:rsid w:val="00D83D7F"/>
    <w:rsid w:val="00D83F41"/>
    <w:rsid w:val="00D845CA"/>
    <w:rsid w:val="00D84927"/>
    <w:rsid w:val="00D84DE4"/>
    <w:rsid w:val="00D853B2"/>
    <w:rsid w:val="00D859B6"/>
    <w:rsid w:val="00D85A7B"/>
    <w:rsid w:val="00D85A84"/>
    <w:rsid w:val="00D864C1"/>
    <w:rsid w:val="00D8677A"/>
    <w:rsid w:val="00D86BE8"/>
    <w:rsid w:val="00D86CC3"/>
    <w:rsid w:val="00D86E4D"/>
    <w:rsid w:val="00D8709C"/>
    <w:rsid w:val="00D878CE"/>
    <w:rsid w:val="00D87AF8"/>
    <w:rsid w:val="00D87B72"/>
    <w:rsid w:val="00D87D41"/>
    <w:rsid w:val="00D90302"/>
    <w:rsid w:val="00D904F1"/>
    <w:rsid w:val="00D913EB"/>
    <w:rsid w:val="00D91792"/>
    <w:rsid w:val="00D9196D"/>
    <w:rsid w:val="00D91BDA"/>
    <w:rsid w:val="00D925A1"/>
    <w:rsid w:val="00D931F1"/>
    <w:rsid w:val="00D933E7"/>
    <w:rsid w:val="00D940BA"/>
    <w:rsid w:val="00D94417"/>
    <w:rsid w:val="00D94568"/>
    <w:rsid w:val="00D94941"/>
    <w:rsid w:val="00D949DA"/>
    <w:rsid w:val="00D94D0E"/>
    <w:rsid w:val="00D955D0"/>
    <w:rsid w:val="00D9567F"/>
    <w:rsid w:val="00D95841"/>
    <w:rsid w:val="00D9591D"/>
    <w:rsid w:val="00D95E32"/>
    <w:rsid w:val="00D96190"/>
    <w:rsid w:val="00D962C4"/>
    <w:rsid w:val="00D96350"/>
    <w:rsid w:val="00D96578"/>
    <w:rsid w:val="00D9674C"/>
    <w:rsid w:val="00D967E9"/>
    <w:rsid w:val="00D96835"/>
    <w:rsid w:val="00D970F9"/>
    <w:rsid w:val="00D971D2"/>
    <w:rsid w:val="00D97244"/>
    <w:rsid w:val="00D972BD"/>
    <w:rsid w:val="00D9777C"/>
    <w:rsid w:val="00D9781E"/>
    <w:rsid w:val="00DA005C"/>
    <w:rsid w:val="00DA023B"/>
    <w:rsid w:val="00DA0C74"/>
    <w:rsid w:val="00DA181F"/>
    <w:rsid w:val="00DA1978"/>
    <w:rsid w:val="00DA1AD7"/>
    <w:rsid w:val="00DA1ED2"/>
    <w:rsid w:val="00DA210B"/>
    <w:rsid w:val="00DA2670"/>
    <w:rsid w:val="00DA26DC"/>
    <w:rsid w:val="00DA29F7"/>
    <w:rsid w:val="00DA2C1A"/>
    <w:rsid w:val="00DA3321"/>
    <w:rsid w:val="00DA36C0"/>
    <w:rsid w:val="00DA36DC"/>
    <w:rsid w:val="00DA384F"/>
    <w:rsid w:val="00DA4A66"/>
    <w:rsid w:val="00DA50E2"/>
    <w:rsid w:val="00DA5BB3"/>
    <w:rsid w:val="00DA5BF2"/>
    <w:rsid w:val="00DA5EF9"/>
    <w:rsid w:val="00DA6023"/>
    <w:rsid w:val="00DA6113"/>
    <w:rsid w:val="00DA6344"/>
    <w:rsid w:val="00DA64AE"/>
    <w:rsid w:val="00DA64F9"/>
    <w:rsid w:val="00DA6635"/>
    <w:rsid w:val="00DA6BCE"/>
    <w:rsid w:val="00DA6C3E"/>
    <w:rsid w:val="00DA6CA5"/>
    <w:rsid w:val="00DA6E6E"/>
    <w:rsid w:val="00DA6F06"/>
    <w:rsid w:val="00DA7290"/>
    <w:rsid w:val="00DA73C2"/>
    <w:rsid w:val="00DA758F"/>
    <w:rsid w:val="00DA769A"/>
    <w:rsid w:val="00DA798B"/>
    <w:rsid w:val="00DA7CCE"/>
    <w:rsid w:val="00DA7E24"/>
    <w:rsid w:val="00DB007A"/>
    <w:rsid w:val="00DB018D"/>
    <w:rsid w:val="00DB0213"/>
    <w:rsid w:val="00DB049B"/>
    <w:rsid w:val="00DB05CC"/>
    <w:rsid w:val="00DB08C7"/>
    <w:rsid w:val="00DB0943"/>
    <w:rsid w:val="00DB0BC5"/>
    <w:rsid w:val="00DB0C09"/>
    <w:rsid w:val="00DB0C9E"/>
    <w:rsid w:val="00DB0DA3"/>
    <w:rsid w:val="00DB1126"/>
    <w:rsid w:val="00DB120B"/>
    <w:rsid w:val="00DB1239"/>
    <w:rsid w:val="00DB1551"/>
    <w:rsid w:val="00DB2298"/>
    <w:rsid w:val="00DB2633"/>
    <w:rsid w:val="00DB2875"/>
    <w:rsid w:val="00DB295A"/>
    <w:rsid w:val="00DB305E"/>
    <w:rsid w:val="00DB3465"/>
    <w:rsid w:val="00DB36BC"/>
    <w:rsid w:val="00DB3FD9"/>
    <w:rsid w:val="00DB45EF"/>
    <w:rsid w:val="00DB46A2"/>
    <w:rsid w:val="00DB5041"/>
    <w:rsid w:val="00DB5065"/>
    <w:rsid w:val="00DB5628"/>
    <w:rsid w:val="00DB5A7B"/>
    <w:rsid w:val="00DB5AB1"/>
    <w:rsid w:val="00DB5BA3"/>
    <w:rsid w:val="00DB5BDE"/>
    <w:rsid w:val="00DB5C20"/>
    <w:rsid w:val="00DB5F39"/>
    <w:rsid w:val="00DB636E"/>
    <w:rsid w:val="00DB64D7"/>
    <w:rsid w:val="00DB64E7"/>
    <w:rsid w:val="00DB66F0"/>
    <w:rsid w:val="00DB6802"/>
    <w:rsid w:val="00DB6A5C"/>
    <w:rsid w:val="00DB6B00"/>
    <w:rsid w:val="00DB6E31"/>
    <w:rsid w:val="00DB703A"/>
    <w:rsid w:val="00DB762C"/>
    <w:rsid w:val="00DB79D3"/>
    <w:rsid w:val="00DB7BF3"/>
    <w:rsid w:val="00DB7D48"/>
    <w:rsid w:val="00DC0579"/>
    <w:rsid w:val="00DC0665"/>
    <w:rsid w:val="00DC0B12"/>
    <w:rsid w:val="00DC12E4"/>
    <w:rsid w:val="00DC19DA"/>
    <w:rsid w:val="00DC1AA9"/>
    <w:rsid w:val="00DC1FCA"/>
    <w:rsid w:val="00DC200C"/>
    <w:rsid w:val="00DC2158"/>
    <w:rsid w:val="00DC2215"/>
    <w:rsid w:val="00DC28F2"/>
    <w:rsid w:val="00DC2B00"/>
    <w:rsid w:val="00DC2C53"/>
    <w:rsid w:val="00DC3155"/>
    <w:rsid w:val="00DC3313"/>
    <w:rsid w:val="00DC35A1"/>
    <w:rsid w:val="00DC3B93"/>
    <w:rsid w:val="00DC3CBB"/>
    <w:rsid w:val="00DC4024"/>
    <w:rsid w:val="00DC462E"/>
    <w:rsid w:val="00DC4E33"/>
    <w:rsid w:val="00DC51BA"/>
    <w:rsid w:val="00DC5287"/>
    <w:rsid w:val="00DC5313"/>
    <w:rsid w:val="00DC58FB"/>
    <w:rsid w:val="00DC59E0"/>
    <w:rsid w:val="00DC5E22"/>
    <w:rsid w:val="00DC6452"/>
    <w:rsid w:val="00DC7296"/>
    <w:rsid w:val="00DC7A18"/>
    <w:rsid w:val="00DC7AD7"/>
    <w:rsid w:val="00DC7BFA"/>
    <w:rsid w:val="00DC7D84"/>
    <w:rsid w:val="00DD0248"/>
    <w:rsid w:val="00DD0862"/>
    <w:rsid w:val="00DD088A"/>
    <w:rsid w:val="00DD0B89"/>
    <w:rsid w:val="00DD0D1F"/>
    <w:rsid w:val="00DD0F74"/>
    <w:rsid w:val="00DD10D2"/>
    <w:rsid w:val="00DD11C2"/>
    <w:rsid w:val="00DD1705"/>
    <w:rsid w:val="00DD181D"/>
    <w:rsid w:val="00DD19A9"/>
    <w:rsid w:val="00DD1F25"/>
    <w:rsid w:val="00DD2761"/>
    <w:rsid w:val="00DD2F63"/>
    <w:rsid w:val="00DD3207"/>
    <w:rsid w:val="00DD36DD"/>
    <w:rsid w:val="00DD3B3D"/>
    <w:rsid w:val="00DD3FD9"/>
    <w:rsid w:val="00DD3FF3"/>
    <w:rsid w:val="00DD4162"/>
    <w:rsid w:val="00DD44BD"/>
    <w:rsid w:val="00DD46D3"/>
    <w:rsid w:val="00DD4925"/>
    <w:rsid w:val="00DD4BA3"/>
    <w:rsid w:val="00DD4CF6"/>
    <w:rsid w:val="00DD5C9F"/>
    <w:rsid w:val="00DD5FA5"/>
    <w:rsid w:val="00DD6774"/>
    <w:rsid w:val="00DD77C5"/>
    <w:rsid w:val="00DD7909"/>
    <w:rsid w:val="00DD7F9B"/>
    <w:rsid w:val="00DE038D"/>
    <w:rsid w:val="00DE1207"/>
    <w:rsid w:val="00DE1F5B"/>
    <w:rsid w:val="00DE2030"/>
    <w:rsid w:val="00DE2048"/>
    <w:rsid w:val="00DE23D1"/>
    <w:rsid w:val="00DE243E"/>
    <w:rsid w:val="00DE2510"/>
    <w:rsid w:val="00DE2C61"/>
    <w:rsid w:val="00DE3389"/>
    <w:rsid w:val="00DE33AF"/>
    <w:rsid w:val="00DE3B92"/>
    <w:rsid w:val="00DE3FA7"/>
    <w:rsid w:val="00DE42B6"/>
    <w:rsid w:val="00DE4357"/>
    <w:rsid w:val="00DE45E7"/>
    <w:rsid w:val="00DE46D1"/>
    <w:rsid w:val="00DE493C"/>
    <w:rsid w:val="00DE499B"/>
    <w:rsid w:val="00DE4E45"/>
    <w:rsid w:val="00DE5114"/>
    <w:rsid w:val="00DE54B8"/>
    <w:rsid w:val="00DE592C"/>
    <w:rsid w:val="00DE626F"/>
    <w:rsid w:val="00DE6300"/>
    <w:rsid w:val="00DE64D5"/>
    <w:rsid w:val="00DE6F8F"/>
    <w:rsid w:val="00DE71A0"/>
    <w:rsid w:val="00DE731A"/>
    <w:rsid w:val="00DE7394"/>
    <w:rsid w:val="00DE79AB"/>
    <w:rsid w:val="00DE7C86"/>
    <w:rsid w:val="00DE7E87"/>
    <w:rsid w:val="00DE7F33"/>
    <w:rsid w:val="00DF08A4"/>
    <w:rsid w:val="00DF0D8E"/>
    <w:rsid w:val="00DF0F7D"/>
    <w:rsid w:val="00DF0FFD"/>
    <w:rsid w:val="00DF1203"/>
    <w:rsid w:val="00DF12C6"/>
    <w:rsid w:val="00DF160C"/>
    <w:rsid w:val="00DF17C5"/>
    <w:rsid w:val="00DF1B8D"/>
    <w:rsid w:val="00DF1BF9"/>
    <w:rsid w:val="00DF1E56"/>
    <w:rsid w:val="00DF2283"/>
    <w:rsid w:val="00DF2E2F"/>
    <w:rsid w:val="00DF36EC"/>
    <w:rsid w:val="00DF3817"/>
    <w:rsid w:val="00DF390B"/>
    <w:rsid w:val="00DF3C70"/>
    <w:rsid w:val="00DF3F90"/>
    <w:rsid w:val="00DF42E6"/>
    <w:rsid w:val="00DF4987"/>
    <w:rsid w:val="00DF5297"/>
    <w:rsid w:val="00DF54EC"/>
    <w:rsid w:val="00DF5A50"/>
    <w:rsid w:val="00DF66A1"/>
    <w:rsid w:val="00DF690C"/>
    <w:rsid w:val="00DF6969"/>
    <w:rsid w:val="00DF69C0"/>
    <w:rsid w:val="00DF6A32"/>
    <w:rsid w:val="00DF6AA1"/>
    <w:rsid w:val="00DF6EE5"/>
    <w:rsid w:val="00DF6FD3"/>
    <w:rsid w:val="00DF74BE"/>
    <w:rsid w:val="00DF7638"/>
    <w:rsid w:val="00DF763C"/>
    <w:rsid w:val="00DF7659"/>
    <w:rsid w:val="00DF7B20"/>
    <w:rsid w:val="00E003D5"/>
    <w:rsid w:val="00E00427"/>
    <w:rsid w:val="00E0043A"/>
    <w:rsid w:val="00E01015"/>
    <w:rsid w:val="00E01107"/>
    <w:rsid w:val="00E0125E"/>
    <w:rsid w:val="00E015CC"/>
    <w:rsid w:val="00E01AED"/>
    <w:rsid w:val="00E0246B"/>
    <w:rsid w:val="00E02FCE"/>
    <w:rsid w:val="00E03257"/>
    <w:rsid w:val="00E03DFD"/>
    <w:rsid w:val="00E03E9A"/>
    <w:rsid w:val="00E0486C"/>
    <w:rsid w:val="00E048DF"/>
    <w:rsid w:val="00E04B54"/>
    <w:rsid w:val="00E04E7E"/>
    <w:rsid w:val="00E05204"/>
    <w:rsid w:val="00E053BF"/>
    <w:rsid w:val="00E05F91"/>
    <w:rsid w:val="00E06367"/>
    <w:rsid w:val="00E063E4"/>
    <w:rsid w:val="00E06C8A"/>
    <w:rsid w:val="00E06CD0"/>
    <w:rsid w:val="00E06F3A"/>
    <w:rsid w:val="00E075A8"/>
    <w:rsid w:val="00E07892"/>
    <w:rsid w:val="00E07D9F"/>
    <w:rsid w:val="00E07F5A"/>
    <w:rsid w:val="00E10C14"/>
    <w:rsid w:val="00E10ECC"/>
    <w:rsid w:val="00E12365"/>
    <w:rsid w:val="00E12480"/>
    <w:rsid w:val="00E1289A"/>
    <w:rsid w:val="00E12DED"/>
    <w:rsid w:val="00E13F92"/>
    <w:rsid w:val="00E13FF6"/>
    <w:rsid w:val="00E14328"/>
    <w:rsid w:val="00E144A7"/>
    <w:rsid w:val="00E14578"/>
    <w:rsid w:val="00E14A93"/>
    <w:rsid w:val="00E153D6"/>
    <w:rsid w:val="00E156F1"/>
    <w:rsid w:val="00E15739"/>
    <w:rsid w:val="00E159EC"/>
    <w:rsid w:val="00E15BD5"/>
    <w:rsid w:val="00E15D77"/>
    <w:rsid w:val="00E163B3"/>
    <w:rsid w:val="00E163F8"/>
    <w:rsid w:val="00E164E7"/>
    <w:rsid w:val="00E1651A"/>
    <w:rsid w:val="00E1679A"/>
    <w:rsid w:val="00E16C71"/>
    <w:rsid w:val="00E16F62"/>
    <w:rsid w:val="00E172B7"/>
    <w:rsid w:val="00E174B6"/>
    <w:rsid w:val="00E1764F"/>
    <w:rsid w:val="00E17B4F"/>
    <w:rsid w:val="00E17CC4"/>
    <w:rsid w:val="00E17FE2"/>
    <w:rsid w:val="00E203F1"/>
    <w:rsid w:val="00E20551"/>
    <w:rsid w:val="00E207AC"/>
    <w:rsid w:val="00E207E5"/>
    <w:rsid w:val="00E20939"/>
    <w:rsid w:val="00E20AC0"/>
    <w:rsid w:val="00E20B2D"/>
    <w:rsid w:val="00E20D15"/>
    <w:rsid w:val="00E20F4D"/>
    <w:rsid w:val="00E21258"/>
    <w:rsid w:val="00E21878"/>
    <w:rsid w:val="00E21A12"/>
    <w:rsid w:val="00E21BDD"/>
    <w:rsid w:val="00E21CFC"/>
    <w:rsid w:val="00E21F15"/>
    <w:rsid w:val="00E2266F"/>
    <w:rsid w:val="00E22ACB"/>
    <w:rsid w:val="00E230E2"/>
    <w:rsid w:val="00E235BC"/>
    <w:rsid w:val="00E23A37"/>
    <w:rsid w:val="00E23BEF"/>
    <w:rsid w:val="00E24154"/>
    <w:rsid w:val="00E243EB"/>
    <w:rsid w:val="00E24700"/>
    <w:rsid w:val="00E24C57"/>
    <w:rsid w:val="00E25070"/>
    <w:rsid w:val="00E253F1"/>
    <w:rsid w:val="00E25640"/>
    <w:rsid w:val="00E25AFB"/>
    <w:rsid w:val="00E25D30"/>
    <w:rsid w:val="00E25D47"/>
    <w:rsid w:val="00E26244"/>
    <w:rsid w:val="00E264EB"/>
    <w:rsid w:val="00E265A8"/>
    <w:rsid w:val="00E2672E"/>
    <w:rsid w:val="00E2681F"/>
    <w:rsid w:val="00E26A37"/>
    <w:rsid w:val="00E26D9D"/>
    <w:rsid w:val="00E26E96"/>
    <w:rsid w:val="00E26F69"/>
    <w:rsid w:val="00E2754A"/>
    <w:rsid w:val="00E27B2C"/>
    <w:rsid w:val="00E30151"/>
    <w:rsid w:val="00E30425"/>
    <w:rsid w:val="00E308BC"/>
    <w:rsid w:val="00E31051"/>
    <w:rsid w:val="00E316A0"/>
    <w:rsid w:val="00E31905"/>
    <w:rsid w:val="00E31A12"/>
    <w:rsid w:val="00E326EE"/>
    <w:rsid w:val="00E32998"/>
    <w:rsid w:val="00E32D11"/>
    <w:rsid w:val="00E33026"/>
    <w:rsid w:val="00E33100"/>
    <w:rsid w:val="00E33B25"/>
    <w:rsid w:val="00E33DD4"/>
    <w:rsid w:val="00E33F35"/>
    <w:rsid w:val="00E34705"/>
    <w:rsid w:val="00E34924"/>
    <w:rsid w:val="00E34BBA"/>
    <w:rsid w:val="00E34DF0"/>
    <w:rsid w:val="00E35513"/>
    <w:rsid w:val="00E3560E"/>
    <w:rsid w:val="00E35809"/>
    <w:rsid w:val="00E35934"/>
    <w:rsid w:val="00E35A0B"/>
    <w:rsid w:val="00E35AAF"/>
    <w:rsid w:val="00E35D4A"/>
    <w:rsid w:val="00E35EEF"/>
    <w:rsid w:val="00E3642C"/>
    <w:rsid w:val="00E36452"/>
    <w:rsid w:val="00E36480"/>
    <w:rsid w:val="00E37035"/>
    <w:rsid w:val="00E371BF"/>
    <w:rsid w:val="00E37236"/>
    <w:rsid w:val="00E374CF"/>
    <w:rsid w:val="00E37854"/>
    <w:rsid w:val="00E3785B"/>
    <w:rsid w:val="00E37F44"/>
    <w:rsid w:val="00E40295"/>
    <w:rsid w:val="00E40473"/>
    <w:rsid w:val="00E405D3"/>
    <w:rsid w:val="00E4128C"/>
    <w:rsid w:val="00E4146A"/>
    <w:rsid w:val="00E41CEE"/>
    <w:rsid w:val="00E41CFA"/>
    <w:rsid w:val="00E41D1C"/>
    <w:rsid w:val="00E41F19"/>
    <w:rsid w:val="00E42114"/>
    <w:rsid w:val="00E422D3"/>
    <w:rsid w:val="00E423E4"/>
    <w:rsid w:val="00E4244A"/>
    <w:rsid w:val="00E42794"/>
    <w:rsid w:val="00E42E77"/>
    <w:rsid w:val="00E42FAB"/>
    <w:rsid w:val="00E4309B"/>
    <w:rsid w:val="00E4387D"/>
    <w:rsid w:val="00E43A1F"/>
    <w:rsid w:val="00E43E44"/>
    <w:rsid w:val="00E43F22"/>
    <w:rsid w:val="00E43F3E"/>
    <w:rsid w:val="00E44635"/>
    <w:rsid w:val="00E4469F"/>
    <w:rsid w:val="00E44B51"/>
    <w:rsid w:val="00E44DDD"/>
    <w:rsid w:val="00E44EC0"/>
    <w:rsid w:val="00E450B2"/>
    <w:rsid w:val="00E450EB"/>
    <w:rsid w:val="00E456DC"/>
    <w:rsid w:val="00E465B2"/>
    <w:rsid w:val="00E46C3E"/>
    <w:rsid w:val="00E46E65"/>
    <w:rsid w:val="00E47119"/>
    <w:rsid w:val="00E4739F"/>
    <w:rsid w:val="00E47C5F"/>
    <w:rsid w:val="00E50301"/>
    <w:rsid w:val="00E50336"/>
    <w:rsid w:val="00E50352"/>
    <w:rsid w:val="00E507FC"/>
    <w:rsid w:val="00E50C0D"/>
    <w:rsid w:val="00E50C17"/>
    <w:rsid w:val="00E510F4"/>
    <w:rsid w:val="00E512AD"/>
    <w:rsid w:val="00E513C3"/>
    <w:rsid w:val="00E513ED"/>
    <w:rsid w:val="00E516D4"/>
    <w:rsid w:val="00E51C56"/>
    <w:rsid w:val="00E51C69"/>
    <w:rsid w:val="00E52895"/>
    <w:rsid w:val="00E52B02"/>
    <w:rsid w:val="00E52E4B"/>
    <w:rsid w:val="00E532E8"/>
    <w:rsid w:val="00E538C9"/>
    <w:rsid w:val="00E53B2E"/>
    <w:rsid w:val="00E53D80"/>
    <w:rsid w:val="00E54952"/>
    <w:rsid w:val="00E55040"/>
    <w:rsid w:val="00E556B0"/>
    <w:rsid w:val="00E55811"/>
    <w:rsid w:val="00E55A89"/>
    <w:rsid w:val="00E55DEE"/>
    <w:rsid w:val="00E55FCD"/>
    <w:rsid w:val="00E567B4"/>
    <w:rsid w:val="00E569CD"/>
    <w:rsid w:val="00E56A88"/>
    <w:rsid w:val="00E56A8B"/>
    <w:rsid w:val="00E56FC2"/>
    <w:rsid w:val="00E578C6"/>
    <w:rsid w:val="00E57ACF"/>
    <w:rsid w:val="00E605A0"/>
    <w:rsid w:val="00E6095F"/>
    <w:rsid w:val="00E60B6C"/>
    <w:rsid w:val="00E60F6F"/>
    <w:rsid w:val="00E613BF"/>
    <w:rsid w:val="00E613C9"/>
    <w:rsid w:val="00E6179D"/>
    <w:rsid w:val="00E618B3"/>
    <w:rsid w:val="00E6205B"/>
    <w:rsid w:val="00E62458"/>
    <w:rsid w:val="00E626A1"/>
    <w:rsid w:val="00E626F6"/>
    <w:rsid w:val="00E6272B"/>
    <w:rsid w:val="00E62C8A"/>
    <w:rsid w:val="00E63025"/>
    <w:rsid w:val="00E63135"/>
    <w:rsid w:val="00E634BC"/>
    <w:rsid w:val="00E63FDF"/>
    <w:rsid w:val="00E64155"/>
    <w:rsid w:val="00E6435E"/>
    <w:rsid w:val="00E64DA7"/>
    <w:rsid w:val="00E64F51"/>
    <w:rsid w:val="00E6504E"/>
    <w:rsid w:val="00E65869"/>
    <w:rsid w:val="00E65BF8"/>
    <w:rsid w:val="00E660F4"/>
    <w:rsid w:val="00E66854"/>
    <w:rsid w:val="00E67249"/>
    <w:rsid w:val="00E673AC"/>
    <w:rsid w:val="00E67639"/>
    <w:rsid w:val="00E676D6"/>
    <w:rsid w:val="00E67C6A"/>
    <w:rsid w:val="00E67CFA"/>
    <w:rsid w:val="00E67D73"/>
    <w:rsid w:val="00E67E68"/>
    <w:rsid w:val="00E7040A"/>
    <w:rsid w:val="00E7044E"/>
    <w:rsid w:val="00E705B2"/>
    <w:rsid w:val="00E70ADE"/>
    <w:rsid w:val="00E71063"/>
    <w:rsid w:val="00E712C6"/>
    <w:rsid w:val="00E71440"/>
    <w:rsid w:val="00E723AB"/>
    <w:rsid w:val="00E726E7"/>
    <w:rsid w:val="00E72737"/>
    <w:rsid w:val="00E7298A"/>
    <w:rsid w:val="00E72AD0"/>
    <w:rsid w:val="00E7300D"/>
    <w:rsid w:val="00E734C2"/>
    <w:rsid w:val="00E73582"/>
    <w:rsid w:val="00E736D7"/>
    <w:rsid w:val="00E73967"/>
    <w:rsid w:val="00E745BB"/>
    <w:rsid w:val="00E7491F"/>
    <w:rsid w:val="00E74D2C"/>
    <w:rsid w:val="00E74F7B"/>
    <w:rsid w:val="00E74F93"/>
    <w:rsid w:val="00E75583"/>
    <w:rsid w:val="00E7669A"/>
    <w:rsid w:val="00E766FB"/>
    <w:rsid w:val="00E76C72"/>
    <w:rsid w:val="00E76CA7"/>
    <w:rsid w:val="00E76CDD"/>
    <w:rsid w:val="00E76EB1"/>
    <w:rsid w:val="00E7736E"/>
    <w:rsid w:val="00E77A6D"/>
    <w:rsid w:val="00E8030D"/>
    <w:rsid w:val="00E805FB"/>
    <w:rsid w:val="00E809BE"/>
    <w:rsid w:val="00E80A39"/>
    <w:rsid w:val="00E80AF7"/>
    <w:rsid w:val="00E81224"/>
    <w:rsid w:val="00E812FE"/>
    <w:rsid w:val="00E81ADF"/>
    <w:rsid w:val="00E81BE0"/>
    <w:rsid w:val="00E8237C"/>
    <w:rsid w:val="00E82433"/>
    <w:rsid w:val="00E82791"/>
    <w:rsid w:val="00E82E24"/>
    <w:rsid w:val="00E83470"/>
    <w:rsid w:val="00E837E5"/>
    <w:rsid w:val="00E84DAB"/>
    <w:rsid w:val="00E85393"/>
    <w:rsid w:val="00E859E2"/>
    <w:rsid w:val="00E85D07"/>
    <w:rsid w:val="00E85E67"/>
    <w:rsid w:val="00E86315"/>
    <w:rsid w:val="00E8656C"/>
    <w:rsid w:val="00E87372"/>
    <w:rsid w:val="00E87429"/>
    <w:rsid w:val="00E878B3"/>
    <w:rsid w:val="00E87C2E"/>
    <w:rsid w:val="00E87FE2"/>
    <w:rsid w:val="00E87FFB"/>
    <w:rsid w:val="00E9009C"/>
    <w:rsid w:val="00E905F8"/>
    <w:rsid w:val="00E90663"/>
    <w:rsid w:val="00E90701"/>
    <w:rsid w:val="00E9076E"/>
    <w:rsid w:val="00E907A4"/>
    <w:rsid w:val="00E90A14"/>
    <w:rsid w:val="00E91117"/>
    <w:rsid w:val="00E9138D"/>
    <w:rsid w:val="00E91922"/>
    <w:rsid w:val="00E91A00"/>
    <w:rsid w:val="00E91D82"/>
    <w:rsid w:val="00E91D87"/>
    <w:rsid w:val="00E91E21"/>
    <w:rsid w:val="00E91F7E"/>
    <w:rsid w:val="00E92634"/>
    <w:rsid w:val="00E92690"/>
    <w:rsid w:val="00E9287F"/>
    <w:rsid w:val="00E92C7B"/>
    <w:rsid w:val="00E932BA"/>
    <w:rsid w:val="00E9395B"/>
    <w:rsid w:val="00E940BA"/>
    <w:rsid w:val="00E9453B"/>
    <w:rsid w:val="00E94957"/>
    <w:rsid w:val="00E94A5E"/>
    <w:rsid w:val="00E9513E"/>
    <w:rsid w:val="00E953D0"/>
    <w:rsid w:val="00E96830"/>
    <w:rsid w:val="00E96F13"/>
    <w:rsid w:val="00E97517"/>
    <w:rsid w:val="00E97CCF"/>
    <w:rsid w:val="00E97FD5"/>
    <w:rsid w:val="00EA0449"/>
    <w:rsid w:val="00EA049E"/>
    <w:rsid w:val="00EA085F"/>
    <w:rsid w:val="00EA0C96"/>
    <w:rsid w:val="00EA0FA9"/>
    <w:rsid w:val="00EA1042"/>
    <w:rsid w:val="00EA14FD"/>
    <w:rsid w:val="00EA1832"/>
    <w:rsid w:val="00EA1DA7"/>
    <w:rsid w:val="00EA20F8"/>
    <w:rsid w:val="00EA2376"/>
    <w:rsid w:val="00EA23EA"/>
    <w:rsid w:val="00EA31FD"/>
    <w:rsid w:val="00EA3AFE"/>
    <w:rsid w:val="00EA41CD"/>
    <w:rsid w:val="00EA43AD"/>
    <w:rsid w:val="00EA465C"/>
    <w:rsid w:val="00EA46CC"/>
    <w:rsid w:val="00EA481A"/>
    <w:rsid w:val="00EA4A47"/>
    <w:rsid w:val="00EA4F8A"/>
    <w:rsid w:val="00EA5171"/>
    <w:rsid w:val="00EA5253"/>
    <w:rsid w:val="00EA53EA"/>
    <w:rsid w:val="00EA5B03"/>
    <w:rsid w:val="00EA5F90"/>
    <w:rsid w:val="00EA66BA"/>
    <w:rsid w:val="00EA681E"/>
    <w:rsid w:val="00EA6B72"/>
    <w:rsid w:val="00EA7489"/>
    <w:rsid w:val="00EA775D"/>
    <w:rsid w:val="00EA7A5A"/>
    <w:rsid w:val="00EA7AE8"/>
    <w:rsid w:val="00EB00F6"/>
    <w:rsid w:val="00EB041A"/>
    <w:rsid w:val="00EB043D"/>
    <w:rsid w:val="00EB05AD"/>
    <w:rsid w:val="00EB05EE"/>
    <w:rsid w:val="00EB0666"/>
    <w:rsid w:val="00EB0871"/>
    <w:rsid w:val="00EB08D3"/>
    <w:rsid w:val="00EB0A69"/>
    <w:rsid w:val="00EB120D"/>
    <w:rsid w:val="00EB167B"/>
    <w:rsid w:val="00EB1AB6"/>
    <w:rsid w:val="00EB1C02"/>
    <w:rsid w:val="00EB1E5B"/>
    <w:rsid w:val="00EB1F04"/>
    <w:rsid w:val="00EB204D"/>
    <w:rsid w:val="00EB2266"/>
    <w:rsid w:val="00EB24B1"/>
    <w:rsid w:val="00EB2B30"/>
    <w:rsid w:val="00EB2B9D"/>
    <w:rsid w:val="00EB341C"/>
    <w:rsid w:val="00EB34BD"/>
    <w:rsid w:val="00EB3682"/>
    <w:rsid w:val="00EB371D"/>
    <w:rsid w:val="00EB3733"/>
    <w:rsid w:val="00EB37C2"/>
    <w:rsid w:val="00EB3AA6"/>
    <w:rsid w:val="00EB3D51"/>
    <w:rsid w:val="00EB4618"/>
    <w:rsid w:val="00EB483E"/>
    <w:rsid w:val="00EB4872"/>
    <w:rsid w:val="00EB4E04"/>
    <w:rsid w:val="00EB58C4"/>
    <w:rsid w:val="00EB593D"/>
    <w:rsid w:val="00EB5C18"/>
    <w:rsid w:val="00EB5D83"/>
    <w:rsid w:val="00EB5DED"/>
    <w:rsid w:val="00EB604F"/>
    <w:rsid w:val="00EB63E4"/>
    <w:rsid w:val="00EB67AD"/>
    <w:rsid w:val="00EB693A"/>
    <w:rsid w:val="00EB698C"/>
    <w:rsid w:val="00EB6F8B"/>
    <w:rsid w:val="00EB6FC5"/>
    <w:rsid w:val="00EB7923"/>
    <w:rsid w:val="00EB7B68"/>
    <w:rsid w:val="00EC0591"/>
    <w:rsid w:val="00EC09D2"/>
    <w:rsid w:val="00EC0C3F"/>
    <w:rsid w:val="00EC0DCA"/>
    <w:rsid w:val="00EC17DD"/>
    <w:rsid w:val="00EC1A27"/>
    <w:rsid w:val="00EC1B5D"/>
    <w:rsid w:val="00EC1E93"/>
    <w:rsid w:val="00EC2DB2"/>
    <w:rsid w:val="00EC316F"/>
    <w:rsid w:val="00EC3415"/>
    <w:rsid w:val="00EC3BE4"/>
    <w:rsid w:val="00EC3CF7"/>
    <w:rsid w:val="00EC4337"/>
    <w:rsid w:val="00EC436C"/>
    <w:rsid w:val="00EC43FB"/>
    <w:rsid w:val="00EC445F"/>
    <w:rsid w:val="00EC46F0"/>
    <w:rsid w:val="00EC4A26"/>
    <w:rsid w:val="00EC4B08"/>
    <w:rsid w:val="00EC4D3B"/>
    <w:rsid w:val="00EC4DAA"/>
    <w:rsid w:val="00EC4E89"/>
    <w:rsid w:val="00EC4FE0"/>
    <w:rsid w:val="00EC5105"/>
    <w:rsid w:val="00EC51BC"/>
    <w:rsid w:val="00EC55DD"/>
    <w:rsid w:val="00EC5E7E"/>
    <w:rsid w:val="00EC6B36"/>
    <w:rsid w:val="00EC6D33"/>
    <w:rsid w:val="00EC7261"/>
    <w:rsid w:val="00ED01BA"/>
    <w:rsid w:val="00ED0BAB"/>
    <w:rsid w:val="00ED0D21"/>
    <w:rsid w:val="00ED1269"/>
    <w:rsid w:val="00ED12C6"/>
    <w:rsid w:val="00ED28DF"/>
    <w:rsid w:val="00ED3337"/>
    <w:rsid w:val="00ED36EC"/>
    <w:rsid w:val="00ED39BB"/>
    <w:rsid w:val="00ED3BEC"/>
    <w:rsid w:val="00ED4431"/>
    <w:rsid w:val="00ED47C9"/>
    <w:rsid w:val="00ED484C"/>
    <w:rsid w:val="00ED49CF"/>
    <w:rsid w:val="00ED4A43"/>
    <w:rsid w:val="00ED4F46"/>
    <w:rsid w:val="00ED5095"/>
    <w:rsid w:val="00ED530F"/>
    <w:rsid w:val="00ED57F0"/>
    <w:rsid w:val="00ED5E29"/>
    <w:rsid w:val="00ED650A"/>
    <w:rsid w:val="00ED681F"/>
    <w:rsid w:val="00ED6E38"/>
    <w:rsid w:val="00ED7405"/>
    <w:rsid w:val="00ED7817"/>
    <w:rsid w:val="00ED7960"/>
    <w:rsid w:val="00ED7D22"/>
    <w:rsid w:val="00ED7D75"/>
    <w:rsid w:val="00ED7EAA"/>
    <w:rsid w:val="00ED7EDC"/>
    <w:rsid w:val="00EE08BA"/>
    <w:rsid w:val="00EE0F43"/>
    <w:rsid w:val="00EE150C"/>
    <w:rsid w:val="00EE15C2"/>
    <w:rsid w:val="00EE1654"/>
    <w:rsid w:val="00EE169B"/>
    <w:rsid w:val="00EE18B3"/>
    <w:rsid w:val="00EE1FC6"/>
    <w:rsid w:val="00EE2364"/>
    <w:rsid w:val="00EE23C8"/>
    <w:rsid w:val="00EE2AF5"/>
    <w:rsid w:val="00EE2B2E"/>
    <w:rsid w:val="00EE30DD"/>
    <w:rsid w:val="00EE31A2"/>
    <w:rsid w:val="00EE342A"/>
    <w:rsid w:val="00EE3646"/>
    <w:rsid w:val="00EE3D08"/>
    <w:rsid w:val="00EE3D36"/>
    <w:rsid w:val="00EE3FDA"/>
    <w:rsid w:val="00EE4268"/>
    <w:rsid w:val="00EE47C9"/>
    <w:rsid w:val="00EE4D0B"/>
    <w:rsid w:val="00EE4FBF"/>
    <w:rsid w:val="00EE5163"/>
    <w:rsid w:val="00EE534F"/>
    <w:rsid w:val="00EE5453"/>
    <w:rsid w:val="00EE555B"/>
    <w:rsid w:val="00EE55B7"/>
    <w:rsid w:val="00EE629E"/>
    <w:rsid w:val="00EE62D3"/>
    <w:rsid w:val="00EE6AC2"/>
    <w:rsid w:val="00EE6F04"/>
    <w:rsid w:val="00EE6FF8"/>
    <w:rsid w:val="00EE7AD6"/>
    <w:rsid w:val="00EE7B53"/>
    <w:rsid w:val="00EE7C5A"/>
    <w:rsid w:val="00EE7C6C"/>
    <w:rsid w:val="00EF01C2"/>
    <w:rsid w:val="00EF0501"/>
    <w:rsid w:val="00EF09AC"/>
    <w:rsid w:val="00EF0A94"/>
    <w:rsid w:val="00EF0E16"/>
    <w:rsid w:val="00EF0F1C"/>
    <w:rsid w:val="00EF14CB"/>
    <w:rsid w:val="00EF1766"/>
    <w:rsid w:val="00EF1845"/>
    <w:rsid w:val="00EF1AEB"/>
    <w:rsid w:val="00EF1C26"/>
    <w:rsid w:val="00EF1F62"/>
    <w:rsid w:val="00EF27CA"/>
    <w:rsid w:val="00EF2892"/>
    <w:rsid w:val="00EF29E9"/>
    <w:rsid w:val="00EF2C1A"/>
    <w:rsid w:val="00EF350D"/>
    <w:rsid w:val="00EF3835"/>
    <w:rsid w:val="00EF3C32"/>
    <w:rsid w:val="00EF4793"/>
    <w:rsid w:val="00EF498F"/>
    <w:rsid w:val="00EF4ACE"/>
    <w:rsid w:val="00EF4EB1"/>
    <w:rsid w:val="00EF5253"/>
    <w:rsid w:val="00EF539E"/>
    <w:rsid w:val="00EF57CF"/>
    <w:rsid w:val="00EF5C26"/>
    <w:rsid w:val="00EF62B0"/>
    <w:rsid w:val="00EF63DB"/>
    <w:rsid w:val="00EF66A6"/>
    <w:rsid w:val="00EF6AFE"/>
    <w:rsid w:val="00EF6E6D"/>
    <w:rsid w:val="00EF7072"/>
    <w:rsid w:val="00EF71F0"/>
    <w:rsid w:val="00EF73F6"/>
    <w:rsid w:val="00EF7832"/>
    <w:rsid w:val="00EF7BE9"/>
    <w:rsid w:val="00F00394"/>
    <w:rsid w:val="00F008C9"/>
    <w:rsid w:val="00F00EF8"/>
    <w:rsid w:val="00F00FCF"/>
    <w:rsid w:val="00F01103"/>
    <w:rsid w:val="00F0205A"/>
    <w:rsid w:val="00F021FC"/>
    <w:rsid w:val="00F0238B"/>
    <w:rsid w:val="00F026A9"/>
    <w:rsid w:val="00F027F1"/>
    <w:rsid w:val="00F02892"/>
    <w:rsid w:val="00F02947"/>
    <w:rsid w:val="00F03491"/>
    <w:rsid w:val="00F03E09"/>
    <w:rsid w:val="00F0465B"/>
    <w:rsid w:val="00F05407"/>
    <w:rsid w:val="00F05706"/>
    <w:rsid w:val="00F0572E"/>
    <w:rsid w:val="00F05890"/>
    <w:rsid w:val="00F058ED"/>
    <w:rsid w:val="00F06DCB"/>
    <w:rsid w:val="00F071C2"/>
    <w:rsid w:val="00F07CBF"/>
    <w:rsid w:val="00F07ECA"/>
    <w:rsid w:val="00F106BE"/>
    <w:rsid w:val="00F1074C"/>
    <w:rsid w:val="00F109F6"/>
    <w:rsid w:val="00F10DC8"/>
    <w:rsid w:val="00F117D9"/>
    <w:rsid w:val="00F11ED3"/>
    <w:rsid w:val="00F12365"/>
    <w:rsid w:val="00F12626"/>
    <w:rsid w:val="00F12D79"/>
    <w:rsid w:val="00F12DA2"/>
    <w:rsid w:val="00F12E1E"/>
    <w:rsid w:val="00F12EF0"/>
    <w:rsid w:val="00F1304B"/>
    <w:rsid w:val="00F1334C"/>
    <w:rsid w:val="00F1370C"/>
    <w:rsid w:val="00F13D63"/>
    <w:rsid w:val="00F1406C"/>
    <w:rsid w:val="00F14088"/>
    <w:rsid w:val="00F146EF"/>
    <w:rsid w:val="00F14AC7"/>
    <w:rsid w:val="00F14ADE"/>
    <w:rsid w:val="00F1521B"/>
    <w:rsid w:val="00F15241"/>
    <w:rsid w:val="00F1530F"/>
    <w:rsid w:val="00F15350"/>
    <w:rsid w:val="00F15B4B"/>
    <w:rsid w:val="00F15FF4"/>
    <w:rsid w:val="00F1603D"/>
    <w:rsid w:val="00F16278"/>
    <w:rsid w:val="00F16452"/>
    <w:rsid w:val="00F16748"/>
    <w:rsid w:val="00F168CD"/>
    <w:rsid w:val="00F168E8"/>
    <w:rsid w:val="00F16CAC"/>
    <w:rsid w:val="00F16D23"/>
    <w:rsid w:val="00F16F0D"/>
    <w:rsid w:val="00F173F1"/>
    <w:rsid w:val="00F17587"/>
    <w:rsid w:val="00F17612"/>
    <w:rsid w:val="00F17B6C"/>
    <w:rsid w:val="00F17C92"/>
    <w:rsid w:val="00F20677"/>
    <w:rsid w:val="00F211B9"/>
    <w:rsid w:val="00F21DB0"/>
    <w:rsid w:val="00F22493"/>
    <w:rsid w:val="00F2256B"/>
    <w:rsid w:val="00F2269F"/>
    <w:rsid w:val="00F22A73"/>
    <w:rsid w:val="00F22EB3"/>
    <w:rsid w:val="00F22F18"/>
    <w:rsid w:val="00F2356F"/>
    <w:rsid w:val="00F23C84"/>
    <w:rsid w:val="00F23D4B"/>
    <w:rsid w:val="00F24111"/>
    <w:rsid w:val="00F24302"/>
    <w:rsid w:val="00F24369"/>
    <w:rsid w:val="00F243F5"/>
    <w:rsid w:val="00F24BAD"/>
    <w:rsid w:val="00F24C3A"/>
    <w:rsid w:val="00F24EE9"/>
    <w:rsid w:val="00F25859"/>
    <w:rsid w:val="00F25B98"/>
    <w:rsid w:val="00F25E88"/>
    <w:rsid w:val="00F26104"/>
    <w:rsid w:val="00F26133"/>
    <w:rsid w:val="00F263A3"/>
    <w:rsid w:val="00F26904"/>
    <w:rsid w:val="00F26A63"/>
    <w:rsid w:val="00F26AF7"/>
    <w:rsid w:val="00F26E69"/>
    <w:rsid w:val="00F27266"/>
    <w:rsid w:val="00F27753"/>
    <w:rsid w:val="00F2776E"/>
    <w:rsid w:val="00F27969"/>
    <w:rsid w:val="00F27BC7"/>
    <w:rsid w:val="00F303DC"/>
    <w:rsid w:val="00F305D5"/>
    <w:rsid w:val="00F31314"/>
    <w:rsid w:val="00F31C91"/>
    <w:rsid w:val="00F324D0"/>
    <w:rsid w:val="00F32D81"/>
    <w:rsid w:val="00F32F88"/>
    <w:rsid w:val="00F32FD1"/>
    <w:rsid w:val="00F3378C"/>
    <w:rsid w:val="00F33AA5"/>
    <w:rsid w:val="00F34C02"/>
    <w:rsid w:val="00F34C91"/>
    <w:rsid w:val="00F34CD5"/>
    <w:rsid w:val="00F34CE6"/>
    <w:rsid w:val="00F34DE1"/>
    <w:rsid w:val="00F350E6"/>
    <w:rsid w:val="00F3521A"/>
    <w:rsid w:val="00F356F8"/>
    <w:rsid w:val="00F35A8A"/>
    <w:rsid w:val="00F35FA0"/>
    <w:rsid w:val="00F364F6"/>
    <w:rsid w:val="00F367F4"/>
    <w:rsid w:val="00F36829"/>
    <w:rsid w:val="00F36831"/>
    <w:rsid w:val="00F36E0D"/>
    <w:rsid w:val="00F372A3"/>
    <w:rsid w:val="00F37332"/>
    <w:rsid w:val="00F37E82"/>
    <w:rsid w:val="00F40151"/>
    <w:rsid w:val="00F401E6"/>
    <w:rsid w:val="00F40535"/>
    <w:rsid w:val="00F409DF"/>
    <w:rsid w:val="00F4141A"/>
    <w:rsid w:val="00F4157E"/>
    <w:rsid w:val="00F418F4"/>
    <w:rsid w:val="00F41F00"/>
    <w:rsid w:val="00F422C8"/>
    <w:rsid w:val="00F42341"/>
    <w:rsid w:val="00F424A4"/>
    <w:rsid w:val="00F42E85"/>
    <w:rsid w:val="00F4301F"/>
    <w:rsid w:val="00F4326D"/>
    <w:rsid w:val="00F435C5"/>
    <w:rsid w:val="00F43AA0"/>
    <w:rsid w:val="00F43B02"/>
    <w:rsid w:val="00F43BBD"/>
    <w:rsid w:val="00F4414E"/>
    <w:rsid w:val="00F44412"/>
    <w:rsid w:val="00F44796"/>
    <w:rsid w:val="00F44804"/>
    <w:rsid w:val="00F44D95"/>
    <w:rsid w:val="00F44FD0"/>
    <w:rsid w:val="00F45088"/>
    <w:rsid w:val="00F45365"/>
    <w:rsid w:val="00F45612"/>
    <w:rsid w:val="00F456C3"/>
    <w:rsid w:val="00F462C0"/>
    <w:rsid w:val="00F46424"/>
    <w:rsid w:val="00F46598"/>
    <w:rsid w:val="00F466C4"/>
    <w:rsid w:val="00F46D57"/>
    <w:rsid w:val="00F47060"/>
    <w:rsid w:val="00F471EF"/>
    <w:rsid w:val="00F47306"/>
    <w:rsid w:val="00F47378"/>
    <w:rsid w:val="00F47506"/>
    <w:rsid w:val="00F4769E"/>
    <w:rsid w:val="00F47C44"/>
    <w:rsid w:val="00F47D8B"/>
    <w:rsid w:val="00F50370"/>
    <w:rsid w:val="00F50ACD"/>
    <w:rsid w:val="00F51A42"/>
    <w:rsid w:val="00F51E13"/>
    <w:rsid w:val="00F524CF"/>
    <w:rsid w:val="00F52AED"/>
    <w:rsid w:val="00F52B84"/>
    <w:rsid w:val="00F52C26"/>
    <w:rsid w:val="00F531BF"/>
    <w:rsid w:val="00F537D9"/>
    <w:rsid w:val="00F53D42"/>
    <w:rsid w:val="00F53E75"/>
    <w:rsid w:val="00F53EE1"/>
    <w:rsid w:val="00F54D05"/>
    <w:rsid w:val="00F55316"/>
    <w:rsid w:val="00F55343"/>
    <w:rsid w:val="00F55444"/>
    <w:rsid w:val="00F560A1"/>
    <w:rsid w:val="00F56337"/>
    <w:rsid w:val="00F568A7"/>
    <w:rsid w:val="00F56CA3"/>
    <w:rsid w:val="00F56F94"/>
    <w:rsid w:val="00F57621"/>
    <w:rsid w:val="00F57751"/>
    <w:rsid w:val="00F57BAD"/>
    <w:rsid w:val="00F57BD8"/>
    <w:rsid w:val="00F60576"/>
    <w:rsid w:val="00F6084A"/>
    <w:rsid w:val="00F60CA8"/>
    <w:rsid w:val="00F61112"/>
    <w:rsid w:val="00F611BE"/>
    <w:rsid w:val="00F61468"/>
    <w:rsid w:val="00F614FF"/>
    <w:rsid w:val="00F618D3"/>
    <w:rsid w:val="00F61C2F"/>
    <w:rsid w:val="00F623F2"/>
    <w:rsid w:val="00F62CAF"/>
    <w:rsid w:val="00F62D39"/>
    <w:rsid w:val="00F62EAF"/>
    <w:rsid w:val="00F62FC7"/>
    <w:rsid w:val="00F6360E"/>
    <w:rsid w:val="00F63771"/>
    <w:rsid w:val="00F63E00"/>
    <w:rsid w:val="00F63F6D"/>
    <w:rsid w:val="00F64738"/>
    <w:rsid w:val="00F6491B"/>
    <w:rsid w:val="00F65103"/>
    <w:rsid w:val="00F655A6"/>
    <w:rsid w:val="00F6566E"/>
    <w:rsid w:val="00F6595B"/>
    <w:rsid w:val="00F659CD"/>
    <w:rsid w:val="00F65DFC"/>
    <w:rsid w:val="00F66403"/>
    <w:rsid w:val="00F664D3"/>
    <w:rsid w:val="00F6746C"/>
    <w:rsid w:val="00F67A5B"/>
    <w:rsid w:val="00F67A63"/>
    <w:rsid w:val="00F67A6E"/>
    <w:rsid w:val="00F67EC3"/>
    <w:rsid w:val="00F7021E"/>
    <w:rsid w:val="00F705F7"/>
    <w:rsid w:val="00F7065D"/>
    <w:rsid w:val="00F706EB"/>
    <w:rsid w:val="00F70B27"/>
    <w:rsid w:val="00F71232"/>
    <w:rsid w:val="00F7156B"/>
    <w:rsid w:val="00F719EB"/>
    <w:rsid w:val="00F71B08"/>
    <w:rsid w:val="00F72189"/>
    <w:rsid w:val="00F722D7"/>
    <w:rsid w:val="00F72EFC"/>
    <w:rsid w:val="00F73251"/>
    <w:rsid w:val="00F73438"/>
    <w:rsid w:val="00F738F1"/>
    <w:rsid w:val="00F73954"/>
    <w:rsid w:val="00F73D7C"/>
    <w:rsid w:val="00F73E9A"/>
    <w:rsid w:val="00F7400B"/>
    <w:rsid w:val="00F741BE"/>
    <w:rsid w:val="00F74277"/>
    <w:rsid w:val="00F74581"/>
    <w:rsid w:val="00F74677"/>
    <w:rsid w:val="00F74700"/>
    <w:rsid w:val="00F74970"/>
    <w:rsid w:val="00F7519F"/>
    <w:rsid w:val="00F754D8"/>
    <w:rsid w:val="00F7565E"/>
    <w:rsid w:val="00F75824"/>
    <w:rsid w:val="00F760D8"/>
    <w:rsid w:val="00F760F6"/>
    <w:rsid w:val="00F771A0"/>
    <w:rsid w:val="00F772AA"/>
    <w:rsid w:val="00F77327"/>
    <w:rsid w:val="00F77E2D"/>
    <w:rsid w:val="00F77EA2"/>
    <w:rsid w:val="00F80295"/>
    <w:rsid w:val="00F803C8"/>
    <w:rsid w:val="00F80518"/>
    <w:rsid w:val="00F807B0"/>
    <w:rsid w:val="00F80823"/>
    <w:rsid w:val="00F82472"/>
    <w:rsid w:val="00F826C6"/>
    <w:rsid w:val="00F82EE7"/>
    <w:rsid w:val="00F83275"/>
    <w:rsid w:val="00F83458"/>
    <w:rsid w:val="00F8393A"/>
    <w:rsid w:val="00F83E13"/>
    <w:rsid w:val="00F84083"/>
    <w:rsid w:val="00F84108"/>
    <w:rsid w:val="00F846B0"/>
    <w:rsid w:val="00F85654"/>
    <w:rsid w:val="00F85EDF"/>
    <w:rsid w:val="00F85F90"/>
    <w:rsid w:val="00F8608C"/>
    <w:rsid w:val="00F866F9"/>
    <w:rsid w:val="00F873E3"/>
    <w:rsid w:val="00F874EB"/>
    <w:rsid w:val="00F87BD0"/>
    <w:rsid w:val="00F87DAE"/>
    <w:rsid w:val="00F87E9C"/>
    <w:rsid w:val="00F902AD"/>
    <w:rsid w:val="00F904A4"/>
    <w:rsid w:val="00F905B7"/>
    <w:rsid w:val="00F90708"/>
    <w:rsid w:val="00F90802"/>
    <w:rsid w:val="00F914AD"/>
    <w:rsid w:val="00F91948"/>
    <w:rsid w:val="00F91E49"/>
    <w:rsid w:val="00F92302"/>
    <w:rsid w:val="00F929D6"/>
    <w:rsid w:val="00F92C2F"/>
    <w:rsid w:val="00F92D73"/>
    <w:rsid w:val="00F92EE7"/>
    <w:rsid w:val="00F93213"/>
    <w:rsid w:val="00F93D17"/>
    <w:rsid w:val="00F952F4"/>
    <w:rsid w:val="00F954CF"/>
    <w:rsid w:val="00F95567"/>
    <w:rsid w:val="00F95DA0"/>
    <w:rsid w:val="00F95F53"/>
    <w:rsid w:val="00F9619D"/>
    <w:rsid w:val="00F96FED"/>
    <w:rsid w:val="00F972EF"/>
    <w:rsid w:val="00F97987"/>
    <w:rsid w:val="00F97AA4"/>
    <w:rsid w:val="00F97C30"/>
    <w:rsid w:val="00FA05E9"/>
    <w:rsid w:val="00FA0A66"/>
    <w:rsid w:val="00FA0AF9"/>
    <w:rsid w:val="00FA0C6E"/>
    <w:rsid w:val="00FA0D44"/>
    <w:rsid w:val="00FA0EC6"/>
    <w:rsid w:val="00FA1291"/>
    <w:rsid w:val="00FA1C41"/>
    <w:rsid w:val="00FA1C47"/>
    <w:rsid w:val="00FA1FE0"/>
    <w:rsid w:val="00FA204E"/>
    <w:rsid w:val="00FA20B8"/>
    <w:rsid w:val="00FA26EB"/>
    <w:rsid w:val="00FA324B"/>
    <w:rsid w:val="00FA358A"/>
    <w:rsid w:val="00FA3ABC"/>
    <w:rsid w:val="00FA3E4B"/>
    <w:rsid w:val="00FA4A4D"/>
    <w:rsid w:val="00FA4C56"/>
    <w:rsid w:val="00FA4F3B"/>
    <w:rsid w:val="00FA4FAF"/>
    <w:rsid w:val="00FA543E"/>
    <w:rsid w:val="00FA5549"/>
    <w:rsid w:val="00FA5A41"/>
    <w:rsid w:val="00FA61AF"/>
    <w:rsid w:val="00FA656A"/>
    <w:rsid w:val="00FA666C"/>
    <w:rsid w:val="00FA686B"/>
    <w:rsid w:val="00FA69F1"/>
    <w:rsid w:val="00FA6D4B"/>
    <w:rsid w:val="00FA7179"/>
    <w:rsid w:val="00FA77CC"/>
    <w:rsid w:val="00FA7A60"/>
    <w:rsid w:val="00FA7C24"/>
    <w:rsid w:val="00FB0292"/>
    <w:rsid w:val="00FB0642"/>
    <w:rsid w:val="00FB088A"/>
    <w:rsid w:val="00FB1017"/>
    <w:rsid w:val="00FB139C"/>
    <w:rsid w:val="00FB1AE9"/>
    <w:rsid w:val="00FB253F"/>
    <w:rsid w:val="00FB2A18"/>
    <w:rsid w:val="00FB2B97"/>
    <w:rsid w:val="00FB2CAB"/>
    <w:rsid w:val="00FB357B"/>
    <w:rsid w:val="00FB3685"/>
    <w:rsid w:val="00FB3808"/>
    <w:rsid w:val="00FB3EE8"/>
    <w:rsid w:val="00FB3F66"/>
    <w:rsid w:val="00FB4938"/>
    <w:rsid w:val="00FB4B43"/>
    <w:rsid w:val="00FB72A5"/>
    <w:rsid w:val="00FB7564"/>
    <w:rsid w:val="00FB7681"/>
    <w:rsid w:val="00FB7754"/>
    <w:rsid w:val="00FB7DA2"/>
    <w:rsid w:val="00FB7E3C"/>
    <w:rsid w:val="00FC015B"/>
    <w:rsid w:val="00FC037C"/>
    <w:rsid w:val="00FC05AF"/>
    <w:rsid w:val="00FC0CCC"/>
    <w:rsid w:val="00FC20E3"/>
    <w:rsid w:val="00FC30B5"/>
    <w:rsid w:val="00FC3110"/>
    <w:rsid w:val="00FC3260"/>
    <w:rsid w:val="00FC33DB"/>
    <w:rsid w:val="00FC387E"/>
    <w:rsid w:val="00FC3F33"/>
    <w:rsid w:val="00FC4651"/>
    <w:rsid w:val="00FC47D2"/>
    <w:rsid w:val="00FC491B"/>
    <w:rsid w:val="00FC4CC4"/>
    <w:rsid w:val="00FC4CE4"/>
    <w:rsid w:val="00FC4F95"/>
    <w:rsid w:val="00FC5D05"/>
    <w:rsid w:val="00FC5E17"/>
    <w:rsid w:val="00FC6149"/>
    <w:rsid w:val="00FC6317"/>
    <w:rsid w:val="00FC65D8"/>
    <w:rsid w:val="00FC6666"/>
    <w:rsid w:val="00FC7190"/>
    <w:rsid w:val="00FC7904"/>
    <w:rsid w:val="00FC7961"/>
    <w:rsid w:val="00FC7AA3"/>
    <w:rsid w:val="00FC7EB0"/>
    <w:rsid w:val="00FD00BB"/>
    <w:rsid w:val="00FD018B"/>
    <w:rsid w:val="00FD055F"/>
    <w:rsid w:val="00FD0582"/>
    <w:rsid w:val="00FD066A"/>
    <w:rsid w:val="00FD06D9"/>
    <w:rsid w:val="00FD0B6F"/>
    <w:rsid w:val="00FD0DF0"/>
    <w:rsid w:val="00FD14D9"/>
    <w:rsid w:val="00FD16A1"/>
    <w:rsid w:val="00FD1A1F"/>
    <w:rsid w:val="00FD1ACD"/>
    <w:rsid w:val="00FD1BED"/>
    <w:rsid w:val="00FD1FE3"/>
    <w:rsid w:val="00FD20DF"/>
    <w:rsid w:val="00FD224B"/>
    <w:rsid w:val="00FD253B"/>
    <w:rsid w:val="00FD26BE"/>
    <w:rsid w:val="00FD2787"/>
    <w:rsid w:val="00FD2DE5"/>
    <w:rsid w:val="00FD332D"/>
    <w:rsid w:val="00FD33FA"/>
    <w:rsid w:val="00FD3766"/>
    <w:rsid w:val="00FD3D3A"/>
    <w:rsid w:val="00FD3DDA"/>
    <w:rsid w:val="00FD3E39"/>
    <w:rsid w:val="00FD4283"/>
    <w:rsid w:val="00FD43E0"/>
    <w:rsid w:val="00FD455D"/>
    <w:rsid w:val="00FD471D"/>
    <w:rsid w:val="00FD487A"/>
    <w:rsid w:val="00FD4BB0"/>
    <w:rsid w:val="00FD4C36"/>
    <w:rsid w:val="00FD5284"/>
    <w:rsid w:val="00FD56A4"/>
    <w:rsid w:val="00FD5D9D"/>
    <w:rsid w:val="00FD611C"/>
    <w:rsid w:val="00FD654B"/>
    <w:rsid w:val="00FD68B7"/>
    <w:rsid w:val="00FD68CB"/>
    <w:rsid w:val="00FD6B0B"/>
    <w:rsid w:val="00FD6FC7"/>
    <w:rsid w:val="00FD74A6"/>
    <w:rsid w:val="00FD7535"/>
    <w:rsid w:val="00FD78CC"/>
    <w:rsid w:val="00FD7A70"/>
    <w:rsid w:val="00FD7FC2"/>
    <w:rsid w:val="00FE0224"/>
    <w:rsid w:val="00FE054E"/>
    <w:rsid w:val="00FE07E3"/>
    <w:rsid w:val="00FE0B36"/>
    <w:rsid w:val="00FE0DFC"/>
    <w:rsid w:val="00FE0F45"/>
    <w:rsid w:val="00FE1205"/>
    <w:rsid w:val="00FE1387"/>
    <w:rsid w:val="00FE1A54"/>
    <w:rsid w:val="00FE1BEE"/>
    <w:rsid w:val="00FE1EE1"/>
    <w:rsid w:val="00FE20F5"/>
    <w:rsid w:val="00FE2463"/>
    <w:rsid w:val="00FE28BF"/>
    <w:rsid w:val="00FE29B8"/>
    <w:rsid w:val="00FE2A1B"/>
    <w:rsid w:val="00FE343D"/>
    <w:rsid w:val="00FE356E"/>
    <w:rsid w:val="00FE3A91"/>
    <w:rsid w:val="00FE3D83"/>
    <w:rsid w:val="00FE3F04"/>
    <w:rsid w:val="00FE4211"/>
    <w:rsid w:val="00FE451D"/>
    <w:rsid w:val="00FE4633"/>
    <w:rsid w:val="00FE4D3A"/>
    <w:rsid w:val="00FE4EB7"/>
    <w:rsid w:val="00FE50B6"/>
    <w:rsid w:val="00FE5101"/>
    <w:rsid w:val="00FE53BA"/>
    <w:rsid w:val="00FE5D17"/>
    <w:rsid w:val="00FE5F42"/>
    <w:rsid w:val="00FE637B"/>
    <w:rsid w:val="00FE6455"/>
    <w:rsid w:val="00FE678F"/>
    <w:rsid w:val="00FE67F4"/>
    <w:rsid w:val="00FE7784"/>
    <w:rsid w:val="00FF0065"/>
    <w:rsid w:val="00FF064F"/>
    <w:rsid w:val="00FF1109"/>
    <w:rsid w:val="00FF129D"/>
    <w:rsid w:val="00FF243B"/>
    <w:rsid w:val="00FF261B"/>
    <w:rsid w:val="00FF2C7C"/>
    <w:rsid w:val="00FF2FC2"/>
    <w:rsid w:val="00FF32D4"/>
    <w:rsid w:val="00FF351E"/>
    <w:rsid w:val="00FF3B77"/>
    <w:rsid w:val="00FF4250"/>
    <w:rsid w:val="00FF49F1"/>
    <w:rsid w:val="00FF5146"/>
    <w:rsid w:val="00FF57B3"/>
    <w:rsid w:val="00FF5FC9"/>
    <w:rsid w:val="00FF756D"/>
    <w:rsid w:val="00FF7769"/>
    <w:rsid w:val="00FF7A69"/>
    <w:rsid w:val="0107261E"/>
    <w:rsid w:val="011E11CB"/>
    <w:rsid w:val="01BB5513"/>
    <w:rsid w:val="01E60F75"/>
    <w:rsid w:val="01F665AD"/>
    <w:rsid w:val="02497F4C"/>
    <w:rsid w:val="02713C98"/>
    <w:rsid w:val="03081FF0"/>
    <w:rsid w:val="0386317E"/>
    <w:rsid w:val="0397606F"/>
    <w:rsid w:val="03BE371C"/>
    <w:rsid w:val="03DF6781"/>
    <w:rsid w:val="04883FDF"/>
    <w:rsid w:val="04C30A22"/>
    <w:rsid w:val="05075F66"/>
    <w:rsid w:val="050D77D0"/>
    <w:rsid w:val="054130AF"/>
    <w:rsid w:val="05571F68"/>
    <w:rsid w:val="05686F14"/>
    <w:rsid w:val="05697AC9"/>
    <w:rsid w:val="05DC4580"/>
    <w:rsid w:val="05FF2BFA"/>
    <w:rsid w:val="062463B6"/>
    <w:rsid w:val="06957D93"/>
    <w:rsid w:val="06A62785"/>
    <w:rsid w:val="06AC4C5E"/>
    <w:rsid w:val="06B259BC"/>
    <w:rsid w:val="06FBBF75"/>
    <w:rsid w:val="07624EBD"/>
    <w:rsid w:val="077F0A4E"/>
    <w:rsid w:val="07A847A3"/>
    <w:rsid w:val="07B80C31"/>
    <w:rsid w:val="07DB19F9"/>
    <w:rsid w:val="08763CB7"/>
    <w:rsid w:val="08980420"/>
    <w:rsid w:val="08FA77CF"/>
    <w:rsid w:val="099727AF"/>
    <w:rsid w:val="0A0D7D8C"/>
    <w:rsid w:val="0A650914"/>
    <w:rsid w:val="0A6A0048"/>
    <w:rsid w:val="0A870BFA"/>
    <w:rsid w:val="0A9F70DC"/>
    <w:rsid w:val="0B287FB6"/>
    <w:rsid w:val="0B8458CB"/>
    <w:rsid w:val="0C012AC2"/>
    <w:rsid w:val="0C09617F"/>
    <w:rsid w:val="0C1B6BC2"/>
    <w:rsid w:val="0C4E0122"/>
    <w:rsid w:val="0C4F4837"/>
    <w:rsid w:val="0C6C62F9"/>
    <w:rsid w:val="0C782EF0"/>
    <w:rsid w:val="0C8F1FE8"/>
    <w:rsid w:val="0CFC0C5B"/>
    <w:rsid w:val="0D75201B"/>
    <w:rsid w:val="0DCA0F38"/>
    <w:rsid w:val="0E090D9E"/>
    <w:rsid w:val="0E1326AE"/>
    <w:rsid w:val="0E133038"/>
    <w:rsid w:val="0E6554D1"/>
    <w:rsid w:val="0F1B68F8"/>
    <w:rsid w:val="0F1D5F26"/>
    <w:rsid w:val="0F2347B8"/>
    <w:rsid w:val="0F3E622E"/>
    <w:rsid w:val="0FAE9F66"/>
    <w:rsid w:val="0FE21DF3"/>
    <w:rsid w:val="104B4477"/>
    <w:rsid w:val="10A67900"/>
    <w:rsid w:val="110B606E"/>
    <w:rsid w:val="113561E4"/>
    <w:rsid w:val="11A505C7"/>
    <w:rsid w:val="12237F18"/>
    <w:rsid w:val="12E3738C"/>
    <w:rsid w:val="12FE44BC"/>
    <w:rsid w:val="134F24D1"/>
    <w:rsid w:val="13653AA2"/>
    <w:rsid w:val="136640A3"/>
    <w:rsid w:val="13A030CD"/>
    <w:rsid w:val="13CDEB16"/>
    <w:rsid w:val="13D64DE1"/>
    <w:rsid w:val="13F82B68"/>
    <w:rsid w:val="13FD1F2D"/>
    <w:rsid w:val="140F5D1B"/>
    <w:rsid w:val="14370C7D"/>
    <w:rsid w:val="145077AF"/>
    <w:rsid w:val="149D056E"/>
    <w:rsid w:val="14C049FD"/>
    <w:rsid w:val="150E7E96"/>
    <w:rsid w:val="1540450B"/>
    <w:rsid w:val="15634011"/>
    <w:rsid w:val="1579141A"/>
    <w:rsid w:val="15D53161"/>
    <w:rsid w:val="16572584"/>
    <w:rsid w:val="16E930CA"/>
    <w:rsid w:val="17992127"/>
    <w:rsid w:val="17A424B4"/>
    <w:rsid w:val="188F3CEA"/>
    <w:rsid w:val="18C41526"/>
    <w:rsid w:val="18DA283C"/>
    <w:rsid w:val="18E25156"/>
    <w:rsid w:val="193E6FB2"/>
    <w:rsid w:val="196A1454"/>
    <w:rsid w:val="19705D17"/>
    <w:rsid w:val="197B6B3D"/>
    <w:rsid w:val="19E41902"/>
    <w:rsid w:val="19ECB0D6"/>
    <w:rsid w:val="1A0F66B9"/>
    <w:rsid w:val="1A3C1858"/>
    <w:rsid w:val="1A536EF3"/>
    <w:rsid w:val="1A8040E6"/>
    <w:rsid w:val="1AA86FC5"/>
    <w:rsid w:val="1AB44F43"/>
    <w:rsid w:val="1ACD5587"/>
    <w:rsid w:val="1AEC96CE"/>
    <w:rsid w:val="1B430DE2"/>
    <w:rsid w:val="1B7C08BE"/>
    <w:rsid w:val="1BB238A1"/>
    <w:rsid w:val="1BB32D25"/>
    <w:rsid w:val="1BB60BF2"/>
    <w:rsid w:val="1BFE8AFC"/>
    <w:rsid w:val="1C0170C5"/>
    <w:rsid w:val="1CA67605"/>
    <w:rsid w:val="1CCB0E1A"/>
    <w:rsid w:val="1CE123EB"/>
    <w:rsid w:val="1CF11CD7"/>
    <w:rsid w:val="1D163C91"/>
    <w:rsid w:val="1D3DC8EB"/>
    <w:rsid w:val="1D41310E"/>
    <w:rsid w:val="1DF547C9"/>
    <w:rsid w:val="1DFB42DB"/>
    <w:rsid w:val="1DFF290D"/>
    <w:rsid w:val="1E764DB5"/>
    <w:rsid w:val="1EA25BAA"/>
    <w:rsid w:val="1EAB0F03"/>
    <w:rsid w:val="1EDC0B75"/>
    <w:rsid w:val="1EDD2206"/>
    <w:rsid w:val="1EEB024A"/>
    <w:rsid w:val="1F75442C"/>
    <w:rsid w:val="1F7E5238"/>
    <w:rsid w:val="1F966B6C"/>
    <w:rsid w:val="1FAA613F"/>
    <w:rsid w:val="1FDD4CD7"/>
    <w:rsid w:val="1FF248D1"/>
    <w:rsid w:val="20742B9E"/>
    <w:rsid w:val="209F6A65"/>
    <w:rsid w:val="20DB6EC7"/>
    <w:rsid w:val="20E04D09"/>
    <w:rsid w:val="20EE67E3"/>
    <w:rsid w:val="20FBB4CE"/>
    <w:rsid w:val="210B3706"/>
    <w:rsid w:val="2217060F"/>
    <w:rsid w:val="225F70AE"/>
    <w:rsid w:val="23003597"/>
    <w:rsid w:val="237A0EA4"/>
    <w:rsid w:val="23971A56"/>
    <w:rsid w:val="23D305B4"/>
    <w:rsid w:val="23F84FA5"/>
    <w:rsid w:val="245142FB"/>
    <w:rsid w:val="245321CE"/>
    <w:rsid w:val="24C7636B"/>
    <w:rsid w:val="25D74016"/>
    <w:rsid w:val="268140C1"/>
    <w:rsid w:val="2689319A"/>
    <w:rsid w:val="268C28CF"/>
    <w:rsid w:val="269C35F2"/>
    <w:rsid w:val="26C70A30"/>
    <w:rsid w:val="27392E24"/>
    <w:rsid w:val="27A2074B"/>
    <w:rsid w:val="27AF63EA"/>
    <w:rsid w:val="282D0BDB"/>
    <w:rsid w:val="283103BA"/>
    <w:rsid w:val="28AE19FC"/>
    <w:rsid w:val="29271249"/>
    <w:rsid w:val="29DB6414"/>
    <w:rsid w:val="2A1A518F"/>
    <w:rsid w:val="2AB82BEA"/>
    <w:rsid w:val="2AB95511"/>
    <w:rsid w:val="2AD7362E"/>
    <w:rsid w:val="2AD757E4"/>
    <w:rsid w:val="2AEB6CA4"/>
    <w:rsid w:val="2B1A6319"/>
    <w:rsid w:val="2B971ADE"/>
    <w:rsid w:val="2BC5737C"/>
    <w:rsid w:val="2BDC4ECA"/>
    <w:rsid w:val="2BF024C1"/>
    <w:rsid w:val="2BFBF1D5"/>
    <w:rsid w:val="2C42277B"/>
    <w:rsid w:val="2CB75AC0"/>
    <w:rsid w:val="2D4471B7"/>
    <w:rsid w:val="2D5F1380"/>
    <w:rsid w:val="2E4579EB"/>
    <w:rsid w:val="2E9C7CF2"/>
    <w:rsid w:val="2EC97344"/>
    <w:rsid w:val="2EF454C4"/>
    <w:rsid w:val="2F0A5BC9"/>
    <w:rsid w:val="2F0F47FF"/>
    <w:rsid w:val="2F270D08"/>
    <w:rsid w:val="2F2EB73A"/>
    <w:rsid w:val="2F8A4D86"/>
    <w:rsid w:val="2FB9200B"/>
    <w:rsid w:val="2FF306E1"/>
    <w:rsid w:val="2FF581E1"/>
    <w:rsid w:val="30195F78"/>
    <w:rsid w:val="30370F49"/>
    <w:rsid w:val="30AB57A1"/>
    <w:rsid w:val="30CE1DC8"/>
    <w:rsid w:val="30FA1BA0"/>
    <w:rsid w:val="31120512"/>
    <w:rsid w:val="31233E0A"/>
    <w:rsid w:val="312E7008"/>
    <w:rsid w:val="3160312D"/>
    <w:rsid w:val="31845017"/>
    <w:rsid w:val="318E77D8"/>
    <w:rsid w:val="31FFB293"/>
    <w:rsid w:val="32445ED8"/>
    <w:rsid w:val="325B3178"/>
    <w:rsid w:val="329439E3"/>
    <w:rsid w:val="32DA52AB"/>
    <w:rsid w:val="333B4410"/>
    <w:rsid w:val="33597A2D"/>
    <w:rsid w:val="33EDC608"/>
    <w:rsid w:val="34154470"/>
    <w:rsid w:val="34E42621"/>
    <w:rsid w:val="353F2AAB"/>
    <w:rsid w:val="357F401F"/>
    <w:rsid w:val="35E435AB"/>
    <w:rsid w:val="35E559DE"/>
    <w:rsid w:val="35F85F79"/>
    <w:rsid w:val="360A60B7"/>
    <w:rsid w:val="36E9613F"/>
    <w:rsid w:val="3719B195"/>
    <w:rsid w:val="372B77A0"/>
    <w:rsid w:val="376B7133"/>
    <w:rsid w:val="37B7723A"/>
    <w:rsid w:val="37BE932A"/>
    <w:rsid w:val="38B568F3"/>
    <w:rsid w:val="39697599"/>
    <w:rsid w:val="397A09EF"/>
    <w:rsid w:val="39822409"/>
    <w:rsid w:val="39B24DDE"/>
    <w:rsid w:val="39D27E4F"/>
    <w:rsid w:val="39E5AE8B"/>
    <w:rsid w:val="3A171BAD"/>
    <w:rsid w:val="3A722288"/>
    <w:rsid w:val="3AAF6C89"/>
    <w:rsid w:val="3AB7489E"/>
    <w:rsid w:val="3AEFE714"/>
    <w:rsid w:val="3AF473F9"/>
    <w:rsid w:val="3AF74D07"/>
    <w:rsid w:val="3B26586C"/>
    <w:rsid w:val="3B4D0A04"/>
    <w:rsid w:val="3B6A040A"/>
    <w:rsid w:val="3BAE40F9"/>
    <w:rsid w:val="3BB742C9"/>
    <w:rsid w:val="3C0637C5"/>
    <w:rsid w:val="3C160F3E"/>
    <w:rsid w:val="3C953FBA"/>
    <w:rsid w:val="3CA77384"/>
    <w:rsid w:val="3CAC32C2"/>
    <w:rsid w:val="3CDE0854"/>
    <w:rsid w:val="3D1C4BE9"/>
    <w:rsid w:val="3D4E17A0"/>
    <w:rsid w:val="3D785FFC"/>
    <w:rsid w:val="3D7F4FFB"/>
    <w:rsid w:val="3E2D2309"/>
    <w:rsid w:val="3E7F9057"/>
    <w:rsid w:val="3EB5DF75"/>
    <w:rsid w:val="3EB64A09"/>
    <w:rsid w:val="3EEBF474"/>
    <w:rsid w:val="3EF91DBC"/>
    <w:rsid w:val="3EFF3881"/>
    <w:rsid w:val="3F226551"/>
    <w:rsid w:val="3F56257F"/>
    <w:rsid w:val="3F9172EA"/>
    <w:rsid w:val="3F9B10F3"/>
    <w:rsid w:val="3FBF7C4F"/>
    <w:rsid w:val="3FBFD214"/>
    <w:rsid w:val="3FD7340F"/>
    <w:rsid w:val="3FDBBC74"/>
    <w:rsid w:val="3FDE2951"/>
    <w:rsid w:val="3FDFC9C8"/>
    <w:rsid w:val="3FE67329"/>
    <w:rsid w:val="3FEB26A5"/>
    <w:rsid w:val="3FEF2599"/>
    <w:rsid w:val="3FFED24E"/>
    <w:rsid w:val="3FFFE9CC"/>
    <w:rsid w:val="3FFFF629"/>
    <w:rsid w:val="40046693"/>
    <w:rsid w:val="405F091C"/>
    <w:rsid w:val="409958B5"/>
    <w:rsid w:val="40A00C47"/>
    <w:rsid w:val="411B11B1"/>
    <w:rsid w:val="414D6BF0"/>
    <w:rsid w:val="42404345"/>
    <w:rsid w:val="42792BB2"/>
    <w:rsid w:val="430549C0"/>
    <w:rsid w:val="435C59EF"/>
    <w:rsid w:val="43AA27A3"/>
    <w:rsid w:val="444048F9"/>
    <w:rsid w:val="446B0669"/>
    <w:rsid w:val="44A61568"/>
    <w:rsid w:val="459D4162"/>
    <w:rsid w:val="45DE680F"/>
    <w:rsid w:val="461400B7"/>
    <w:rsid w:val="465604AA"/>
    <w:rsid w:val="466B2E6F"/>
    <w:rsid w:val="46837CAE"/>
    <w:rsid w:val="475AF11D"/>
    <w:rsid w:val="47724721"/>
    <w:rsid w:val="478B1ECB"/>
    <w:rsid w:val="47A45155"/>
    <w:rsid w:val="47AC7D69"/>
    <w:rsid w:val="481D6C70"/>
    <w:rsid w:val="48AF1E3C"/>
    <w:rsid w:val="48C93D61"/>
    <w:rsid w:val="48DE29BF"/>
    <w:rsid w:val="48F823AF"/>
    <w:rsid w:val="490B11AB"/>
    <w:rsid w:val="49473057"/>
    <w:rsid w:val="497F33F4"/>
    <w:rsid w:val="49963CE4"/>
    <w:rsid w:val="49964ECE"/>
    <w:rsid w:val="4A140085"/>
    <w:rsid w:val="4A2D197E"/>
    <w:rsid w:val="4A605578"/>
    <w:rsid w:val="4A6F3DF1"/>
    <w:rsid w:val="4A8F42CA"/>
    <w:rsid w:val="4AC973E4"/>
    <w:rsid w:val="4B73228C"/>
    <w:rsid w:val="4BAE19E4"/>
    <w:rsid w:val="4BCDC62C"/>
    <w:rsid w:val="4BF87B0D"/>
    <w:rsid w:val="4C58464B"/>
    <w:rsid w:val="4CD03734"/>
    <w:rsid w:val="4CD63E86"/>
    <w:rsid w:val="4CDA3C7E"/>
    <w:rsid w:val="4D5510F5"/>
    <w:rsid w:val="4D9C247F"/>
    <w:rsid w:val="4DB4369E"/>
    <w:rsid w:val="4DBD0D85"/>
    <w:rsid w:val="4DDA45E1"/>
    <w:rsid w:val="4DDD72BD"/>
    <w:rsid w:val="4DFF8A57"/>
    <w:rsid w:val="4E530E13"/>
    <w:rsid w:val="4E6A373F"/>
    <w:rsid w:val="4EBF3C04"/>
    <w:rsid w:val="4EEA790F"/>
    <w:rsid w:val="500950D4"/>
    <w:rsid w:val="50640F92"/>
    <w:rsid w:val="50E731B6"/>
    <w:rsid w:val="51096F25"/>
    <w:rsid w:val="51143E36"/>
    <w:rsid w:val="51B64100"/>
    <w:rsid w:val="51BA535F"/>
    <w:rsid w:val="51E250D8"/>
    <w:rsid w:val="520F3DEC"/>
    <w:rsid w:val="523D1527"/>
    <w:rsid w:val="52777BFF"/>
    <w:rsid w:val="529D66A5"/>
    <w:rsid w:val="52EC7D2B"/>
    <w:rsid w:val="52FE0406"/>
    <w:rsid w:val="5369118E"/>
    <w:rsid w:val="538641A5"/>
    <w:rsid w:val="53A20446"/>
    <w:rsid w:val="544F742F"/>
    <w:rsid w:val="54921C42"/>
    <w:rsid w:val="54AF6350"/>
    <w:rsid w:val="54F46D9A"/>
    <w:rsid w:val="54FF4107"/>
    <w:rsid w:val="550830ED"/>
    <w:rsid w:val="5565598D"/>
    <w:rsid w:val="558E2A8E"/>
    <w:rsid w:val="55CD0652"/>
    <w:rsid w:val="5653422A"/>
    <w:rsid w:val="567F4441"/>
    <w:rsid w:val="56CE4306"/>
    <w:rsid w:val="577F2287"/>
    <w:rsid w:val="57E82B41"/>
    <w:rsid w:val="57FFE55F"/>
    <w:rsid w:val="583D54B7"/>
    <w:rsid w:val="591F781C"/>
    <w:rsid w:val="592A66EA"/>
    <w:rsid w:val="5967369D"/>
    <w:rsid w:val="59F2440F"/>
    <w:rsid w:val="59FF33BB"/>
    <w:rsid w:val="5A0911E5"/>
    <w:rsid w:val="5A6220B6"/>
    <w:rsid w:val="5A8C29F7"/>
    <w:rsid w:val="5AB67D0C"/>
    <w:rsid w:val="5AEF565D"/>
    <w:rsid w:val="5B17128C"/>
    <w:rsid w:val="5B1C0974"/>
    <w:rsid w:val="5B63162A"/>
    <w:rsid w:val="5B632DCF"/>
    <w:rsid w:val="5B96535A"/>
    <w:rsid w:val="5BB93DE6"/>
    <w:rsid w:val="5BEA1BC1"/>
    <w:rsid w:val="5C052E3E"/>
    <w:rsid w:val="5C1139C9"/>
    <w:rsid w:val="5C13266B"/>
    <w:rsid w:val="5C5C7F92"/>
    <w:rsid w:val="5CC90FA1"/>
    <w:rsid w:val="5CC93D27"/>
    <w:rsid w:val="5CF4D17C"/>
    <w:rsid w:val="5D003940"/>
    <w:rsid w:val="5D283143"/>
    <w:rsid w:val="5D4D2E36"/>
    <w:rsid w:val="5D7A522A"/>
    <w:rsid w:val="5DB90E35"/>
    <w:rsid w:val="5DCA52D5"/>
    <w:rsid w:val="5DCC3105"/>
    <w:rsid w:val="5DE20325"/>
    <w:rsid w:val="5DF7AB9D"/>
    <w:rsid w:val="5E23572D"/>
    <w:rsid w:val="5E2F4243"/>
    <w:rsid w:val="5E727D1A"/>
    <w:rsid w:val="5E94404B"/>
    <w:rsid w:val="5E963D25"/>
    <w:rsid w:val="5E9C625D"/>
    <w:rsid w:val="5F7268F8"/>
    <w:rsid w:val="5FAE1BFF"/>
    <w:rsid w:val="5FB14E63"/>
    <w:rsid w:val="5FB1743B"/>
    <w:rsid w:val="5FB7DA5E"/>
    <w:rsid w:val="5FBD48AB"/>
    <w:rsid w:val="5FC16D60"/>
    <w:rsid w:val="5FC7529F"/>
    <w:rsid w:val="5FD70E51"/>
    <w:rsid w:val="5FDFE52C"/>
    <w:rsid w:val="5FEB1128"/>
    <w:rsid w:val="5FF14C4B"/>
    <w:rsid w:val="5FF300C8"/>
    <w:rsid w:val="60C074F6"/>
    <w:rsid w:val="60C07D05"/>
    <w:rsid w:val="615A7643"/>
    <w:rsid w:val="615C1007"/>
    <w:rsid w:val="617379F9"/>
    <w:rsid w:val="617D9D3B"/>
    <w:rsid w:val="61F920E6"/>
    <w:rsid w:val="62303FA1"/>
    <w:rsid w:val="62907AC7"/>
    <w:rsid w:val="631A1E12"/>
    <w:rsid w:val="6322645A"/>
    <w:rsid w:val="63586347"/>
    <w:rsid w:val="636BB219"/>
    <w:rsid w:val="63976AC5"/>
    <w:rsid w:val="63D00091"/>
    <w:rsid w:val="641C70F9"/>
    <w:rsid w:val="641E6C66"/>
    <w:rsid w:val="64775C32"/>
    <w:rsid w:val="647D04BF"/>
    <w:rsid w:val="64E51F62"/>
    <w:rsid w:val="64E6E66E"/>
    <w:rsid w:val="64FF5933"/>
    <w:rsid w:val="652C0297"/>
    <w:rsid w:val="65C4109F"/>
    <w:rsid w:val="65ED6DB7"/>
    <w:rsid w:val="661C14D1"/>
    <w:rsid w:val="661C3E75"/>
    <w:rsid w:val="66956928"/>
    <w:rsid w:val="66BEB659"/>
    <w:rsid w:val="66DA23D4"/>
    <w:rsid w:val="67162EE6"/>
    <w:rsid w:val="674825D2"/>
    <w:rsid w:val="675C3759"/>
    <w:rsid w:val="677AE75F"/>
    <w:rsid w:val="67806F5E"/>
    <w:rsid w:val="67A95EC9"/>
    <w:rsid w:val="67AB6131"/>
    <w:rsid w:val="67B53EC5"/>
    <w:rsid w:val="67FFD8F4"/>
    <w:rsid w:val="6844539A"/>
    <w:rsid w:val="68AC7D6C"/>
    <w:rsid w:val="68DBA29C"/>
    <w:rsid w:val="68E5013A"/>
    <w:rsid w:val="68F7491A"/>
    <w:rsid w:val="69225C4A"/>
    <w:rsid w:val="693906A8"/>
    <w:rsid w:val="69773741"/>
    <w:rsid w:val="69D01E92"/>
    <w:rsid w:val="6A7FC54D"/>
    <w:rsid w:val="6AED2843"/>
    <w:rsid w:val="6B2D5DC9"/>
    <w:rsid w:val="6B2D8691"/>
    <w:rsid w:val="6B7B038E"/>
    <w:rsid w:val="6BCFC0B7"/>
    <w:rsid w:val="6BDF918F"/>
    <w:rsid w:val="6BFADEB0"/>
    <w:rsid w:val="6C394BF4"/>
    <w:rsid w:val="6C3A2ED6"/>
    <w:rsid w:val="6C7C440D"/>
    <w:rsid w:val="6CCC38DF"/>
    <w:rsid w:val="6D3D2CBA"/>
    <w:rsid w:val="6D5B7218"/>
    <w:rsid w:val="6D7DC5F7"/>
    <w:rsid w:val="6D7F3AC7"/>
    <w:rsid w:val="6DCC1F4E"/>
    <w:rsid w:val="6DD47F0B"/>
    <w:rsid w:val="6DFE1BFA"/>
    <w:rsid w:val="6E201EBC"/>
    <w:rsid w:val="6E3E64E0"/>
    <w:rsid w:val="6EE7778B"/>
    <w:rsid w:val="6EEF0CB5"/>
    <w:rsid w:val="6EF1B3DE"/>
    <w:rsid w:val="6EF79AF0"/>
    <w:rsid w:val="6EFD827F"/>
    <w:rsid w:val="6F0A08FB"/>
    <w:rsid w:val="6F4C0E23"/>
    <w:rsid w:val="6F5786B2"/>
    <w:rsid w:val="6F7EEBAA"/>
    <w:rsid w:val="6F9F74E8"/>
    <w:rsid w:val="6FA13970"/>
    <w:rsid w:val="6FED2119"/>
    <w:rsid w:val="6FF6D9A2"/>
    <w:rsid w:val="6FFB6ADF"/>
    <w:rsid w:val="6FFFD0C1"/>
    <w:rsid w:val="6FFFD583"/>
    <w:rsid w:val="700370F8"/>
    <w:rsid w:val="70570E86"/>
    <w:rsid w:val="715A77D1"/>
    <w:rsid w:val="7161790E"/>
    <w:rsid w:val="71D77714"/>
    <w:rsid w:val="71FD6F45"/>
    <w:rsid w:val="726E73F3"/>
    <w:rsid w:val="729A120A"/>
    <w:rsid w:val="73085DE9"/>
    <w:rsid w:val="73496A24"/>
    <w:rsid w:val="7367640F"/>
    <w:rsid w:val="73740A94"/>
    <w:rsid w:val="73CB546B"/>
    <w:rsid w:val="73FDA88F"/>
    <w:rsid w:val="73FDF659"/>
    <w:rsid w:val="740A166F"/>
    <w:rsid w:val="74BA1CB8"/>
    <w:rsid w:val="74C23896"/>
    <w:rsid w:val="74C355EB"/>
    <w:rsid w:val="74DFC330"/>
    <w:rsid w:val="74E639B0"/>
    <w:rsid w:val="74F45A35"/>
    <w:rsid w:val="75522BE1"/>
    <w:rsid w:val="7557B2D2"/>
    <w:rsid w:val="755A5749"/>
    <w:rsid w:val="755F1CA9"/>
    <w:rsid w:val="757426BE"/>
    <w:rsid w:val="75790588"/>
    <w:rsid w:val="75E9F34E"/>
    <w:rsid w:val="765F70AB"/>
    <w:rsid w:val="767876FB"/>
    <w:rsid w:val="76D33900"/>
    <w:rsid w:val="76D4DF11"/>
    <w:rsid w:val="77117DB2"/>
    <w:rsid w:val="776BAE22"/>
    <w:rsid w:val="779F1C79"/>
    <w:rsid w:val="77CC08AC"/>
    <w:rsid w:val="77D6661E"/>
    <w:rsid w:val="77F523F1"/>
    <w:rsid w:val="77F7C291"/>
    <w:rsid w:val="77FE7639"/>
    <w:rsid w:val="78B79536"/>
    <w:rsid w:val="78E17616"/>
    <w:rsid w:val="790204EA"/>
    <w:rsid w:val="792F3A80"/>
    <w:rsid w:val="795F8146"/>
    <w:rsid w:val="79F78A18"/>
    <w:rsid w:val="79FD3D08"/>
    <w:rsid w:val="79FE1BE4"/>
    <w:rsid w:val="7A02569D"/>
    <w:rsid w:val="7A13262E"/>
    <w:rsid w:val="7A1C02B0"/>
    <w:rsid w:val="7A721A4A"/>
    <w:rsid w:val="7A7A1D80"/>
    <w:rsid w:val="7A8C6815"/>
    <w:rsid w:val="7AD55A29"/>
    <w:rsid w:val="7AD74A49"/>
    <w:rsid w:val="7AEF35F8"/>
    <w:rsid w:val="7AFB141D"/>
    <w:rsid w:val="7B3AF7F6"/>
    <w:rsid w:val="7B5D0004"/>
    <w:rsid w:val="7B7A4743"/>
    <w:rsid w:val="7BA1D2EB"/>
    <w:rsid w:val="7BB7DCCE"/>
    <w:rsid w:val="7BBB90DC"/>
    <w:rsid w:val="7BD561D9"/>
    <w:rsid w:val="7BDB74D2"/>
    <w:rsid w:val="7BEDD01B"/>
    <w:rsid w:val="7BF44CDB"/>
    <w:rsid w:val="7BF81ADB"/>
    <w:rsid w:val="7BFBED08"/>
    <w:rsid w:val="7BFF5988"/>
    <w:rsid w:val="7BFFC576"/>
    <w:rsid w:val="7C0D37D8"/>
    <w:rsid w:val="7C213D5D"/>
    <w:rsid w:val="7C340D46"/>
    <w:rsid w:val="7C4E1D49"/>
    <w:rsid w:val="7C7F6511"/>
    <w:rsid w:val="7C9BCEFD"/>
    <w:rsid w:val="7CBE9CC3"/>
    <w:rsid w:val="7CDB38D7"/>
    <w:rsid w:val="7CEED15B"/>
    <w:rsid w:val="7CF34F7D"/>
    <w:rsid w:val="7CFC608E"/>
    <w:rsid w:val="7CFC6CDD"/>
    <w:rsid w:val="7D4FCF64"/>
    <w:rsid w:val="7D555B66"/>
    <w:rsid w:val="7D7F5B96"/>
    <w:rsid w:val="7DAF1DE1"/>
    <w:rsid w:val="7DBFF2CB"/>
    <w:rsid w:val="7DDF6630"/>
    <w:rsid w:val="7DEBD9CC"/>
    <w:rsid w:val="7DEFBA9F"/>
    <w:rsid w:val="7DF3DFBA"/>
    <w:rsid w:val="7E1A7728"/>
    <w:rsid w:val="7E1C14F1"/>
    <w:rsid w:val="7E304EDA"/>
    <w:rsid w:val="7E9B7482"/>
    <w:rsid w:val="7EAF205C"/>
    <w:rsid w:val="7EBFD684"/>
    <w:rsid w:val="7ED52129"/>
    <w:rsid w:val="7EDDB8D6"/>
    <w:rsid w:val="7EE8B75D"/>
    <w:rsid w:val="7EEF3ECD"/>
    <w:rsid w:val="7F1437D4"/>
    <w:rsid w:val="7F47C0D6"/>
    <w:rsid w:val="7F4FFCA0"/>
    <w:rsid w:val="7F5D4BD7"/>
    <w:rsid w:val="7F77D2C0"/>
    <w:rsid w:val="7F7F84EB"/>
    <w:rsid w:val="7F7FFA4F"/>
    <w:rsid w:val="7F97021F"/>
    <w:rsid w:val="7FAF1539"/>
    <w:rsid w:val="7FAF4694"/>
    <w:rsid w:val="7FB970CD"/>
    <w:rsid w:val="7FBD748E"/>
    <w:rsid w:val="7FBE50FB"/>
    <w:rsid w:val="7FCB129E"/>
    <w:rsid w:val="7FCD7A5A"/>
    <w:rsid w:val="7FCFDC8C"/>
    <w:rsid w:val="7FE7CCDF"/>
    <w:rsid w:val="7FEF263F"/>
    <w:rsid w:val="7FF63B26"/>
    <w:rsid w:val="7FFA0AB6"/>
    <w:rsid w:val="7FFD4F76"/>
    <w:rsid w:val="7FFE8F59"/>
    <w:rsid w:val="7FFEDAA8"/>
    <w:rsid w:val="7FFF065D"/>
    <w:rsid w:val="7FFF5B3C"/>
    <w:rsid w:val="7FFF5D9F"/>
    <w:rsid w:val="7FFFC70E"/>
    <w:rsid w:val="89FEC2A7"/>
    <w:rsid w:val="8B3EF730"/>
    <w:rsid w:val="8D63EF40"/>
    <w:rsid w:val="8FE82D8A"/>
    <w:rsid w:val="93D7AF6A"/>
    <w:rsid w:val="97C67C0D"/>
    <w:rsid w:val="9BBF68B9"/>
    <w:rsid w:val="9CFBADB6"/>
    <w:rsid w:val="9CFC3E1D"/>
    <w:rsid w:val="9DFAD0BC"/>
    <w:rsid w:val="9DFBD510"/>
    <w:rsid w:val="9F6B3E76"/>
    <w:rsid w:val="9FBF3707"/>
    <w:rsid w:val="9FBFFA51"/>
    <w:rsid w:val="9FD5FAFF"/>
    <w:rsid w:val="9FFE8A03"/>
    <w:rsid w:val="A472E178"/>
    <w:rsid w:val="A4E798A0"/>
    <w:rsid w:val="A5BF1EB7"/>
    <w:rsid w:val="A6BD00DD"/>
    <w:rsid w:val="A77FD770"/>
    <w:rsid w:val="A7F8DB6F"/>
    <w:rsid w:val="AB471812"/>
    <w:rsid w:val="ABEF338F"/>
    <w:rsid w:val="ABF7E00B"/>
    <w:rsid w:val="ADF58B04"/>
    <w:rsid w:val="AEEE7E38"/>
    <w:rsid w:val="AEFF97E9"/>
    <w:rsid w:val="AFCAA983"/>
    <w:rsid w:val="B3EFF83F"/>
    <w:rsid w:val="B3FFD64E"/>
    <w:rsid w:val="B4EA6CFF"/>
    <w:rsid w:val="B6FF5E26"/>
    <w:rsid w:val="B97E9ADD"/>
    <w:rsid w:val="BB178087"/>
    <w:rsid w:val="BB7F4F60"/>
    <w:rsid w:val="BCF1B6B7"/>
    <w:rsid w:val="BD9C35E8"/>
    <w:rsid w:val="BDDB0635"/>
    <w:rsid w:val="BDEFD468"/>
    <w:rsid w:val="BE7F7C08"/>
    <w:rsid w:val="BEDF0E17"/>
    <w:rsid w:val="BEED2089"/>
    <w:rsid w:val="BFBBA1BE"/>
    <w:rsid w:val="BFEF477E"/>
    <w:rsid w:val="BFF72D3A"/>
    <w:rsid w:val="BFFA5F15"/>
    <w:rsid w:val="BFFE3081"/>
    <w:rsid w:val="C6D7CA38"/>
    <w:rsid w:val="C7ED5DB9"/>
    <w:rsid w:val="CD7BAFEB"/>
    <w:rsid w:val="CEBDA9F2"/>
    <w:rsid w:val="CFF6F015"/>
    <w:rsid w:val="D15FF016"/>
    <w:rsid w:val="D6B66DA1"/>
    <w:rsid w:val="D72AD3E5"/>
    <w:rsid w:val="D7BF8622"/>
    <w:rsid w:val="D7EFE386"/>
    <w:rsid w:val="D9DF9E70"/>
    <w:rsid w:val="D9EB893F"/>
    <w:rsid w:val="DB7C1502"/>
    <w:rsid w:val="DBFB74E4"/>
    <w:rsid w:val="DBFD52FB"/>
    <w:rsid w:val="DD5DC087"/>
    <w:rsid w:val="DDF5C07B"/>
    <w:rsid w:val="DEFFFD2F"/>
    <w:rsid w:val="DF6B62EF"/>
    <w:rsid w:val="DF7E6276"/>
    <w:rsid w:val="DFBB9285"/>
    <w:rsid w:val="DFBDA96C"/>
    <w:rsid w:val="DFEEB737"/>
    <w:rsid w:val="E23F2E24"/>
    <w:rsid w:val="E37E4DE0"/>
    <w:rsid w:val="E5ED114E"/>
    <w:rsid w:val="E73F52D5"/>
    <w:rsid w:val="E77D609D"/>
    <w:rsid w:val="E7AE4D09"/>
    <w:rsid w:val="E7BF9B0F"/>
    <w:rsid w:val="E8BDEDBF"/>
    <w:rsid w:val="E8BFA839"/>
    <w:rsid w:val="E9AD8CD0"/>
    <w:rsid w:val="EA9F4107"/>
    <w:rsid w:val="EBBE4183"/>
    <w:rsid w:val="EBBF143E"/>
    <w:rsid w:val="EBCB45BD"/>
    <w:rsid w:val="EBEB8DCF"/>
    <w:rsid w:val="EBF16B37"/>
    <w:rsid w:val="EE95D34B"/>
    <w:rsid w:val="EEDC1C9B"/>
    <w:rsid w:val="EF67AA03"/>
    <w:rsid w:val="EF7E1EDE"/>
    <w:rsid w:val="EFADC751"/>
    <w:rsid w:val="EFAFE9A5"/>
    <w:rsid w:val="EFBCE479"/>
    <w:rsid w:val="EFBF1993"/>
    <w:rsid w:val="EFDB99F4"/>
    <w:rsid w:val="EFDFD73E"/>
    <w:rsid w:val="EFEF862E"/>
    <w:rsid w:val="EFFB200D"/>
    <w:rsid w:val="F14F505D"/>
    <w:rsid w:val="F3FBA800"/>
    <w:rsid w:val="F5571627"/>
    <w:rsid w:val="F55FFD5A"/>
    <w:rsid w:val="F58C2F51"/>
    <w:rsid w:val="F5B6090C"/>
    <w:rsid w:val="F5CFDD56"/>
    <w:rsid w:val="F5F7D0EE"/>
    <w:rsid w:val="F62D76D6"/>
    <w:rsid w:val="F6E56E53"/>
    <w:rsid w:val="F6EE4EEB"/>
    <w:rsid w:val="F6FD2F35"/>
    <w:rsid w:val="F77EB5E7"/>
    <w:rsid w:val="F7E73A21"/>
    <w:rsid w:val="F7FBA139"/>
    <w:rsid w:val="F7FBFBB2"/>
    <w:rsid w:val="F7FF010E"/>
    <w:rsid w:val="F8789045"/>
    <w:rsid w:val="F9EBE196"/>
    <w:rsid w:val="FA7F42A0"/>
    <w:rsid w:val="FABC7DC6"/>
    <w:rsid w:val="FB3F8C11"/>
    <w:rsid w:val="FB5F806B"/>
    <w:rsid w:val="FB77A0A4"/>
    <w:rsid w:val="FB7B1E06"/>
    <w:rsid w:val="FBBD24A8"/>
    <w:rsid w:val="FBDAA151"/>
    <w:rsid w:val="FBF3278C"/>
    <w:rsid w:val="FBFE2490"/>
    <w:rsid w:val="FBFF7EA3"/>
    <w:rsid w:val="FC3A5889"/>
    <w:rsid w:val="FC51651F"/>
    <w:rsid w:val="FCF70AC3"/>
    <w:rsid w:val="FD2E70AC"/>
    <w:rsid w:val="FD7D5EE9"/>
    <w:rsid w:val="FD8C5271"/>
    <w:rsid w:val="FDEFA7E7"/>
    <w:rsid w:val="FE331508"/>
    <w:rsid w:val="FEDFBE06"/>
    <w:rsid w:val="FEEAB2FC"/>
    <w:rsid w:val="FEF7C764"/>
    <w:rsid w:val="FEF8A3B9"/>
    <w:rsid w:val="FEFE121C"/>
    <w:rsid w:val="FEFF0157"/>
    <w:rsid w:val="FF194D29"/>
    <w:rsid w:val="FF2DF858"/>
    <w:rsid w:val="FF3910AF"/>
    <w:rsid w:val="FF6747E4"/>
    <w:rsid w:val="FF79F32E"/>
    <w:rsid w:val="FF79F854"/>
    <w:rsid w:val="FF7CC033"/>
    <w:rsid w:val="FF7D8E66"/>
    <w:rsid w:val="FF9BDD27"/>
    <w:rsid w:val="FF9E5182"/>
    <w:rsid w:val="FF9FCCE4"/>
    <w:rsid w:val="FFAF2A1F"/>
    <w:rsid w:val="FFB6E946"/>
    <w:rsid w:val="FFBB938D"/>
    <w:rsid w:val="FFBBD333"/>
    <w:rsid w:val="FFBFB816"/>
    <w:rsid w:val="FFC63B8F"/>
    <w:rsid w:val="FFDCEA17"/>
    <w:rsid w:val="FFDF7A03"/>
    <w:rsid w:val="FFE73C8C"/>
    <w:rsid w:val="FFED0EC0"/>
    <w:rsid w:val="FFEF26BF"/>
    <w:rsid w:val="FFEF9390"/>
    <w:rsid w:val="FFF33D9C"/>
    <w:rsid w:val="FFF786CB"/>
    <w:rsid w:val="FFFA7FF3"/>
    <w:rsid w:val="FFFB46E8"/>
    <w:rsid w:val="FFFB5A91"/>
    <w:rsid w:val="FFFF9AAE"/>
    <w:rsid w:val="FFFFB7F9"/>
    <w:rsid w:val="FFFFC1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qFormat="1" w:uiPriority="99" w:semiHidden="0"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ocked="1"/>
    <w:lsdException w:qFormat="1" w:uiPriority="99" w:semiHidden="0"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qFormat="1" w:unhideWhenUsed="0" w:uiPriority="99" w:semiHidden="0" w:name="Date"/>
    <w:lsdException w:uiPriority="99" w:name="Body Text First Indent"/>
    <w:lsdException w:qFormat="1" w:uiPriority="99" w:name="Body Text First Indent 2"/>
    <w:lsdException w:uiPriority="99" w:name="Note Heading"/>
    <w:lsdException w:qFormat="1" w:unhideWhenUsed="0" w:uiPriority="99" w:semiHidden="0" w:name="Body Text 2"/>
    <w:lsdException w:uiPriority="99" w:name="Body Text 3"/>
    <w:lsdException w:qFormat="1" w:unhideWhenUsed="0" w:uiPriority="99" w:semiHidden="0"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99" w:semiHidden="0" w:name="Emphasis"/>
    <w:lsdException w:uiPriority="99" w:name="Document Map"/>
    <w:lsdException w:qFormat="1" w:unhideWhenUsed="0"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qFormat="1" w:unhideWhenUsed="0" w:uiPriority="99" w:semiHidden="0" w:name="HTML Cite"/>
    <w:lsdException w:qFormat="1" w:unhideWhenUsed="0" w:uiPriority="99" w:semiHidden="0" w:name="HTML Code"/>
    <w:lsdException w:qFormat="1" w:unhideWhenUsed="0" w:uiPriority="99" w:semiHidden="0" w:name="HTML Definition"/>
    <w:lsdException w:qFormat="1" w:unhideWhenUsed="0" w:uiPriority="99" w:semiHidden="0" w:name="HTML Keyboard"/>
    <w:lsdException w:qFormat="1" w:unhideWhenUsed="0" w:uiPriority="99" w:semiHidden="0" w:name="HTML Preformatted"/>
    <w:lsdException w:qFormat="1" w:unhideWhenUsed="0" w:uiPriority="99" w:semiHidden="0" w:name="HTML Sample"/>
    <w:lsdException w:uiPriority="99" w:name="HTML Typewriter"/>
    <w:lsdException w:qFormat="1" w:unhideWhenUsed="0" w:uiPriority="99" w:semiHidden="0"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0" w:name="Table Subtle 2" w:locked="1"/>
    <w:lsdException w:uiPriority="99" w:name="Table Web 1"/>
    <w:lsdException w:uiPriority="99" w:name="Table Web 2"/>
    <w:lsdException w:uiPriority="0" w:name="Table Web 3" w:locked="1"/>
    <w:lsdException w:qFormat="1" w:unhideWhenUsed="0"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4"/>
      <w:lang w:val="en-US" w:eastAsia="zh-CN" w:bidi="ar-SA"/>
    </w:rPr>
  </w:style>
  <w:style w:type="paragraph" w:styleId="2">
    <w:name w:val="heading 1"/>
    <w:basedOn w:val="1"/>
    <w:next w:val="3"/>
    <w:link w:val="55"/>
    <w:qFormat/>
    <w:uiPriority w:val="1"/>
    <w:pPr>
      <w:keepNext/>
      <w:keepLines/>
      <w:widowControl w:val="0"/>
      <w:spacing w:line="360" w:lineRule="auto"/>
      <w:jc w:val="both"/>
      <w:outlineLvl w:val="0"/>
    </w:pPr>
    <w:rPr>
      <w:rFonts w:ascii="Calibri" w:hAnsi="Calibri"/>
      <w:b/>
      <w:bCs/>
      <w:color w:val="000000"/>
      <w:kern w:val="44"/>
      <w:szCs w:val="44"/>
      <w:u w:color="000000"/>
    </w:rPr>
  </w:style>
  <w:style w:type="paragraph" w:styleId="4">
    <w:name w:val="heading 2"/>
    <w:basedOn w:val="1"/>
    <w:next w:val="1"/>
    <w:link w:val="56"/>
    <w:qFormat/>
    <w:uiPriority w:val="1"/>
    <w:pPr>
      <w:keepNext/>
      <w:keepLines/>
      <w:spacing w:before="260" w:after="260" w:line="416" w:lineRule="auto"/>
      <w:outlineLvl w:val="1"/>
    </w:pPr>
    <w:rPr>
      <w:rFonts w:ascii="Helvetica" w:hAnsi="Helvetica" w:eastAsia="黑体"/>
      <w:b/>
      <w:bCs/>
      <w:sz w:val="32"/>
      <w:szCs w:val="32"/>
    </w:rPr>
  </w:style>
  <w:style w:type="paragraph" w:styleId="5">
    <w:name w:val="heading 3"/>
    <w:basedOn w:val="1"/>
    <w:next w:val="1"/>
    <w:link w:val="57"/>
    <w:qFormat/>
    <w:uiPriority w:val="1"/>
    <w:pPr>
      <w:keepNext/>
      <w:keepLines/>
      <w:spacing w:before="260" w:after="260" w:line="416" w:lineRule="auto"/>
      <w:outlineLvl w:val="2"/>
    </w:pPr>
    <w:rPr>
      <w:b/>
      <w:bCs/>
      <w:sz w:val="32"/>
      <w:szCs w:val="32"/>
    </w:rPr>
  </w:style>
  <w:style w:type="paragraph" w:styleId="6">
    <w:name w:val="heading 4"/>
    <w:basedOn w:val="1"/>
    <w:next w:val="1"/>
    <w:link w:val="58"/>
    <w:qFormat/>
    <w:uiPriority w:val="1"/>
    <w:pPr>
      <w:keepNext/>
      <w:keepLines/>
      <w:spacing w:before="280" w:after="290" w:line="376" w:lineRule="auto"/>
      <w:outlineLvl w:val="3"/>
    </w:pPr>
    <w:rPr>
      <w:rFonts w:ascii="Helvetica" w:hAnsi="Helvetica" w:eastAsia="黑体"/>
      <w:b/>
      <w:bCs/>
      <w:sz w:val="28"/>
      <w:szCs w:val="28"/>
    </w:rPr>
  </w:style>
  <w:style w:type="paragraph" w:styleId="7">
    <w:name w:val="heading 5"/>
    <w:basedOn w:val="1"/>
    <w:next w:val="1"/>
    <w:link w:val="59"/>
    <w:qFormat/>
    <w:uiPriority w:val="99"/>
    <w:pPr>
      <w:keepNext/>
      <w:keepLines/>
      <w:spacing w:before="280" w:after="290" w:line="376" w:lineRule="auto"/>
      <w:outlineLvl w:val="4"/>
    </w:pPr>
    <w:rPr>
      <w:b/>
      <w:bCs/>
      <w:sz w:val="28"/>
      <w:szCs w:val="28"/>
    </w:rPr>
  </w:style>
  <w:style w:type="paragraph" w:styleId="8">
    <w:name w:val="heading 6"/>
    <w:basedOn w:val="1"/>
    <w:next w:val="1"/>
    <w:link w:val="60"/>
    <w:qFormat/>
    <w:uiPriority w:val="99"/>
    <w:pPr>
      <w:keepNext/>
      <w:keepLines/>
      <w:spacing w:before="240" w:after="64" w:line="320" w:lineRule="auto"/>
      <w:outlineLvl w:val="5"/>
    </w:pPr>
    <w:rPr>
      <w:rFonts w:ascii="Helvetica" w:hAnsi="Helvetica" w:eastAsia="黑体"/>
      <w:b/>
      <w:bCs/>
    </w:rPr>
  </w:style>
  <w:style w:type="paragraph" w:styleId="9">
    <w:name w:val="heading 7"/>
    <w:basedOn w:val="1"/>
    <w:next w:val="1"/>
    <w:link w:val="61"/>
    <w:qFormat/>
    <w:uiPriority w:val="99"/>
    <w:pPr>
      <w:keepNext/>
      <w:keepLines/>
      <w:spacing w:before="240" w:after="64" w:line="320" w:lineRule="auto"/>
      <w:outlineLvl w:val="6"/>
    </w:pPr>
    <w:rPr>
      <w:b/>
      <w:bCs/>
    </w:rPr>
  </w:style>
  <w:style w:type="paragraph" w:styleId="10">
    <w:name w:val="heading 8"/>
    <w:basedOn w:val="1"/>
    <w:next w:val="1"/>
    <w:link w:val="62"/>
    <w:qFormat/>
    <w:uiPriority w:val="99"/>
    <w:pPr>
      <w:keepNext/>
      <w:keepLines/>
      <w:spacing w:before="240" w:after="64" w:line="320" w:lineRule="auto"/>
      <w:outlineLvl w:val="7"/>
    </w:pPr>
    <w:rPr>
      <w:rFonts w:ascii="Helvetica" w:hAnsi="Helvetica" w:eastAsia="黑体"/>
    </w:rPr>
  </w:style>
  <w:style w:type="paragraph" w:styleId="11">
    <w:name w:val="heading 9"/>
    <w:basedOn w:val="1"/>
    <w:next w:val="1"/>
    <w:link w:val="63"/>
    <w:qFormat/>
    <w:uiPriority w:val="99"/>
    <w:pPr>
      <w:keepNext/>
      <w:keepLines/>
      <w:spacing w:before="240" w:after="64" w:line="320" w:lineRule="auto"/>
      <w:outlineLvl w:val="8"/>
    </w:pPr>
    <w:rPr>
      <w:rFonts w:ascii="Helvetica" w:hAnsi="Helvetica" w:eastAsia="黑体"/>
      <w:sz w:val="21"/>
      <w:szCs w:val="21"/>
    </w:rPr>
  </w:style>
  <w:style w:type="character" w:default="1" w:styleId="43">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customStyle="1" w:styleId="3">
    <w:name w:val="正文 A"/>
    <w:link w:val="154"/>
    <w:qFormat/>
    <w:uiPriority w:val="99"/>
    <w:pPr>
      <w:widowControl w:val="0"/>
      <w:jc w:val="both"/>
    </w:pPr>
    <w:rPr>
      <w:rFonts w:ascii="Calibri" w:hAnsi="Calibri" w:eastAsia="宋体" w:cs="Calibri"/>
      <w:color w:val="000000"/>
      <w:kern w:val="2"/>
      <w:sz w:val="21"/>
      <w:szCs w:val="21"/>
      <w:u w:color="000000"/>
      <w:lang w:val="en-US" w:eastAsia="zh-CN" w:bidi="ar-SA"/>
    </w:rPr>
  </w:style>
  <w:style w:type="paragraph" w:styleId="12">
    <w:name w:val="toc 7"/>
    <w:basedOn w:val="1"/>
    <w:next w:val="1"/>
    <w:qFormat/>
    <w:uiPriority w:val="39"/>
    <w:pPr>
      <w:ind w:left="1440"/>
    </w:pPr>
    <w:rPr>
      <w:rFonts w:ascii="Helvetica" w:hAnsi="Helvetica" w:cs="Helvetica"/>
      <w:sz w:val="18"/>
      <w:szCs w:val="18"/>
    </w:rPr>
  </w:style>
  <w:style w:type="paragraph" w:styleId="13">
    <w:name w:val="Normal Indent"/>
    <w:basedOn w:val="1"/>
    <w:qFormat/>
    <w:uiPriority w:val="99"/>
    <w:pPr>
      <w:widowControl w:val="0"/>
      <w:ind w:firstLine="420"/>
      <w:jc w:val="both"/>
    </w:pPr>
    <w:rPr>
      <w:sz w:val="21"/>
      <w:lang w:val="en-GB"/>
    </w:rPr>
  </w:style>
  <w:style w:type="paragraph" w:styleId="14">
    <w:name w:val="caption"/>
    <w:basedOn w:val="1"/>
    <w:next w:val="1"/>
    <w:link w:val="160"/>
    <w:unhideWhenUsed/>
    <w:qFormat/>
    <w:locked/>
    <w:uiPriority w:val="35"/>
    <w:rPr>
      <w:rFonts w:eastAsia="黑体" w:asciiTheme="majorHAnsi" w:hAnsiTheme="majorHAnsi" w:cstheme="majorBidi"/>
      <w:sz w:val="20"/>
    </w:rPr>
  </w:style>
  <w:style w:type="paragraph" w:styleId="15">
    <w:name w:val="index 5"/>
    <w:basedOn w:val="1"/>
    <w:next w:val="1"/>
    <w:unhideWhenUsed/>
    <w:qFormat/>
    <w:uiPriority w:val="99"/>
    <w:pPr>
      <w:ind w:left="1920" w:leftChars="800"/>
    </w:pPr>
  </w:style>
  <w:style w:type="paragraph" w:styleId="16">
    <w:name w:val="annotation text"/>
    <w:basedOn w:val="1"/>
    <w:link w:val="64"/>
    <w:qFormat/>
    <w:uiPriority w:val="0"/>
    <w:rPr>
      <w:kern w:val="0"/>
      <w:szCs w:val="24"/>
    </w:rPr>
  </w:style>
  <w:style w:type="paragraph" w:styleId="17">
    <w:name w:val="Body Text"/>
    <w:basedOn w:val="1"/>
    <w:link w:val="65"/>
    <w:qFormat/>
    <w:uiPriority w:val="99"/>
    <w:pPr>
      <w:spacing w:after="120"/>
    </w:pPr>
  </w:style>
  <w:style w:type="paragraph" w:styleId="18">
    <w:name w:val="Body Text Indent"/>
    <w:basedOn w:val="1"/>
    <w:link w:val="147"/>
    <w:unhideWhenUsed/>
    <w:qFormat/>
    <w:uiPriority w:val="99"/>
    <w:pPr>
      <w:spacing w:line="360" w:lineRule="auto"/>
      <w:ind w:left="471" w:firstLine="480" w:firstLineChars="200"/>
    </w:pPr>
  </w:style>
  <w:style w:type="paragraph" w:styleId="19">
    <w:name w:val="toc 5"/>
    <w:basedOn w:val="1"/>
    <w:next w:val="1"/>
    <w:qFormat/>
    <w:uiPriority w:val="39"/>
    <w:pPr>
      <w:ind w:left="960"/>
    </w:pPr>
    <w:rPr>
      <w:rFonts w:ascii="Helvetica" w:hAnsi="Helvetica" w:cs="Helvetica"/>
      <w:sz w:val="18"/>
      <w:szCs w:val="18"/>
    </w:rPr>
  </w:style>
  <w:style w:type="paragraph" w:styleId="20">
    <w:name w:val="toc 3"/>
    <w:basedOn w:val="1"/>
    <w:next w:val="1"/>
    <w:qFormat/>
    <w:uiPriority w:val="39"/>
    <w:pPr>
      <w:ind w:left="400" w:leftChars="400"/>
    </w:pPr>
    <w:rPr>
      <w:rFonts w:cs="Helvetica"/>
      <w:iCs/>
    </w:rPr>
  </w:style>
  <w:style w:type="paragraph" w:styleId="21">
    <w:name w:val="Plain Text"/>
    <w:basedOn w:val="1"/>
    <w:link w:val="167"/>
    <w:qFormat/>
    <w:uiPriority w:val="99"/>
    <w:pPr>
      <w:widowControl w:val="0"/>
      <w:jc w:val="both"/>
    </w:pPr>
    <w:rPr>
      <w:rFonts w:ascii="宋体" w:hAnsi="Courier New" w:cs="宋体" w:eastAsiaTheme="minorEastAsia"/>
      <w:sz w:val="21"/>
      <w:szCs w:val="21"/>
    </w:rPr>
  </w:style>
  <w:style w:type="paragraph" w:styleId="22">
    <w:name w:val="toc 8"/>
    <w:basedOn w:val="1"/>
    <w:next w:val="1"/>
    <w:qFormat/>
    <w:uiPriority w:val="39"/>
    <w:pPr>
      <w:ind w:left="1680"/>
    </w:pPr>
    <w:rPr>
      <w:rFonts w:ascii="Helvetica" w:hAnsi="Helvetica" w:cs="Helvetica"/>
      <w:sz w:val="18"/>
      <w:szCs w:val="18"/>
    </w:rPr>
  </w:style>
  <w:style w:type="paragraph" w:styleId="23">
    <w:name w:val="Date"/>
    <w:basedOn w:val="1"/>
    <w:next w:val="1"/>
    <w:link w:val="66"/>
    <w:qFormat/>
    <w:uiPriority w:val="99"/>
    <w:pPr>
      <w:widowControl w:val="0"/>
      <w:ind w:left="100"/>
      <w:jc w:val="both"/>
    </w:pPr>
    <w:rPr>
      <w:color w:val="000000"/>
      <w:u w:color="000000"/>
    </w:rPr>
  </w:style>
  <w:style w:type="paragraph" w:styleId="24">
    <w:name w:val="Body Text Indent 2"/>
    <w:basedOn w:val="1"/>
    <w:link w:val="67"/>
    <w:qFormat/>
    <w:uiPriority w:val="99"/>
    <w:pPr>
      <w:widowControl w:val="0"/>
      <w:spacing w:line="300" w:lineRule="auto"/>
      <w:ind w:firstLine="520"/>
    </w:pPr>
    <w:rPr>
      <w:rFonts w:ascii="Arial Unicode MS" w:hAnsi="Arial Unicode MS" w:cs="Arial Unicode MS"/>
      <w:color w:val="000000"/>
      <w:sz w:val="26"/>
      <w:szCs w:val="26"/>
      <w:u w:color="000000"/>
    </w:rPr>
  </w:style>
  <w:style w:type="paragraph" w:styleId="25">
    <w:name w:val="Balloon Text"/>
    <w:basedOn w:val="1"/>
    <w:link w:val="68"/>
    <w:qFormat/>
    <w:uiPriority w:val="99"/>
    <w:rPr>
      <w:sz w:val="18"/>
      <w:szCs w:val="18"/>
    </w:rPr>
  </w:style>
  <w:style w:type="paragraph" w:styleId="26">
    <w:name w:val="footer"/>
    <w:basedOn w:val="1"/>
    <w:link w:val="69"/>
    <w:qFormat/>
    <w:uiPriority w:val="99"/>
    <w:pPr>
      <w:widowControl w:val="0"/>
      <w:tabs>
        <w:tab w:val="center" w:pos="4153"/>
        <w:tab w:val="right" w:pos="8306"/>
      </w:tabs>
    </w:pPr>
    <w:rPr>
      <w:rFonts w:ascii="Calibri" w:hAnsi="Calibri" w:cs="Calibri"/>
      <w:color w:val="000000"/>
      <w:sz w:val="18"/>
      <w:szCs w:val="18"/>
      <w:u w:color="000000"/>
    </w:rPr>
  </w:style>
  <w:style w:type="paragraph" w:styleId="27">
    <w:name w:val="header"/>
    <w:basedOn w:val="1"/>
    <w:link w:val="70"/>
    <w:qFormat/>
    <w:uiPriority w:val="99"/>
    <w:pPr>
      <w:widowControl w:val="0"/>
      <w:tabs>
        <w:tab w:val="center" w:pos="4153"/>
        <w:tab w:val="right" w:pos="8306"/>
      </w:tabs>
      <w:jc w:val="center"/>
    </w:pPr>
    <w:rPr>
      <w:rFonts w:ascii="Calibri" w:hAnsi="Calibri" w:cs="Calibri"/>
      <w:color w:val="000000"/>
      <w:sz w:val="18"/>
      <w:szCs w:val="18"/>
      <w:u w:color="000000"/>
    </w:rPr>
  </w:style>
  <w:style w:type="paragraph" w:styleId="28">
    <w:name w:val="toc 1"/>
    <w:basedOn w:val="1"/>
    <w:next w:val="1"/>
    <w:qFormat/>
    <w:uiPriority w:val="39"/>
    <w:rPr>
      <w:rFonts w:cs="Helvetica"/>
      <w:bCs/>
      <w:caps/>
    </w:rPr>
  </w:style>
  <w:style w:type="paragraph" w:styleId="29">
    <w:name w:val="toc 4"/>
    <w:basedOn w:val="1"/>
    <w:next w:val="1"/>
    <w:qFormat/>
    <w:uiPriority w:val="39"/>
    <w:pPr>
      <w:ind w:left="720"/>
    </w:pPr>
    <w:rPr>
      <w:rFonts w:ascii="Helvetica" w:hAnsi="Helvetica" w:cs="Helvetica"/>
      <w:sz w:val="18"/>
      <w:szCs w:val="18"/>
    </w:rPr>
  </w:style>
  <w:style w:type="paragraph" w:styleId="30">
    <w:name w:val="List"/>
    <w:basedOn w:val="1"/>
    <w:qFormat/>
    <w:uiPriority w:val="99"/>
    <w:pPr>
      <w:widowControl w:val="0"/>
      <w:ind w:left="200" w:hanging="200" w:hangingChars="200"/>
      <w:jc w:val="both"/>
    </w:pPr>
    <w:rPr>
      <w:rFonts w:ascii="仿宋_GB2312" w:hAnsi="宋体" w:eastAsia="仿宋_GB2312" w:cs="宋体"/>
      <w:color w:val="000000"/>
      <w:sz w:val="30"/>
      <w:szCs w:val="30"/>
    </w:rPr>
  </w:style>
  <w:style w:type="paragraph" w:styleId="31">
    <w:name w:val="toc 6"/>
    <w:basedOn w:val="1"/>
    <w:next w:val="1"/>
    <w:qFormat/>
    <w:uiPriority w:val="39"/>
    <w:pPr>
      <w:ind w:left="1200"/>
    </w:pPr>
    <w:rPr>
      <w:rFonts w:ascii="Helvetica" w:hAnsi="Helvetica" w:cs="Helvetica"/>
      <w:sz w:val="18"/>
      <w:szCs w:val="18"/>
    </w:rPr>
  </w:style>
  <w:style w:type="paragraph" w:styleId="32">
    <w:name w:val="table of figures"/>
    <w:basedOn w:val="1"/>
    <w:next w:val="1"/>
    <w:unhideWhenUsed/>
    <w:qFormat/>
    <w:uiPriority w:val="99"/>
    <w:pPr>
      <w:ind w:left="200" w:hanging="200" w:hangingChars="200"/>
    </w:pPr>
  </w:style>
  <w:style w:type="paragraph" w:styleId="33">
    <w:name w:val="toc 2"/>
    <w:basedOn w:val="1"/>
    <w:next w:val="1"/>
    <w:qFormat/>
    <w:uiPriority w:val="39"/>
    <w:pPr>
      <w:ind w:left="200" w:leftChars="200"/>
    </w:pPr>
    <w:rPr>
      <w:rFonts w:cs="Helvetica"/>
      <w:smallCaps/>
    </w:rPr>
  </w:style>
  <w:style w:type="paragraph" w:styleId="34">
    <w:name w:val="toc 9"/>
    <w:basedOn w:val="1"/>
    <w:next w:val="1"/>
    <w:qFormat/>
    <w:uiPriority w:val="39"/>
    <w:pPr>
      <w:ind w:left="1920"/>
    </w:pPr>
    <w:rPr>
      <w:rFonts w:ascii="Helvetica" w:hAnsi="Helvetica" w:cs="Helvetica"/>
      <w:sz w:val="18"/>
      <w:szCs w:val="18"/>
    </w:rPr>
  </w:style>
  <w:style w:type="paragraph" w:styleId="35">
    <w:name w:val="Body Text 2"/>
    <w:basedOn w:val="1"/>
    <w:link w:val="71"/>
    <w:qFormat/>
    <w:uiPriority w:val="99"/>
    <w:pPr>
      <w:spacing w:after="120" w:line="480" w:lineRule="auto"/>
    </w:pPr>
  </w:style>
  <w:style w:type="paragraph" w:styleId="36">
    <w:name w:val="HTML Preformatted"/>
    <w:basedOn w:val="1"/>
    <w:link w:val="72"/>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rPr>
  </w:style>
  <w:style w:type="paragraph" w:styleId="37">
    <w:name w:val="Normal (Web)"/>
    <w:basedOn w:val="1"/>
    <w:link w:val="73"/>
    <w:qFormat/>
    <w:uiPriority w:val="99"/>
    <w:pPr>
      <w:spacing w:before="100" w:beforeAutospacing="1" w:after="100" w:afterAutospacing="1" w:line="384" w:lineRule="auto"/>
    </w:pPr>
    <w:rPr>
      <w:rFonts w:ascii="宋体" w:hAnsi="宋体"/>
      <w:color w:val="000000"/>
      <w:sz w:val="21"/>
      <w:szCs w:val="21"/>
    </w:rPr>
  </w:style>
  <w:style w:type="paragraph" w:styleId="38">
    <w:name w:val="Title"/>
    <w:basedOn w:val="1"/>
    <w:next w:val="1"/>
    <w:link w:val="74"/>
    <w:qFormat/>
    <w:uiPriority w:val="99"/>
    <w:pPr>
      <w:keepNext/>
      <w:spacing w:before="240" w:after="120"/>
      <w:ind w:left="360" w:hanging="360"/>
      <w:outlineLvl w:val="1"/>
    </w:pPr>
    <w:rPr>
      <w:b/>
      <w:bCs/>
      <w:color w:val="000000"/>
      <w:kern w:val="44"/>
      <w:sz w:val="20"/>
      <w:u w:color="000000"/>
    </w:rPr>
  </w:style>
  <w:style w:type="paragraph" w:styleId="39">
    <w:name w:val="annotation subject"/>
    <w:basedOn w:val="16"/>
    <w:next w:val="16"/>
    <w:link w:val="75"/>
    <w:qFormat/>
    <w:uiPriority w:val="99"/>
    <w:rPr>
      <w:b/>
      <w:bCs/>
    </w:rPr>
  </w:style>
  <w:style w:type="paragraph" w:styleId="40">
    <w:name w:val="Body Text First Indent 2"/>
    <w:basedOn w:val="18"/>
    <w:link w:val="150"/>
    <w:semiHidden/>
    <w:unhideWhenUsed/>
    <w:qFormat/>
    <w:uiPriority w:val="99"/>
    <w:pPr>
      <w:spacing w:after="120" w:line="240" w:lineRule="auto"/>
      <w:ind w:left="420" w:leftChars="200" w:firstLine="420"/>
    </w:pPr>
    <w:rPr>
      <w:lang w:eastAsia="en-US"/>
    </w:rPr>
  </w:style>
  <w:style w:type="table" w:styleId="42">
    <w:name w:val="Table Grid"/>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Strong"/>
    <w:qFormat/>
    <w:uiPriority w:val="99"/>
    <w:rPr>
      <w:rFonts w:cs="Times New Roman"/>
      <w:b/>
    </w:rPr>
  </w:style>
  <w:style w:type="character" w:styleId="45">
    <w:name w:val="FollowedHyperlink"/>
    <w:qFormat/>
    <w:uiPriority w:val="99"/>
    <w:rPr>
      <w:rFonts w:cs="Times New Roman"/>
      <w:color w:val="338DE6"/>
      <w:u w:val="none"/>
    </w:rPr>
  </w:style>
  <w:style w:type="character" w:styleId="46">
    <w:name w:val="Emphasis"/>
    <w:qFormat/>
    <w:uiPriority w:val="99"/>
    <w:rPr>
      <w:rFonts w:cs="Times New Roman"/>
    </w:rPr>
  </w:style>
  <w:style w:type="character" w:styleId="47">
    <w:name w:val="HTML Definition"/>
    <w:qFormat/>
    <w:uiPriority w:val="99"/>
    <w:rPr>
      <w:rFonts w:cs="Times New Roman"/>
    </w:rPr>
  </w:style>
  <w:style w:type="character" w:styleId="48">
    <w:name w:val="HTML Variable"/>
    <w:qFormat/>
    <w:uiPriority w:val="99"/>
    <w:rPr>
      <w:rFonts w:cs="Times New Roman"/>
    </w:rPr>
  </w:style>
  <w:style w:type="character" w:styleId="49">
    <w:name w:val="Hyperlink"/>
    <w:qFormat/>
    <w:uiPriority w:val="99"/>
    <w:rPr>
      <w:rFonts w:cs="Times New Roman"/>
      <w:u w:val="single"/>
    </w:rPr>
  </w:style>
  <w:style w:type="character" w:styleId="50">
    <w:name w:val="HTML Code"/>
    <w:qFormat/>
    <w:uiPriority w:val="99"/>
    <w:rPr>
      <w:rFonts w:ascii="monospace" w:hAnsi="monospace" w:eastAsia="Times New Roman" w:cs="monospace"/>
      <w:sz w:val="21"/>
      <w:szCs w:val="21"/>
    </w:rPr>
  </w:style>
  <w:style w:type="character" w:styleId="51">
    <w:name w:val="annotation reference"/>
    <w:qFormat/>
    <w:uiPriority w:val="0"/>
    <w:rPr>
      <w:rFonts w:cs="Times New Roman"/>
      <w:sz w:val="21"/>
      <w:szCs w:val="21"/>
    </w:rPr>
  </w:style>
  <w:style w:type="character" w:styleId="52">
    <w:name w:val="HTML Cite"/>
    <w:qFormat/>
    <w:uiPriority w:val="99"/>
    <w:rPr>
      <w:rFonts w:cs="Times New Roman"/>
    </w:rPr>
  </w:style>
  <w:style w:type="character" w:styleId="53">
    <w:name w:val="HTML Keyboard"/>
    <w:qFormat/>
    <w:uiPriority w:val="99"/>
    <w:rPr>
      <w:rFonts w:ascii="monospace" w:hAnsi="monospace" w:eastAsia="Times New Roman" w:cs="monospace"/>
      <w:sz w:val="21"/>
      <w:szCs w:val="21"/>
    </w:rPr>
  </w:style>
  <w:style w:type="character" w:styleId="54">
    <w:name w:val="HTML Sample"/>
    <w:qFormat/>
    <w:uiPriority w:val="99"/>
    <w:rPr>
      <w:rFonts w:ascii="monospace" w:hAnsi="monospace" w:eastAsia="Times New Roman" w:cs="monospace"/>
      <w:sz w:val="21"/>
      <w:szCs w:val="21"/>
    </w:rPr>
  </w:style>
  <w:style w:type="character" w:customStyle="1" w:styleId="55">
    <w:name w:val="标题 1 字符"/>
    <w:link w:val="2"/>
    <w:qFormat/>
    <w:locked/>
    <w:uiPriority w:val="1"/>
    <w:rPr>
      <w:rFonts w:ascii="Calibri" w:hAnsi="Calibri"/>
      <w:b/>
      <w:bCs/>
      <w:color w:val="000000"/>
      <w:kern w:val="44"/>
      <w:sz w:val="24"/>
      <w:szCs w:val="44"/>
      <w:u w:color="000000"/>
    </w:rPr>
  </w:style>
  <w:style w:type="character" w:customStyle="1" w:styleId="56">
    <w:name w:val="标题 2 字符"/>
    <w:link w:val="4"/>
    <w:qFormat/>
    <w:locked/>
    <w:uiPriority w:val="99"/>
    <w:rPr>
      <w:rFonts w:ascii="Helvetica" w:hAnsi="Helvetica" w:eastAsia="黑体"/>
      <w:b/>
      <w:bCs/>
      <w:sz w:val="32"/>
      <w:szCs w:val="32"/>
      <w:lang w:eastAsia="en-US"/>
    </w:rPr>
  </w:style>
  <w:style w:type="character" w:customStyle="1" w:styleId="57">
    <w:name w:val="标题 3 字符"/>
    <w:link w:val="5"/>
    <w:qFormat/>
    <w:locked/>
    <w:uiPriority w:val="1"/>
    <w:rPr>
      <w:b/>
      <w:bCs/>
      <w:sz w:val="32"/>
      <w:szCs w:val="32"/>
      <w:lang w:eastAsia="en-US"/>
    </w:rPr>
  </w:style>
  <w:style w:type="character" w:customStyle="1" w:styleId="58">
    <w:name w:val="标题 4 字符"/>
    <w:link w:val="6"/>
    <w:qFormat/>
    <w:locked/>
    <w:uiPriority w:val="99"/>
    <w:rPr>
      <w:rFonts w:ascii="Helvetica" w:hAnsi="Helvetica" w:eastAsia="黑体"/>
      <w:b/>
      <w:bCs/>
      <w:sz w:val="28"/>
      <w:szCs w:val="28"/>
      <w:lang w:eastAsia="en-US"/>
    </w:rPr>
  </w:style>
  <w:style w:type="character" w:customStyle="1" w:styleId="59">
    <w:name w:val="标题 5 字符"/>
    <w:link w:val="7"/>
    <w:qFormat/>
    <w:locked/>
    <w:uiPriority w:val="99"/>
    <w:rPr>
      <w:b/>
      <w:bCs/>
      <w:sz w:val="28"/>
      <w:szCs w:val="28"/>
      <w:lang w:eastAsia="en-US"/>
    </w:rPr>
  </w:style>
  <w:style w:type="character" w:customStyle="1" w:styleId="60">
    <w:name w:val="标题 6 字符"/>
    <w:link w:val="8"/>
    <w:qFormat/>
    <w:locked/>
    <w:uiPriority w:val="99"/>
    <w:rPr>
      <w:rFonts w:ascii="Helvetica" w:hAnsi="Helvetica" w:eastAsia="黑体"/>
      <w:b/>
      <w:bCs/>
      <w:sz w:val="24"/>
      <w:szCs w:val="24"/>
      <w:lang w:eastAsia="en-US"/>
    </w:rPr>
  </w:style>
  <w:style w:type="character" w:customStyle="1" w:styleId="61">
    <w:name w:val="标题 7 字符"/>
    <w:link w:val="9"/>
    <w:qFormat/>
    <w:locked/>
    <w:uiPriority w:val="99"/>
    <w:rPr>
      <w:b/>
      <w:bCs/>
      <w:sz w:val="24"/>
      <w:szCs w:val="24"/>
      <w:lang w:eastAsia="en-US"/>
    </w:rPr>
  </w:style>
  <w:style w:type="character" w:customStyle="1" w:styleId="62">
    <w:name w:val="标题 8 字符"/>
    <w:link w:val="10"/>
    <w:qFormat/>
    <w:locked/>
    <w:uiPriority w:val="99"/>
    <w:rPr>
      <w:rFonts w:ascii="Helvetica" w:hAnsi="Helvetica" w:eastAsia="黑体"/>
      <w:sz w:val="24"/>
      <w:szCs w:val="24"/>
      <w:lang w:eastAsia="en-US"/>
    </w:rPr>
  </w:style>
  <w:style w:type="character" w:customStyle="1" w:styleId="63">
    <w:name w:val="标题 9 字符"/>
    <w:link w:val="11"/>
    <w:qFormat/>
    <w:locked/>
    <w:uiPriority w:val="99"/>
    <w:rPr>
      <w:rFonts w:ascii="Helvetica" w:hAnsi="Helvetica" w:eastAsia="黑体"/>
      <w:sz w:val="21"/>
      <w:szCs w:val="21"/>
      <w:lang w:eastAsia="en-US"/>
    </w:rPr>
  </w:style>
  <w:style w:type="character" w:customStyle="1" w:styleId="64">
    <w:name w:val="批注文字 字符"/>
    <w:link w:val="16"/>
    <w:qFormat/>
    <w:locked/>
    <w:uiPriority w:val="0"/>
    <w:rPr>
      <w:rFonts w:cs="Times New Roman"/>
      <w:sz w:val="24"/>
      <w:szCs w:val="24"/>
      <w:lang w:eastAsia="en-US"/>
    </w:rPr>
  </w:style>
  <w:style w:type="character" w:customStyle="1" w:styleId="65">
    <w:name w:val="正文文本 字符"/>
    <w:link w:val="17"/>
    <w:semiHidden/>
    <w:qFormat/>
    <w:locked/>
    <w:uiPriority w:val="99"/>
    <w:rPr>
      <w:rFonts w:cs="Times New Roman"/>
      <w:sz w:val="24"/>
      <w:szCs w:val="24"/>
      <w:lang w:eastAsia="en-US"/>
    </w:rPr>
  </w:style>
  <w:style w:type="character" w:customStyle="1" w:styleId="66">
    <w:name w:val="日期 字符"/>
    <w:link w:val="23"/>
    <w:qFormat/>
    <w:locked/>
    <w:uiPriority w:val="99"/>
    <w:rPr>
      <w:rFonts w:eastAsia="Times New Roman" w:cs="Times New Roman"/>
      <w:color w:val="000000"/>
      <w:sz w:val="24"/>
      <w:szCs w:val="24"/>
      <w:u w:color="000000"/>
      <w:lang w:val="en-US" w:eastAsia="zh-CN" w:bidi="ar-SA"/>
    </w:rPr>
  </w:style>
  <w:style w:type="character" w:customStyle="1" w:styleId="67">
    <w:name w:val="正文文本缩进 2 字符"/>
    <w:link w:val="24"/>
    <w:qFormat/>
    <w:uiPriority w:val="0"/>
    <w:rPr>
      <w:kern w:val="0"/>
      <w:sz w:val="24"/>
      <w:szCs w:val="24"/>
      <w:lang w:eastAsia="en-US"/>
    </w:rPr>
  </w:style>
  <w:style w:type="character" w:customStyle="1" w:styleId="68">
    <w:name w:val="批注框文本 字符"/>
    <w:link w:val="25"/>
    <w:qFormat/>
    <w:locked/>
    <w:uiPriority w:val="99"/>
    <w:rPr>
      <w:rFonts w:cs="Times New Roman"/>
      <w:sz w:val="18"/>
      <w:szCs w:val="18"/>
      <w:lang w:eastAsia="en-US"/>
    </w:rPr>
  </w:style>
  <w:style w:type="character" w:customStyle="1" w:styleId="69">
    <w:name w:val="页脚 字符"/>
    <w:link w:val="26"/>
    <w:qFormat/>
    <w:locked/>
    <w:uiPriority w:val="99"/>
    <w:rPr>
      <w:rFonts w:ascii="Calibri" w:hAnsi="Calibri" w:eastAsia="Times New Roman" w:cs="Calibri"/>
      <w:color w:val="000000"/>
      <w:sz w:val="18"/>
      <w:szCs w:val="18"/>
      <w:u w:color="000000"/>
      <w:lang w:val="en-US" w:eastAsia="zh-CN" w:bidi="ar-SA"/>
    </w:rPr>
  </w:style>
  <w:style w:type="character" w:customStyle="1" w:styleId="70">
    <w:name w:val="页眉 字符"/>
    <w:link w:val="27"/>
    <w:qFormat/>
    <w:locked/>
    <w:uiPriority w:val="99"/>
    <w:rPr>
      <w:rFonts w:ascii="Calibri" w:hAnsi="Calibri" w:eastAsia="Times New Roman" w:cs="Calibri"/>
      <w:color w:val="000000"/>
      <w:sz w:val="18"/>
      <w:szCs w:val="18"/>
      <w:u w:color="000000"/>
      <w:lang w:val="en-US" w:eastAsia="zh-CN" w:bidi="ar-SA"/>
    </w:rPr>
  </w:style>
  <w:style w:type="character" w:customStyle="1" w:styleId="71">
    <w:name w:val="正文文本 2 字符"/>
    <w:link w:val="35"/>
    <w:qFormat/>
    <w:locked/>
    <w:uiPriority w:val="99"/>
    <w:rPr>
      <w:rFonts w:cs="Times New Roman"/>
      <w:sz w:val="24"/>
      <w:szCs w:val="24"/>
      <w:lang w:eastAsia="en-US"/>
    </w:rPr>
  </w:style>
  <w:style w:type="character" w:customStyle="1" w:styleId="72">
    <w:name w:val="HTML 预设格式 字符"/>
    <w:link w:val="36"/>
    <w:qFormat/>
    <w:locked/>
    <w:uiPriority w:val="99"/>
    <w:rPr>
      <w:rFonts w:ascii="Arial" w:hAnsi="Arial" w:eastAsia="宋体" w:cs="Arial"/>
      <w:sz w:val="24"/>
      <w:szCs w:val="24"/>
    </w:rPr>
  </w:style>
  <w:style w:type="character" w:customStyle="1" w:styleId="73">
    <w:name w:val="普通(网站) 字符"/>
    <w:link w:val="37"/>
    <w:qFormat/>
    <w:locked/>
    <w:uiPriority w:val="99"/>
    <w:rPr>
      <w:rFonts w:ascii="宋体" w:eastAsia="宋体"/>
      <w:color w:val="000000"/>
      <w:sz w:val="21"/>
    </w:rPr>
  </w:style>
  <w:style w:type="character" w:customStyle="1" w:styleId="74">
    <w:name w:val="标题 字符"/>
    <w:link w:val="38"/>
    <w:qFormat/>
    <w:locked/>
    <w:uiPriority w:val="99"/>
    <w:rPr>
      <w:rFonts w:eastAsia="Times New Roman" w:cs="Times New Roman"/>
      <w:b/>
      <w:bCs/>
      <w:color w:val="000000"/>
      <w:kern w:val="44"/>
      <w:u w:color="000000"/>
      <w:lang w:val="en-US" w:eastAsia="zh-CN" w:bidi="ar-SA"/>
    </w:rPr>
  </w:style>
  <w:style w:type="character" w:customStyle="1" w:styleId="75">
    <w:name w:val="批注主题 字符"/>
    <w:link w:val="39"/>
    <w:semiHidden/>
    <w:qFormat/>
    <w:locked/>
    <w:uiPriority w:val="99"/>
    <w:rPr>
      <w:rFonts w:eastAsia="宋体" w:cs="Times New Roman"/>
      <w:b/>
      <w:bCs/>
      <w:sz w:val="24"/>
      <w:szCs w:val="24"/>
      <w:lang w:eastAsia="en-US"/>
    </w:rPr>
  </w:style>
  <w:style w:type="table" w:customStyle="1" w:styleId="76">
    <w:name w:val="Table Normal1"/>
    <w:qFormat/>
    <w:uiPriority w:val="2"/>
    <w:tblPr>
      <w:tblCellMar>
        <w:top w:w="0" w:type="dxa"/>
        <w:left w:w="0" w:type="dxa"/>
        <w:bottom w:w="0" w:type="dxa"/>
        <w:right w:w="0" w:type="dxa"/>
      </w:tblCellMar>
    </w:tblPr>
  </w:style>
  <w:style w:type="paragraph" w:customStyle="1" w:styleId="77">
    <w:name w:val="页眉与页脚"/>
    <w:qFormat/>
    <w:uiPriority w:val="99"/>
    <w:pPr>
      <w:tabs>
        <w:tab w:val="right" w:pos="9020"/>
      </w:tabs>
    </w:pPr>
    <w:rPr>
      <w:rFonts w:ascii="Helvetica" w:hAnsi="Helvetica" w:eastAsia="宋体" w:cs="Helvetica"/>
      <w:color w:val="000000"/>
      <w:kern w:val="2"/>
      <w:sz w:val="24"/>
      <w:szCs w:val="24"/>
      <w:lang w:val="en-US" w:eastAsia="zh-CN" w:bidi="ar-SA"/>
    </w:rPr>
  </w:style>
  <w:style w:type="paragraph" w:customStyle="1" w:styleId="78">
    <w:name w:val="默认"/>
    <w:qFormat/>
    <w:uiPriority w:val="99"/>
    <w:rPr>
      <w:rFonts w:ascii="Helvetica" w:hAnsi="Helvetica" w:eastAsia="宋体" w:cs="Helvetica"/>
      <w:color w:val="000000"/>
      <w:kern w:val="2"/>
      <w:sz w:val="22"/>
      <w:szCs w:val="22"/>
      <w:lang w:val="en-US" w:eastAsia="zh-CN" w:bidi="ar-SA"/>
    </w:rPr>
  </w:style>
  <w:style w:type="paragraph" w:customStyle="1" w:styleId="79">
    <w:name w:val="Propertystatement"/>
    <w:qFormat/>
    <w:uiPriority w:val="99"/>
    <w:pPr>
      <w:spacing w:before="1200"/>
      <w:jc w:val="center"/>
    </w:pPr>
    <w:rPr>
      <w:rFonts w:ascii="宋体" w:hAnsi="宋体" w:eastAsia="宋体" w:cs="宋体"/>
      <w:color w:val="000000"/>
      <w:kern w:val="2"/>
      <w:sz w:val="24"/>
      <w:u w:color="000000"/>
      <w:lang w:val="zh-TW" w:eastAsia="zh-TW" w:bidi="ar-SA"/>
    </w:rPr>
  </w:style>
  <w:style w:type="paragraph" w:customStyle="1" w:styleId="80">
    <w:name w:val="Style ！标题2 + Times New Roman"/>
    <w:qFormat/>
    <w:uiPriority w:val="99"/>
    <w:pPr>
      <w:keepNext/>
      <w:keepLines/>
      <w:widowControl w:val="0"/>
      <w:spacing w:line="360" w:lineRule="auto"/>
      <w:jc w:val="both"/>
      <w:outlineLvl w:val="0"/>
    </w:pPr>
    <w:rPr>
      <w:rFonts w:ascii="Times New Roman" w:hAnsi="Times New Roman" w:eastAsia="宋体" w:cs="Times New Roman"/>
      <w:b/>
      <w:bCs/>
      <w:color w:val="000000"/>
      <w:kern w:val="2"/>
      <w:sz w:val="24"/>
      <w:szCs w:val="24"/>
      <w:u w:color="000000"/>
      <w:lang w:val="en-US" w:eastAsia="zh-CN" w:bidi="ar-SA"/>
    </w:rPr>
  </w:style>
  <w:style w:type="paragraph" w:customStyle="1" w:styleId="81">
    <w:name w:val="Style ！标题3 + Times New Roman"/>
    <w:qFormat/>
    <w:uiPriority w:val="99"/>
    <w:pPr>
      <w:keepNext/>
      <w:keepLines/>
      <w:widowControl w:val="0"/>
      <w:spacing w:line="360" w:lineRule="auto"/>
      <w:jc w:val="both"/>
      <w:outlineLvl w:val="1"/>
    </w:pPr>
    <w:rPr>
      <w:rFonts w:ascii="Times New Roman" w:hAnsi="Times New Roman" w:eastAsia="宋体" w:cs="Times New Roman"/>
      <w:b/>
      <w:bCs/>
      <w:color w:val="000000"/>
      <w:kern w:val="2"/>
      <w:sz w:val="24"/>
      <w:szCs w:val="24"/>
      <w:u w:color="000000"/>
      <w:lang w:val="en-US" w:eastAsia="zh-CN" w:bidi="ar-SA"/>
    </w:rPr>
  </w:style>
  <w:style w:type="paragraph" w:customStyle="1" w:styleId="82">
    <w:name w:val="！标题2"/>
    <w:next w:val="83"/>
    <w:qFormat/>
    <w:uiPriority w:val="99"/>
    <w:pPr>
      <w:keepNext/>
      <w:keepLines/>
      <w:widowControl w:val="0"/>
      <w:spacing w:line="360" w:lineRule="auto"/>
      <w:outlineLvl w:val="3"/>
    </w:pPr>
    <w:rPr>
      <w:rFonts w:ascii="Cambria" w:hAnsi="Cambria" w:eastAsia="宋体" w:cs="Cambria"/>
      <w:b/>
      <w:bCs/>
      <w:color w:val="000000"/>
      <w:kern w:val="2"/>
      <w:sz w:val="28"/>
      <w:szCs w:val="24"/>
      <w:u w:color="000000"/>
      <w:lang w:val="en-US" w:eastAsia="zh-CN" w:bidi="ar-SA"/>
    </w:rPr>
  </w:style>
  <w:style w:type="paragraph" w:customStyle="1" w:styleId="83">
    <w:name w:val="！正文"/>
    <w:link w:val="139"/>
    <w:qFormat/>
    <w:uiPriority w:val="0"/>
    <w:pPr>
      <w:widowControl w:val="0"/>
      <w:spacing w:line="360" w:lineRule="auto"/>
      <w:ind w:firstLine="200"/>
      <w:jc w:val="both"/>
    </w:pPr>
    <w:rPr>
      <w:rFonts w:ascii="Times New Roman" w:hAnsi="Times New Roman" w:eastAsia="宋体" w:cs="Times New Roman"/>
      <w:color w:val="000000"/>
      <w:kern w:val="2"/>
      <w:sz w:val="24"/>
      <w:szCs w:val="24"/>
      <w:u w:color="000000"/>
      <w:lang w:val="en-US" w:eastAsia="zh-CN" w:bidi="ar-SA"/>
    </w:rPr>
  </w:style>
  <w:style w:type="paragraph" w:customStyle="1" w:styleId="84">
    <w:name w:val="！标题3"/>
    <w:next w:val="83"/>
    <w:qFormat/>
    <w:uiPriority w:val="0"/>
    <w:pPr>
      <w:keepNext/>
      <w:keepLines/>
      <w:widowControl w:val="0"/>
      <w:spacing w:line="360" w:lineRule="auto"/>
      <w:jc w:val="both"/>
      <w:outlineLvl w:val="4"/>
    </w:pPr>
    <w:rPr>
      <w:rFonts w:ascii="Times New Roman" w:hAnsi="Times New Roman" w:eastAsia="宋体" w:cs="Times New Roman"/>
      <w:b/>
      <w:bCs/>
      <w:color w:val="000000"/>
      <w:kern w:val="2"/>
      <w:sz w:val="24"/>
      <w:szCs w:val="24"/>
      <w:u w:color="000000"/>
      <w:lang w:val="en-US" w:eastAsia="zh-CN" w:bidi="ar-SA"/>
    </w:rPr>
  </w:style>
  <w:style w:type="paragraph" w:customStyle="1" w:styleId="85">
    <w:name w:val="MoRP List 1-20"/>
    <w:qFormat/>
    <w:uiPriority w:val="99"/>
    <w:pPr>
      <w:tabs>
        <w:tab w:val="left" w:pos="567"/>
        <w:tab w:val="left" w:pos="1985"/>
      </w:tabs>
      <w:spacing w:line="288" w:lineRule="auto"/>
      <w:ind w:left="567" w:hanging="567"/>
      <w:jc w:val="both"/>
    </w:pPr>
    <w:rPr>
      <w:rFonts w:ascii="Arial Unicode MS" w:hAnsi="Arial Unicode MS" w:eastAsia="宋体" w:cs="Arial Unicode MS"/>
      <w:color w:val="000000"/>
      <w:kern w:val="2"/>
      <w:sz w:val="22"/>
      <w:szCs w:val="22"/>
      <w:u w:color="000000"/>
      <w:lang w:val="en-US" w:eastAsia="zh-CN" w:bidi="ar-SA"/>
    </w:rPr>
  </w:style>
  <w:style w:type="paragraph" w:customStyle="1" w:styleId="86">
    <w:name w:val="List Paragraph1"/>
    <w:qFormat/>
    <w:uiPriority w:val="0"/>
    <w:pPr>
      <w:widowControl w:val="0"/>
      <w:ind w:firstLine="420"/>
      <w:jc w:val="both"/>
    </w:pPr>
    <w:rPr>
      <w:rFonts w:ascii="Calibri" w:hAnsi="Calibri" w:eastAsia="宋体" w:cs="Calibri"/>
      <w:color w:val="000000"/>
      <w:kern w:val="2"/>
      <w:sz w:val="21"/>
      <w:szCs w:val="21"/>
      <w:u w:color="000000"/>
      <w:lang w:val="en-US" w:eastAsia="zh-CN" w:bidi="ar-SA"/>
    </w:rPr>
  </w:style>
  <w:style w:type="paragraph" w:customStyle="1" w:styleId="87">
    <w:name w:val="列出段落1"/>
    <w:qFormat/>
    <w:uiPriority w:val="0"/>
    <w:pPr>
      <w:widowControl w:val="0"/>
      <w:ind w:firstLine="420"/>
      <w:jc w:val="both"/>
    </w:pPr>
    <w:rPr>
      <w:rFonts w:ascii="Calibri" w:hAnsi="Calibri" w:eastAsia="宋体" w:cs="Calibri"/>
      <w:color w:val="000000"/>
      <w:kern w:val="2"/>
      <w:sz w:val="21"/>
      <w:szCs w:val="21"/>
      <w:u w:color="000000"/>
      <w:lang w:val="en-US" w:eastAsia="zh-CN" w:bidi="ar-SA"/>
    </w:rPr>
  </w:style>
  <w:style w:type="character" w:customStyle="1" w:styleId="88">
    <w:name w:val="long_text"/>
    <w:qFormat/>
    <w:uiPriority w:val="99"/>
  </w:style>
  <w:style w:type="paragraph" w:customStyle="1" w:styleId="89">
    <w:name w:val="列出段落11"/>
    <w:qFormat/>
    <w:uiPriority w:val="0"/>
    <w:pPr>
      <w:widowControl w:val="0"/>
      <w:ind w:firstLine="420"/>
      <w:jc w:val="both"/>
    </w:pPr>
    <w:rPr>
      <w:rFonts w:ascii="Times New Roman" w:hAnsi="Arial Unicode MS" w:eastAsia="Times New Roman" w:cs="Arial Unicode MS"/>
      <w:color w:val="000000"/>
      <w:kern w:val="2"/>
      <w:sz w:val="24"/>
      <w:szCs w:val="24"/>
      <w:u w:color="000000"/>
      <w:lang w:val="en-US" w:eastAsia="zh-CN" w:bidi="ar-SA"/>
    </w:rPr>
  </w:style>
  <w:style w:type="character" w:customStyle="1" w:styleId="90">
    <w:name w:val="apple-converted-space"/>
    <w:qFormat/>
    <w:uiPriority w:val="99"/>
    <w:rPr>
      <w:rFonts w:cs="Times New Roman"/>
    </w:rPr>
  </w:style>
  <w:style w:type="paragraph" w:customStyle="1" w:styleId="91">
    <w:name w:val="列出段落2"/>
    <w:qFormat/>
    <w:uiPriority w:val="0"/>
    <w:pPr>
      <w:widowControl w:val="0"/>
      <w:ind w:firstLine="420"/>
      <w:jc w:val="both"/>
    </w:pPr>
    <w:rPr>
      <w:rFonts w:ascii="Arial Unicode MS" w:hAnsi="Arial Unicode MS" w:eastAsia="宋体" w:cs="Arial Unicode MS"/>
      <w:color w:val="000000"/>
      <w:kern w:val="2"/>
      <w:sz w:val="24"/>
      <w:szCs w:val="24"/>
      <w:u w:color="000000"/>
      <w:lang w:val="en-US" w:eastAsia="zh-CN" w:bidi="ar-SA"/>
    </w:rPr>
  </w:style>
  <w:style w:type="paragraph" w:customStyle="1" w:styleId="92">
    <w:name w:val="paragraph"/>
    <w:qFormat/>
    <w:uiPriority w:val="99"/>
    <w:pPr>
      <w:spacing w:before="120"/>
    </w:pPr>
    <w:rPr>
      <w:rFonts w:ascii="Arial Unicode MS" w:hAnsi="Arial Unicode MS" w:eastAsia="宋体" w:cs="Arial Unicode MS"/>
      <w:color w:val="000000"/>
      <w:kern w:val="2"/>
      <w:sz w:val="22"/>
      <w:szCs w:val="22"/>
      <w:u w:color="000000"/>
      <w:lang w:val="en-US" w:eastAsia="zh-CN" w:bidi="ar-SA"/>
    </w:rPr>
  </w:style>
  <w:style w:type="paragraph" w:customStyle="1" w:styleId="93">
    <w:name w:val="列出段落3"/>
    <w:basedOn w:val="1"/>
    <w:qFormat/>
    <w:uiPriority w:val="99"/>
    <w:pPr>
      <w:ind w:firstLine="420" w:firstLineChars="200"/>
    </w:pPr>
  </w:style>
  <w:style w:type="paragraph" w:customStyle="1" w:styleId="94">
    <w:name w:val="无间隔1"/>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95">
    <w:name w:val="列出段落31"/>
    <w:basedOn w:val="1"/>
    <w:qFormat/>
    <w:uiPriority w:val="99"/>
    <w:pPr>
      <w:ind w:firstLine="420" w:firstLineChars="200"/>
    </w:pPr>
    <w:rPr>
      <w:sz w:val="20"/>
    </w:rPr>
  </w:style>
  <w:style w:type="paragraph" w:customStyle="1" w:styleId="96">
    <w:name w:val="CM10"/>
    <w:basedOn w:val="1"/>
    <w:next w:val="1"/>
    <w:qFormat/>
    <w:uiPriority w:val="99"/>
    <w:pPr>
      <w:widowControl w:val="0"/>
      <w:autoSpaceDE w:val="0"/>
      <w:autoSpaceDN w:val="0"/>
      <w:adjustRightInd w:val="0"/>
      <w:spacing w:line="276" w:lineRule="atLeast"/>
    </w:pPr>
  </w:style>
  <w:style w:type="paragraph" w:customStyle="1" w:styleId="97">
    <w:name w:val="Text"/>
    <w:basedOn w:val="1"/>
    <w:qFormat/>
    <w:uiPriority w:val="99"/>
    <w:pPr>
      <w:spacing w:before="120"/>
      <w:jc w:val="both"/>
    </w:pPr>
    <w:rPr>
      <w:lang w:eastAsia="en-GB"/>
    </w:rPr>
  </w:style>
  <w:style w:type="character" w:customStyle="1" w:styleId="98">
    <w:name w:val="fontborder"/>
    <w:qFormat/>
    <w:uiPriority w:val="99"/>
    <w:rPr>
      <w:rFonts w:cs="Times New Roman"/>
      <w:bdr w:val="single" w:color="000000" w:sz="6" w:space="0"/>
    </w:rPr>
  </w:style>
  <w:style w:type="character" w:customStyle="1" w:styleId="99">
    <w:name w:val="fontstrikethrough"/>
    <w:qFormat/>
    <w:uiPriority w:val="99"/>
    <w:rPr>
      <w:rFonts w:cs="Times New Roman"/>
      <w:strike/>
    </w:rPr>
  </w:style>
  <w:style w:type="paragraph" w:customStyle="1" w:styleId="100">
    <w:name w:val="_Style 1"/>
    <w:basedOn w:val="1"/>
    <w:qFormat/>
    <w:uiPriority w:val="99"/>
    <w:pPr>
      <w:ind w:firstLine="420" w:firstLineChars="200"/>
    </w:pPr>
    <w:rPr>
      <w:rFonts w:ascii="Calibri" w:hAnsi="Calibri"/>
      <w:szCs w:val="22"/>
    </w:rPr>
  </w:style>
  <w:style w:type="paragraph" w:customStyle="1" w:styleId="101">
    <w:name w:val="_Style 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2">
    <w:name w:val="首行缩进"/>
    <w:basedOn w:val="1"/>
    <w:qFormat/>
    <w:uiPriority w:val="99"/>
    <w:pPr>
      <w:ind w:firstLine="400" w:firstLineChars="200"/>
    </w:pPr>
    <w:rPr>
      <w:color w:val="000000"/>
      <w:sz w:val="20"/>
    </w:rPr>
  </w:style>
  <w:style w:type="paragraph" w:customStyle="1" w:styleId="103">
    <w:name w:val="列出段落4"/>
    <w:basedOn w:val="1"/>
    <w:qFormat/>
    <w:uiPriority w:val="99"/>
    <w:pPr>
      <w:ind w:firstLine="420" w:firstLineChars="200"/>
    </w:pPr>
  </w:style>
  <w:style w:type="character" w:customStyle="1" w:styleId="104">
    <w:name w:val="正文文本 + 斜体"/>
    <w:qFormat/>
    <w:uiPriority w:val="99"/>
    <w:rPr>
      <w:rFonts w:ascii="MingLiU" w:hAnsi="MingLiU" w:eastAsia="MingLiU"/>
      <w:i/>
      <w:color w:val="000000"/>
      <w:spacing w:val="-10"/>
      <w:w w:val="100"/>
      <w:position w:val="0"/>
      <w:sz w:val="12"/>
      <w:u w:val="none"/>
      <w:lang w:val="zh-CN" w:eastAsia="zh-CN"/>
    </w:rPr>
  </w:style>
  <w:style w:type="paragraph" w:customStyle="1" w:styleId="105">
    <w:name w:val="修订1"/>
    <w:hidden/>
    <w:qFormat/>
    <w:uiPriority w:val="99"/>
    <w:rPr>
      <w:rFonts w:ascii="Times New Roman" w:hAnsi="Times New Roman" w:eastAsia="宋体" w:cs="Times New Roman"/>
      <w:kern w:val="2"/>
      <w:sz w:val="24"/>
      <w:szCs w:val="24"/>
      <w:lang w:val="en-US" w:eastAsia="en-US" w:bidi="ar-SA"/>
    </w:rPr>
  </w:style>
  <w:style w:type="paragraph" w:customStyle="1" w:styleId="106">
    <w:name w:val="Sage Body Text"/>
    <w:qFormat/>
    <w:uiPriority w:val="99"/>
    <w:pPr>
      <w:spacing w:before="240"/>
    </w:pPr>
    <w:rPr>
      <w:rFonts w:ascii="Times New Roman" w:hAnsi="Times New Roman" w:eastAsia="宋体" w:cs="Times New Roman"/>
      <w:kern w:val="2"/>
      <w:sz w:val="24"/>
      <w:szCs w:val="24"/>
      <w:lang w:val="en-US" w:eastAsia="zh-CN" w:bidi="ar-SA"/>
    </w:rPr>
  </w:style>
  <w:style w:type="character" w:customStyle="1" w:styleId="107">
    <w:name w:val="fontstyle01"/>
    <w:qFormat/>
    <w:uiPriority w:val="99"/>
    <w:rPr>
      <w:rFonts w:ascii="HYa6gj" w:hAnsi="HYa6gj" w:cs="Times New Roman"/>
      <w:color w:val="231F20"/>
      <w:sz w:val="18"/>
      <w:szCs w:val="18"/>
    </w:rPr>
  </w:style>
  <w:style w:type="paragraph" w:customStyle="1" w:styleId="108">
    <w:name w:val="列出段落5"/>
    <w:basedOn w:val="1"/>
    <w:qFormat/>
    <w:uiPriority w:val="99"/>
    <w:pPr>
      <w:ind w:firstLine="420" w:firstLineChars="200"/>
    </w:pPr>
  </w:style>
  <w:style w:type="character" w:customStyle="1" w:styleId="109">
    <w:name w:val="fontstyle21"/>
    <w:qFormat/>
    <w:uiPriority w:val="99"/>
    <w:rPr>
      <w:rFonts w:ascii="Arial-BoldItalicMT" w:hAnsi="Arial-BoldItalicMT" w:cs="Times New Roman"/>
      <w:b/>
      <w:bCs/>
      <w:i/>
      <w:iCs/>
      <w:color w:val="000000"/>
      <w:sz w:val="28"/>
      <w:szCs w:val="28"/>
    </w:rPr>
  </w:style>
  <w:style w:type="paragraph" w:customStyle="1" w:styleId="110">
    <w:name w:val="列出段落6"/>
    <w:basedOn w:val="1"/>
    <w:qFormat/>
    <w:uiPriority w:val="99"/>
    <w:pPr>
      <w:ind w:firstLine="420" w:firstLineChars="200"/>
    </w:pPr>
  </w:style>
  <w:style w:type="paragraph" w:customStyle="1" w:styleId="111">
    <w:name w:val="修订2"/>
    <w:hidden/>
    <w:qFormat/>
    <w:uiPriority w:val="99"/>
    <w:rPr>
      <w:rFonts w:ascii="Times New Roman" w:hAnsi="Times New Roman" w:eastAsia="宋体" w:cs="Times New Roman"/>
      <w:kern w:val="2"/>
      <w:sz w:val="24"/>
      <w:szCs w:val="24"/>
      <w:lang w:val="en-US" w:eastAsia="en-US" w:bidi="ar-SA"/>
    </w:rPr>
  </w:style>
  <w:style w:type="paragraph" w:customStyle="1" w:styleId="112">
    <w:name w:val="无间隔2"/>
    <w:qFormat/>
    <w:uiPriority w:val="99"/>
    <w:pPr>
      <w:widowControl w:val="0"/>
      <w:jc w:val="both"/>
    </w:pPr>
    <w:rPr>
      <w:rFonts w:ascii="Times New Roman" w:hAnsi="Times New Roman" w:eastAsia="宋体" w:cs="Times New Roman"/>
      <w:kern w:val="2"/>
      <w:sz w:val="21"/>
      <w:szCs w:val="24"/>
      <w:lang w:val="en-US" w:eastAsia="zh-CN" w:bidi="ar-SA"/>
    </w:rPr>
  </w:style>
  <w:style w:type="character" w:customStyle="1" w:styleId="113">
    <w:name w:val="notranslate"/>
    <w:qFormat/>
    <w:uiPriority w:val="99"/>
    <w:rPr>
      <w:rFonts w:cs="Times New Roman"/>
    </w:rPr>
  </w:style>
  <w:style w:type="paragraph" w:customStyle="1" w:styleId="114">
    <w:name w:val="Default"/>
    <w:qFormat/>
    <w:uiPriority w:val="0"/>
    <w:pPr>
      <w:widowControl w:val="0"/>
      <w:autoSpaceDE w:val="0"/>
      <w:autoSpaceDN w:val="0"/>
      <w:adjustRightInd w:val="0"/>
    </w:pPr>
    <w:rPr>
      <w:rFonts w:ascii="Times New Roman" w:hAnsi="Times New Roman" w:eastAsia="宋体" w:cs="Times New Roman"/>
      <w:color w:val="000000"/>
      <w:kern w:val="2"/>
      <w:sz w:val="24"/>
      <w:lang w:val="en-US" w:eastAsia="zh-CN" w:bidi="ar-SA"/>
    </w:rPr>
  </w:style>
  <w:style w:type="paragraph" w:customStyle="1" w:styleId="115">
    <w:name w:val="Table Paragraph"/>
    <w:basedOn w:val="1"/>
    <w:qFormat/>
    <w:uiPriority w:val="1"/>
  </w:style>
  <w:style w:type="paragraph" w:customStyle="1" w:styleId="116">
    <w:name w:val="列出段落7"/>
    <w:basedOn w:val="1"/>
    <w:qFormat/>
    <w:uiPriority w:val="99"/>
    <w:pPr>
      <w:ind w:firstLine="420" w:firstLineChars="200"/>
    </w:pPr>
  </w:style>
  <w:style w:type="paragraph" w:customStyle="1" w:styleId="117">
    <w:name w:val="修订3"/>
    <w:hidden/>
    <w:semiHidden/>
    <w:qFormat/>
    <w:uiPriority w:val="99"/>
    <w:rPr>
      <w:rFonts w:ascii="Times New Roman" w:hAnsi="Times New Roman" w:eastAsia="宋体" w:cs="Times New Roman"/>
      <w:kern w:val="2"/>
      <w:sz w:val="24"/>
      <w:szCs w:val="24"/>
      <w:lang w:val="en-US" w:eastAsia="en-US" w:bidi="ar-SA"/>
    </w:rPr>
  </w:style>
  <w:style w:type="paragraph" w:customStyle="1" w:styleId="118">
    <w:name w:val="TOC 标题1"/>
    <w:basedOn w:val="2"/>
    <w:next w:val="1"/>
    <w:qFormat/>
    <w:uiPriority w:val="99"/>
    <w:pPr>
      <w:widowControl/>
      <w:spacing w:before="240" w:line="259" w:lineRule="auto"/>
      <w:jc w:val="left"/>
      <w:outlineLvl w:val="9"/>
    </w:pPr>
    <w:rPr>
      <w:rFonts w:ascii="Helvetica" w:hAnsi="Helvetica" w:eastAsia="黑体"/>
      <w:b w:val="0"/>
      <w:bCs w:val="0"/>
      <w:color w:val="2F759E"/>
      <w:kern w:val="0"/>
      <w:sz w:val="32"/>
      <w:szCs w:val="32"/>
    </w:rPr>
  </w:style>
  <w:style w:type="character" w:customStyle="1" w:styleId="119">
    <w:name w:val="未处理的提及1"/>
    <w:qFormat/>
    <w:uiPriority w:val="99"/>
    <w:rPr>
      <w:rFonts w:cs="Times New Roman"/>
      <w:color w:val="808080"/>
      <w:shd w:val="clear" w:color="auto" w:fill="E6E6E6"/>
    </w:rPr>
  </w:style>
  <w:style w:type="paragraph" w:customStyle="1" w:styleId="120">
    <w:name w:val="CM4"/>
    <w:basedOn w:val="114"/>
    <w:next w:val="114"/>
    <w:qFormat/>
    <w:uiPriority w:val="99"/>
    <w:pPr>
      <w:spacing w:after="268"/>
    </w:pPr>
    <w:rPr>
      <w:color w:val="auto"/>
      <w:szCs w:val="24"/>
    </w:rPr>
  </w:style>
  <w:style w:type="character" w:customStyle="1" w:styleId="121">
    <w:name w:val="apple-style-span"/>
    <w:qFormat/>
    <w:uiPriority w:val="99"/>
    <w:rPr>
      <w:rFonts w:cs="Times New Roman"/>
    </w:rPr>
  </w:style>
  <w:style w:type="paragraph" w:styleId="122">
    <w:name w:val="List Paragraph"/>
    <w:basedOn w:val="1"/>
    <w:link w:val="158"/>
    <w:qFormat/>
    <w:uiPriority w:val="34"/>
    <w:pPr>
      <w:ind w:firstLine="420" w:firstLineChars="200"/>
    </w:pPr>
  </w:style>
  <w:style w:type="character" w:customStyle="1" w:styleId="123">
    <w:name w:val="未处理的提及2"/>
    <w:semiHidden/>
    <w:qFormat/>
    <w:uiPriority w:val="99"/>
    <w:rPr>
      <w:rFonts w:cs="Times New Roman"/>
      <w:color w:val="808080"/>
      <w:shd w:val="clear" w:color="auto" w:fill="E6E6E6"/>
    </w:rPr>
  </w:style>
  <w:style w:type="character" w:customStyle="1" w:styleId="124">
    <w:name w:val="未处理的提及3"/>
    <w:semiHidden/>
    <w:qFormat/>
    <w:uiPriority w:val="99"/>
    <w:rPr>
      <w:rFonts w:cs="Times New Roman"/>
      <w:color w:val="808080"/>
      <w:shd w:val="clear" w:color="auto" w:fill="E6E6E6"/>
    </w:rPr>
  </w:style>
  <w:style w:type="paragraph" w:customStyle="1" w:styleId="125">
    <w:name w:val="正文缩进1"/>
    <w:basedOn w:val="13"/>
    <w:link w:val="126"/>
    <w:qFormat/>
    <w:uiPriority w:val="99"/>
    <w:pPr>
      <w:spacing w:line="360" w:lineRule="auto"/>
      <w:ind w:firstLine="200" w:firstLineChars="200"/>
    </w:pPr>
    <w:rPr>
      <w:sz w:val="24"/>
      <w:szCs w:val="22"/>
      <w:lang w:val="en-US"/>
    </w:rPr>
  </w:style>
  <w:style w:type="character" w:customStyle="1" w:styleId="126">
    <w:name w:val="正文缩进1 字符"/>
    <w:link w:val="125"/>
    <w:qFormat/>
    <w:locked/>
    <w:uiPriority w:val="99"/>
    <w:rPr>
      <w:rFonts w:cs="Times New Roman"/>
      <w:kern w:val="2"/>
      <w:sz w:val="22"/>
      <w:szCs w:val="22"/>
    </w:rPr>
  </w:style>
  <w:style w:type="character" w:customStyle="1" w:styleId="127">
    <w:name w:val="未处理的提及4"/>
    <w:semiHidden/>
    <w:qFormat/>
    <w:uiPriority w:val="99"/>
    <w:rPr>
      <w:rFonts w:cs="Times New Roman"/>
      <w:color w:val="605E5C"/>
      <w:shd w:val="clear" w:color="auto" w:fill="E1DFDD"/>
    </w:rPr>
  </w:style>
  <w:style w:type="paragraph" w:customStyle="1" w:styleId="128">
    <w:name w:val="列出段落8"/>
    <w:basedOn w:val="1"/>
    <w:qFormat/>
    <w:uiPriority w:val="34"/>
    <w:pPr>
      <w:ind w:firstLine="420" w:firstLineChars="200"/>
    </w:pPr>
    <w:rPr>
      <w:sz w:val="21"/>
      <w:lang w:val="en-GB"/>
    </w:rPr>
  </w:style>
  <w:style w:type="character" w:customStyle="1" w:styleId="129">
    <w:name w:val="未处理的提及5"/>
    <w:semiHidden/>
    <w:unhideWhenUsed/>
    <w:qFormat/>
    <w:uiPriority w:val="99"/>
    <w:rPr>
      <w:color w:val="605E5C"/>
      <w:shd w:val="clear" w:color="auto" w:fill="E1DFDD"/>
    </w:rPr>
  </w:style>
  <w:style w:type="table" w:customStyle="1" w:styleId="130">
    <w:name w:val="无格式表格 51"/>
    <w:basedOn w:val="41"/>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31">
    <w:name w:val="无格式表格 21"/>
    <w:basedOn w:val="41"/>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32">
    <w:name w:val="网格表 1 浅色1"/>
    <w:basedOn w:val="41"/>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133">
    <w:name w:val="TableGrid"/>
    <w:qFormat/>
    <w:uiPriority w:val="0"/>
    <w:rPr>
      <w:rFonts w:asciiTheme="minorHAnsi" w:hAnsiTheme="minorHAnsi" w:eastAsiaTheme="minorEastAsia" w:cstheme="minorBidi"/>
    </w:rPr>
    <w:tblPr>
      <w:tblCellMar>
        <w:top w:w="0" w:type="dxa"/>
        <w:left w:w="0" w:type="dxa"/>
        <w:bottom w:w="0" w:type="dxa"/>
        <w:right w:w="0" w:type="dxa"/>
      </w:tblCellMar>
    </w:tblPr>
  </w:style>
  <w:style w:type="character" w:customStyle="1" w:styleId="134">
    <w:name w:val="high-light-bg4"/>
    <w:basedOn w:val="43"/>
    <w:qFormat/>
    <w:uiPriority w:val="0"/>
  </w:style>
  <w:style w:type="character" w:customStyle="1" w:styleId="135">
    <w:name w:val="未处理的提及6"/>
    <w:basedOn w:val="43"/>
    <w:semiHidden/>
    <w:unhideWhenUsed/>
    <w:qFormat/>
    <w:uiPriority w:val="99"/>
    <w:rPr>
      <w:color w:val="605E5C"/>
      <w:shd w:val="clear" w:color="auto" w:fill="E1DFDD"/>
    </w:rPr>
  </w:style>
  <w:style w:type="paragraph" w:customStyle="1" w:styleId="136">
    <w:name w:val="修订4"/>
    <w:hidden/>
    <w:semiHidden/>
    <w:qFormat/>
    <w:uiPriority w:val="99"/>
    <w:rPr>
      <w:rFonts w:ascii="Times New Roman" w:hAnsi="Times New Roman" w:eastAsia="宋体" w:cs="Times New Roman"/>
      <w:kern w:val="2"/>
      <w:sz w:val="24"/>
      <w:szCs w:val="24"/>
      <w:lang w:val="en-US" w:eastAsia="en-US" w:bidi="ar-SA"/>
    </w:rPr>
  </w:style>
  <w:style w:type="character" w:customStyle="1" w:styleId="137">
    <w:name w:val="未处理的提及7"/>
    <w:basedOn w:val="43"/>
    <w:semiHidden/>
    <w:unhideWhenUsed/>
    <w:qFormat/>
    <w:uiPriority w:val="99"/>
    <w:rPr>
      <w:color w:val="605E5C"/>
      <w:shd w:val="clear" w:color="auto" w:fill="E1DFDD"/>
    </w:rPr>
  </w:style>
  <w:style w:type="paragraph" w:customStyle="1" w:styleId="138">
    <w:name w:val="修订5"/>
    <w:hidden/>
    <w:semiHidden/>
    <w:qFormat/>
    <w:uiPriority w:val="99"/>
    <w:rPr>
      <w:rFonts w:ascii="Times New Roman" w:hAnsi="Times New Roman" w:eastAsia="宋体" w:cs="Times New Roman"/>
      <w:kern w:val="2"/>
      <w:sz w:val="24"/>
      <w:szCs w:val="24"/>
      <w:lang w:val="en-US" w:eastAsia="en-US" w:bidi="ar-SA"/>
    </w:rPr>
  </w:style>
  <w:style w:type="character" w:customStyle="1" w:styleId="139">
    <w:name w:val="！正文 Char"/>
    <w:link w:val="83"/>
    <w:qFormat/>
    <w:uiPriority w:val="0"/>
    <w:rPr>
      <w:color w:val="000000"/>
      <w:kern w:val="2"/>
      <w:sz w:val="24"/>
      <w:szCs w:val="24"/>
      <w:u w:color="000000"/>
    </w:rPr>
  </w:style>
  <w:style w:type="character" w:customStyle="1" w:styleId="140">
    <w:name w:val="Table heading Char"/>
    <w:link w:val="141"/>
    <w:qFormat/>
    <w:locked/>
    <w:uiPriority w:val="0"/>
    <w:rPr>
      <w:rFonts w:ascii="Arial" w:hAnsi="Arial"/>
      <w:b/>
      <w:bCs/>
      <w:snapToGrid w:val="0"/>
      <w:sz w:val="18"/>
      <w:szCs w:val="18"/>
    </w:rPr>
  </w:style>
  <w:style w:type="paragraph" w:customStyle="1" w:styleId="141">
    <w:name w:val="Table heading"/>
    <w:basedOn w:val="1"/>
    <w:next w:val="1"/>
    <w:link w:val="140"/>
    <w:qFormat/>
    <w:uiPriority w:val="0"/>
    <w:pPr>
      <w:keepNext/>
      <w:keepLines/>
      <w:spacing w:before="80" w:after="80"/>
      <w:jc w:val="center"/>
    </w:pPr>
    <w:rPr>
      <w:rFonts w:ascii="Arial" w:hAnsi="Arial"/>
      <w:b/>
      <w:bCs/>
      <w:snapToGrid w:val="0"/>
      <w:sz w:val="18"/>
      <w:szCs w:val="18"/>
    </w:rPr>
  </w:style>
  <w:style w:type="character" w:customStyle="1" w:styleId="142">
    <w:name w:val="！正文 字符"/>
    <w:qFormat/>
    <w:uiPriority w:val="0"/>
    <w:rPr>
      <w:rFonts w:eastAsia="Times New Roman"/>
      <w:color w:val="000000"/>
      <w:kern w:val="2"/>
      <w:sz w:val="24"/>
      <w:szCs w:val="24"/>
      <w:u w:color="000000"/>
    </w:rPr>
  </w:style>
  <w:style w:type="table" w:customStyle="1" w:styleId="143">
    <w:name w:val="Table Normal"/>
    <w:semiHidden/>
    <w:unhideWhenUsed/>
    <w:qFormat/>
    <w:uiPriority w:val="2"/>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paragraph" w:customStyle="1" w:styleId="144">
    <w:name w:val="EndNote Bibliography"/>
    <w:basedOn w:val="1"/>
    <w:link w:val="145"/>
    <w:qFormat/>
    <w:uiPriority w:val="0"/>
    <w:pPr>
      <w:jc w:val="both"/>
    </w:pPr>
    <w:rPr>
      <w:rFonts w:ascii="Calibri" w:hAnsi="Calibri" w:cs="Calibri"/>
      <w:sz w:val="44"/>
    </w:rPr>
  </w:style>
  <w:style w:type="character" w:customStyle="1" w:styleId="145">
    <w:name w:val="EndNote Bibliography Char"/>
    <w:basedOn w:val="43"/>
    <w:link w:val="144"/>
    <w:qFormat/>
    <w:uiPriority w:val="0"/>
    <w:rPr>
      <w:rFonts w:ascii="Calibri" w:hAnsi="Calibri" w:cs="Calibri"/>
      <w:sz w:val="44"/>
      <w:szCs w:val="24"/>
      <w:lang w:eastAsia="en-US"/>
    </w:rPr>
  </w:style>
  <w:style w:type="table" w:customStyle="1" w:styleId="146">
    <w:name w:val="Table Normal2"/>
    <w:semiHidden/>
    <w:unhideWhenUsed/>
    <w:qFormat/>
    <w:uiPriority w:val="2"/>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character" w:customStyle="1" w:styleId="147">
    <w:name w:val="正文文本缩进 字符"/>
    <w:basedOn w:val="43"/>
    <w:link w:val="18"/>
    <w:qFormat/>
    <w:uiPriority w:val="99"/>
    <w:rPr>
      <w:sz w:val="24"/>
      <w:szCs w:val="24"/>
    </w:rPr>
  </w:style>
  <w:style w:type="table" w:customStyle="1" w:styleId="148">
    <w:name w:val="网格型5"/>
    <w:basedOn w:val="41"/>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9">
    <w:name w:val="2"/>
    <w:basedOn w:val="18"/>
    <w:next w:val="40"/>
    <w:qFormat/>
    <w:uiPriority w:val="0"/>
    <w:pPr>
      <w:widowControl w:val="0"/>
      <w:spacing w:after="120" w:line="240" w:lineRule="auto"/>
      <w:ind w:left="420" w:leftChars="200" w:firstLine="420"/>
      <w:jc w:val="both"/>
    </w:pPr>
    <w:rPr>
      <w:sz w:val="21"/>
      <w:szCs w:val="22"/>
    </w:rPr>
  </w:style>
  <w:style w:type="character" w:customStyle="1" w:styleId="150">
    <w:name w:val="正文文本首行缩进 2 字符"/>
    <w:basedOn w:val="147"/>
    <w:link w:val="40"/>
    <w:semiHidden/>
    <w:qFormat/>
    <w:uiPriority w:val="99"/>
    <w:rPr>
      <w:sz w:val="24"/>
      <w:szCs w:val="24"/>
      <w:lang w:eastAsia="en-US"/>
    </w:rPr>
  </w:style>
  <w:style w:type="paragraph" w:customStyle="1" w:styleId="151">
    <w:name w:val="TOC 标题2"/>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table" w:customStyle="1" w:styleId="152">
    <w:name w:val="清单表 6 彩色1"/>
    <w:basedOn w:val="41"/>
    <w:qFormat/>
    <w:uiPriority w:val="51"/>
    <w:rPr>
      <w:color w:val="000000"/>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53">
    <w:name w:val="网格型1"/>
    <w:basedOn w:val="41"/>
    <w:qFormat/>
    <w:uiPriority w:val="59"/>
    <w:rPr>
      <w:rFonts w:ascii="Helvetica" w:hAnsi="Helvetic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4">
    <w:name w:val="正文 A Char"/>
    <w:link w:val="3"/>
    <w:qFormat/>
    <w:uiPriority w:val="99"/>
    <w:rPr>
      <w:rFonts w:ascii="Calibri" w:hAnsi="Calibri" w:cs="Calibri"/>
      <w:color w:val="000000"/>
      <w:kern w:val="2"/>
      <w:sz w:val="21"/>
      <w:szCs w:val="21"/>
      <w:u w:color="000000"/>
    </w:rPr>
  </w:style>
  <w:style w:type="paragraph" w:customStyle="1" w:styleId="155">
    <w:name w:val="1"/>
    <w:basedOn w:val="18"/>
    <w:next w:val="40"/>
    <w:qFormat/>
    <w:uiPriority w:val="0"/>
    <w:pPr>
      <w:widowControl w:val="0"/>
      <w:spacing w:after="120" w:line="240" w:lineRule="auto"/>
      <w:ind w:left="420" w:leftChars="200" w:firstLine="420"/>
      <w:jc w:val="both"/>
    </w:pPr>
    <w:rPr>
      <w:sz w:val="21"/>
      <w:szCs w:val="22"/>
    </w:rPr>
  </w:style>
  <w:style w:type="paragraph" w:customStyle="1" w:styleId="156">
    <w:name w:val="正文首行缩进 21"/>
    <w:basedOn w:val="18"/>
    <w:qFormat/>
    <w:uiPriority w:val="0"/>
    <w:pPr>
      <w:widowControl w:val="0"/>
      <w:spacing w:after="120" w:line="240" w:lineRule="auto"/>
      <w:ind w:left="420" w:leftChars="200" w:firstLine="420"/>
      <w:jc w:val="both"/>
    </w:pPr>
    <w:rPr>
      <w:sz w:val="21"/>
      <w:szCs w:val="22"/>
    </w:rPr>
  </w:style>
  <w:style w:type="character" w:customStyle="1" w:styleId="157">
    <w:name w:val="批注文字 字符1"/>
    <w:qFormat/>
    <w:uiPriority w:val="99"/>
    <w:rPr>
      <w:rFonts w:ascii="Times New Roman" w:hAnsi="Times New Roman"/>
      <w:kern w:val="2"/>
      <w:sz w:val="21"/>
      <w:szCs w:val="24"/>
    </w:rPr>
  </w:style>
  <w:style w:type="character" w:customStyle="1" w:styleId="158">
    <w:name w:val="列表段落 字符"/>
    <w:link w:val="122"/>
    <w:qFormat/>
    <w:uiPriority w:val="34"/>
    <w:rPr>
      <w:sz w:val="24"/>
      <w:szCs w:val="24"/>
      <w:lang w:eastAsia="en-US"/>
    </w:rPr>
  </w:style>
  <w:style w:type="paragraph" w:customStyle="1" w:styleId="159">
    <w:name w:val="符号列举1"/>
    <w:basedOn w:val="1"/>
    <w:qFormat/>
    <w:uiPriority w:val="0"/>
    <w:pPr>
      <w:numPr>
        <w:ilvl w:val="0"/>
        <w:numId w:val="1"/>
      </w:numPr>
    </w:pPr>
    <w:rPr>
      <w:szCs w:val="22"/>
    </w:rPr>
  </w:style>
  <w:style w:type="character" w:customStyle="1" w:styleId="160">
    <w:name w:val="题注 字符"/>
    <w:link w:val="14"/>
    <w:qFormat/>
    <w:uiPriority w:val="35"/>
    <w:rPr>
      <w:rFonts w:eastAsia="黑体" w:asciiTheme="majorHAnsi" w:hAnsiTheme="majorHAnsi" w:cstheme="majorBidi"/>
      <w:lang w:eastAsia="en-US"/>
    </w:rPr>
  </w:style>
  <w:style w:type="paragraph" w:customStyle="1" w:styleId="161">
    <w:name w:val="_Style 236"/>
    <w:basedOn w:val="1"/>
    <w:link w:val="162"/>
    <w:qFormat/>
    <w:uiPriority w:val="34"/>
    <w:pPr>
      <w:keepLines/>
      <w:spacing w:beforeLines="50" w:afterLines="50"/>
      <w:ind w:firstLine="420" w:firstLineChars="200"/>
    </w:pPr>
    <w:rPr>
      <w:sz w:val="21"/>
      <w:szCs w:val="22"/>
    </w:rPr>
  </w:style>
  <w:style w:type="character" w:customStyle="1" w:styleId="162">
    <w:name w:val="列出段落 Char"/>
    <w:link w:val="161"/>
    <w:qFormat/>
    <w:locked/>
    <w:uiPriority w:val="34"/>
    <w:rPr>
      <w:kern w:val="2"/>
      <w:sz w:val="21"/>
      <w:szCs w:val="22"/>
    </w:rPr>
  </w:style>
  <w:style w:type="paragraph" w:customStyle="1" w:styleId="163">
    <w:name w:val="样式2"/>
    <w:basedOn w:val="4"/>
    <w:qFormat/>
    <w:uiPriority w:val="0"/>
    <w:pPr>
      <w:tabs>
        <w:tab w:val="left" w:pos="567"/>
      </w:tabs>
      <w:spacing w:before="0" w:beforeLines="60" w:after="0" w:afterLines="60" w:line="360" w:lineRule="atLeast"/>
      <w:ind w:left="567" w:hanging="567"/>
    </w:pPr>
    <w:rPr>
      <w:rFonts w:ascii="Times New Roman" w:hAnsi="Times New Roman" w:eastAsia="宋体"/>
      <w:bCs w:val="0"/>
      <w:sz w:val="24"/>
      <w:szCs w:val="20"/>
      <w:lang w:val="zh-CN"/>
    </w:rPr>
  </w:style>
  <w:style w:type="character" w:customStyle="1" w:styleId="164">
    <w:name w:val="未处理的提及8"/>
    <w:basedOn w:val="43"/>
    <w:semiHidden/>
    <w:unhideWhenUsed/>
    <w:qFormat/>
    <w:uiPriority w:val="99"/>
    <w:rPr>
      <w:color w:val="605E5C"/>
      <w:shd w:val="clear" w:color="auto" w:fill="E1DFDD"/>
    </w:rPr>
  </w:style>
  <w:style w:type="paragraph" w:customStyle="1" w:styleId="165">
    <w:name w:val="标准正文"/>
    <w:link w:val="166"/>
    <w:qFormat/>
    <w:uiPriority w:val="0"/>
    <w:pPr>
      <w:spacing w:line="360" w:lineRule="auto"/>
      <w:ind w:firstLine="200" w:firstLineChars="200"/>
      <w:jc w:val="both"/>
    </w:pPr>
    <w:rPr>
      <w:rFonts w:ascii="Times New Roman" w:hAnsi="Times New Roman" w:eastAsia="宋体" w:cstheme="minorBidi"/>
      <w:kern w:val="2"/>
      <w:sz w:val="24"/>
      <w:szCs w:val="22"/>
      <w:lang w:val="en-US" w:eastAsia="zh-CN" w:bidi="ar-SA"/>
    </w:rPr>
  </w:style>
  <w:style w:type="character" w:customStyle="1" w:styleId="166">
    <w:name w:val="标准正文 字符"/>
    <w:basedOn w:val="43"/>
    <w:link w:val="165"/>
    <w:qFormat/>
    <w:uiPriority w:val="0"/>
    <w:rPr>
      <w:rFonts w:cstheme="minorBidi"/>
      <w:kern w:val="2"/>
      <w:sz w:val="24"/>
      <w:szCs w:val="22"/>
    </w:rPr>
  </w:style>
  <w:style w:type="character" w:customStyle="1" w:styleId="167">
    <w:name w:val="纯文本 字符"/>
    <w:basedOn w:val="43"/>
    <w:link w:val="21"/>
    <w:qFormat/>
    <w:uiPriority w:val="99"/>
    <w:rPr>
      <w:rFonts w:ascii="宋体" w:hAnsi="Courier New" w:cs="宋体" w:eastAsiaTheme="minorEastAsia"/>
      <w:kern w:val="2"/>
      <w:sz w:val="21"/>
      <w:szCs w:val="21"/>
    </w:rPr>
  </w:style>
  <w:style w:type="paragraph" w:customStyle="1" w:styleId="168">
    <w:name w:val="表格"/>
    <w:basedOn w:val="17"/>
    <w:link w:val="169"/>
    <w:qFormat/>
    <w:uiPriority w:val="0"/>
    <w:pPr>
      <w:widowControl w:val="0"/>
      <w:spacing w:after="0" w:line="400" w:lineRule="exact"/>
      <w:jc w:val="both"/>
    </w:pPr>
  </w:style>
  <w:style w:type="character" w:customStyle="1" w:styleId="169">
    <w:name w:val="表格 字符"/>
    <w:basedOn w:val="65"/>
    <w:link w:val="168"/>
    <w:qFormat/>
    <w:uiPriority w:val="0"/>
    <w:rPr>
      <w:rFonts w:cs="Times New Roman"/>
      <w:kern w:val="2"/>
      <w:sz w:val="24"/>
      <w:szCs w:val="24"/>
      <w:lang w:eastAsia="en-US"/>
    </w:rPr>
  </w:style>
  <w:style w:type="character" w:customStyle="1" w:styleId="170">
    <w:name w:val="方案正文 Char"/>
    <w:link w:val="171"/>
    <w:qFormat/>
    <w:uiPriority w:val="0"/>
    <w:rPr>
      <w:kern w:val="2"/>
      <w:sz w:val="28"/>
      <w:szCs w:val="28"/>
    </w:rPr>
  </w:style>
  <w:style w:type="paragraph" w:customStyle="1" w:styleId="171">
    <w:name w:val="方案正文"/>
    <w:basedOn w:val="1"/>
    <w:link w:val="170"/>
    <w:qFormat/>
    <w:uiPriority w:val="0"/>
    <w:pPr>
      <w:widowControl w:val="0"/>
      <w:spacing w:before="48" w:beforeLines="20" w:line="300" w:lineRule="auto"/>
      <w:ind w:firstLine="546" w:firstLineChars="195"/>
      <w:jc w:val="both"/>
    </w:pPr>
    <w:rPr>
      <w:sz w:val="28"/>
      <w:szCs w:val="28"/>
    </w:rPr>
  </w:style>
  <w:style w:type="paragraph" w:customStyle="1" w:styleId="172">
    <w:name w:val="（）列表"/>
    <w:qFormat/>
    <w:uiPriority w:val="0"/>
    <w:pPr>
      <w:widowControl w:val="0"/>
      <w:numPr>
        <w:ilvl w:val="0"/>
        <w:numId w:val="2"/>
      </w:numPr>
      <w:spacing w:line="360" w:lineRule="auto"/>
      <w:jc w:val="both"/>
    </w:pPr>
    <w:rPr>
      <w:rFonts w:ascii="Times New Roman" w:hAnsi="Times New Roman" w:eastAsia="宋体" w:cstheme="minorBidi"/>
      <w:kern w:val="2"/>
      <w:sz w:val="24"/>
      <w:szCs w:val="24"/>
      <w:lang w:val="en-US" w:eastAsia="zh-CN" w:bidi="ar-SA"/>
    </w:rPr>
  </w:style>
  <w:style w:type="paragraph" w:customStyle="1" w:styleId="173">
    <w:name w:val="摘要正文"/>
    <w:qFormat/>
    <w:uiPriority w:val="0"/>
    <w:pPr>
      <w:spacing w:line="360" w:lineRule="auto"/>
      <w:jc w:val="both"/>
    </w:pPr>
    <w:rPr>
      <w:rFonts w:ascii="Times New Roman" w:hAnsi="Times New Roman" w:eastAsia="宋体" w:cstheme="minorBidi"/>
      <w:kern w:val="2"/>
      <w:sz w:val="24"/>
      <w:szCs w:val="22"/>
      <w:lang w:val="en-US" w:eastAsia="zh-CN" w:bidi="ar-SA"/>
    </w:rPr>
  </w:style>
  <w:style w:type="character" w:customStyle="1" w:styleId="174">
    <w:name w:val="正文文本 (2) + Times New Roman"/>
    <w:basedOn w:val="43"/>
    <w:qFormat/>
    <w:uiPriority w:val="0"/>
    <w:rPr>
      <w:rFonts w:ascii="Times New Roman" w:hAnsi="Times New Roman" w:eastAsia="Times New Roman" w:cs="Times New Roman"/>
      <w:color w:val="000000"/>
      <w:spacing w:val="0"/>
      <w:w w:val="100"/>
      <w:position w:val="0"/>
      <w:sz w:val="22"/>
      <w:szCs w:val="22"/>
      <w:u w:val="none"/>
      <w:lang w:val="en-US" w:eastAsia="en-US" w:bidi="en-US"/>
    </w:rPr>
  </w:style>
  <w:style w:type="character" w:customStyle="1" w:styleId="175">
    <w:name w:val="正文文本 (2)"/>
    <w:basedOn w:val="43"/>
    <w:qFormat/>
    <w:uiPriority w:val="0"/>
    <w:rPr>
      <w:rFonts w:ascii="宋体" w:hAnsi="宋体" w:eastAsia="宋体" w:cs="宋体"/>
      <w:color w:val="000000"/>
      <w:spacing w:val="0"/>
      <w:w w:val="100"/>
      <w:position w:val="0"/>
      <w:sz w:val="22"/>
      <w:szCs w:val="22"/>
      <w:u w:val="none"/>
      <w:lang w:val="zh-TW" w:eastAsia="zh-TW" w:bidi="zh-TW"/>
    </w:rPr>
  </w:style>
  <w:style w:type="paragraph" w:customStyle="1" w:styleId="176">
    <w:name w:val="半括号列表"/>
    <w:next w:val="165"/>
    <w:qFormat/>
    <w:uiPriority w:val="0"/>
    <w:pPr>
      <w:numPr>
        <w:ilvl w:val="0"/>
        <w:numId w:val="3"/>
      </w:numPr>
      <w:spacing w:line="360" w:lineRule="auto"/>
      <w:jc w:val="both"/>
    </w:pPr>
    <w:rPr>
      <w:rFonts w:ascii="Times New Roman" w:hAnsi="Times New Roman" w:eastAsia="宋体" w:cstheme="minorBidi"/>
      <w:kern w:val="2"/>
      <w:sz w:val="24"/>
      <w:szCs w:val="24"/>
      <w:lang w:val="en-US" w:eastAsia="zh-CN" w:bidi="ar-SA"/>
    </w:rPr>
  </w:style>
  <w:style w:type="table" w:customStyle="1" w:styleId="177">
    <w:name w:val="网格型31"/>
    <w:basedOn w:val="41"/>
    <w:qFormat/>
    <w:uiPriority w:val="39"/>
    <w:rPr>
      <w:rFonts w:ascii="Calibri" w:hAnsi="Calibri"/>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8">
    <w:name w:val="msolistparagraph"/>
    <w:basedOn w:val="1"/>
    <w:qFormat/>
    <w:uiPriority w:val="0"/>
    <w:pPr>
      <w:ind w:firstLine="420" w:firstLineChars="200"/>
    </w:pPr>
  </w:style>
  <w:style w:type="character" w:customStyle="1" w:styleId="179">
    <w:name w:val="font61"/>
    <w:basedOn w:val="43"/>
    <w:qFormat/>
    <w:uiPriority w:val="0"/>
    <w:rPr>
      <w:rFonts w:hint="default" w:ascii="Times New Roman" w:hAnsi="Times New Roman" w:cs="Times New Roman"/>
      <w:b/>
      <w:bCs/>
      <w:color w:val="000000"/>
      <w:sz w:val="21"/>
      <w:szCs w:val="21"/>
      <w:u w:val="none"/>
    </w:rPr>
  </w:style>
  <w:style w:type="character" w:customStyle="1" w:styleId="180">
    <w:name w:val="font51"/>
    <w:basedOn w:val="43"/>
    <w:qFormat/>
    <w:uiPriority w:val="0"/>
    <w:rPr>
      <w:rFonts w:hint="eastAsia" w:ascii="宋体" w:hAnsi="宋体" w:eastAsia="宋体" w:cs="宋体"/>
      <w:b/>
      <w:bCs/>
      <w:color w:val="000000"/>
      <w:sz w:val="21"/>
      <w:szCs w:val="21"/>
      <w:u w:val="none"/>
    </w:rPr>
  </w:style>
  <w:style w:type="character" w:customStyle="1" w:styleId="181">
    <w:name w:val="font81"/>
    <w:basedOn w:val="43"/>
    <w:qFormat/>
    <w:uiPriority w:val="0"/>
    <w:rPr>
      <w:rFonts w:hint="eastAsia" w:ascii="宋体" w:hAnsi="宋体" w:eastAsia="宋体" w:cs="宋体"/>
      <w:color w:val="000000"/>
      <w:sz w:val="21"/>
      <w:szCs w:val="21"/>
      <w:u w:val="none"/>
    </w:rPr>
  </w:style>
  <w:style w:type="character" w:customStyle="1" w:styleId="182">
    <w:name w:val="font71"/>
    <w:basedOn w:val="43"/>
    <w:qFormat/>
    <w:uiPriority w:val="0"/>
    <w:rPr>
      <w:rFonts w:hint="default" w:ascii="Times New Roman" w:hAnsi="Times New Roman" w:cs="Times New Roman"/>
      <w:color w:val="000000"/>
      <w:sz w:val="21"/>
      <w:szCs w:val="21"/>
      <w:u w:val="none"/>
    </w:rPr>
  </w:style>
  <w:style w:type="paragraph" w:customStyle="1" w:styleId="183">
    <w:name w:val="修订6"/>
    <w:hidden/>
    <w:unhideWhenUsed/>
    <w:qFormat/>
    <w:uiPriority w:val="99"/>
    <w:rPr>
      <w:rFonts w:ascii="Times New Roman" w:hAnsi="Times New Roman" w:eastAsia="宋体" w:cs="Times New Roman"/>
      <w:kern w:val="2"/>
      <w:sz w:val="24"/>
      <w:lang w:val="en-US" w:eastAsia="zh-CN" w:bidi="ar-SA"/>
    </w:rPr>
  </w:style>
  <w:style w:type="character" w:customStyle="1" w:styleId="184">
    <w:name w:val="未处理的提及9"/>
    <w:basedOn w:val="43"/>
    <w:semiHidden/>
    <w:unhideWhenUsed/>
    <w:qFormat/>
    <w:uiPriority w:val="99"/>
    <w:rPr>
      <w:color w:val="605E5C"/>
      <w:shd w:val="clear" w:color="auto" w:fill="E1DFDD"/>
    </w:rPr>
  </w:style>
  <w:style w:type="paragraph" w:customStyle="1" w:styleId="185">
    <w:name w:val="修订7"/>
    <w:hidden/>
    <w:unhideWhenUsed/>
    <w:qFormat/>
    <w:uiPriority w:val="99"/>
    <w:rPr>
      <w:rFonts w:ascii="Times New Roman" w:hAnsi="Times New Roman" w:eastAsia="宋体" w:cs="Times New Roman"/>
      <w:kern w:val="2"/>
      <w:sz w:val="24"/>
      <w:lang w:val="en-US" w:eastAsia="zh-CN" w:bidi="ar-SA"/>
    </w:rPr>
  </w:style>
  <w:style w:type="character" w:customStyle="1" w:styleId="186">
    <w:name w:val="未处理的提及10"/>
    <w:basedOn w:val="43"/>
    <w:semiHidden/>
    <w:unhideWhenUsed/>
    <w:qFormat/>
    <w:uiPriority w:val="99"/>
    <w:rPr>
      <w:color w:val="605E5C"/>
      <w:shd w:val="clear" w:color="auto" w:fill="E1DFDD"/>
    </w:rPr>
  </w:style>
  <w:style w:type="character" w:customStyle="1" w:styleId="187">
    <w:name w:val="页眉 字符1"/>
    <w:qFormat/>
    <w:uiPriority w:val="99"/>
    <w:rPr>
      <w:sz w:val="18"/>
      <w:szCs w:val="18"/>
    </w:rPr>
  </w:style>
  <w:style w:type="paragraph" w:customStyle="1" w:styleId="188">
    <w:name w:val="修订8"/>
    <w:hidden/>
    <w:unhideWhenUsed/>
    <w:qFormat/>
    <w:uiPriority w:val="99"/>
    <w:rPr>
      <w:rFonts w:ascii="Times New Roman" w:hAnsi="Times New Roman" w:eastAsia="宋体" w:cs="Times New Roman"/>
      <w:kern w:val="2"/>
      <w:sz w:val="24"/>
      <w:lang w:val="en-US" w:eastAsia="zh-CN" w:bidi="ar-SA"/>
    </w:rPr>
  </w:style>
  <w:style w:type="table" w:customStyle="1" w:styleId="189">
    <w:name w:val="网格型8"/>
    <w:basedOn w:val="4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0">
    <w:name w:val="修订9"/>
    <w:hidden/>
    <w:unhideWhenUsed/>
    <w:qFormat/>
    <w:uiPriority w:val="99"/>
    <w:rPr>
      <w:rFonts w:ascii="Times New Roman" w:hAnsi="Times New Roman" w:eastAsia="宋体" w:cs="Times New Roman"/>
      <w:kern w:val="2"/>
      <w:sz w:val="24"/>
      <w:lang w:val="en-US" w:eastAsia="zh-CN" w:bidi="ar-SA"/>
    </w:rPr>
  </w:style>
  <w:style w:type="character" w:customStyle="1" w:styleId="191">
    <w:name w:val="未处理的提及11"/>
    <w:basedOn w:val="43"/>
    <w:semiHidden/>
    <w:unhideWhenUsed/>
    <w:qFormat/>
    <w:uiPriority w:val="99"/>
    <w:rPr>
      <w:color w:val="605E5C"/>
      <w:shd w:val="clear" w:color="auto" w:fill="E1DFDD"/>
    </w:rPr>
  </w:style>
  <w:style w:type="paragraph" w:customStyle="1" w:styleId="192">
    <w:name w:val="修订10"/>
    <w:hidden/>
    <w:unhideWhenUsed/>
    <w:qFormat/>
    <w:uiPriority w:val="99"/>
    <w:rPr>
      <w:rFonts w:ascii="Times New Roman" w:hAnsi="Times New Roman" w:eastAsia="宋体" w:cs="Times New Roman"/>
      <w:kern w:val="2"/>
      <w:sz w:val="24"/>
      <w:lang w:val="en-US" w:eastAsia="zh-CN" w:bidi="ar-SA"/>
    </w:rPr>
  </w:style>
  <w:style w:type="paragraph" w:customStyle="1" w:styleId="193">
    <w:name w:val="C-Bullet"/>
    <w:qFormat/>
    <w:uiPriority w:val="0"/>
    <w:pPr>
      <w:numPr>
        <w:ilvl w:val="0"/>
        <w:numId w:val="4"/>
      </w:numPr>
      <w:spacing w:before="120" w:after="120" w:line="280" w:lineRule="atLeast"/>
      <w:jc w:val="both"/>
    </w:pPr>
    <w:rPr>
      <w:rFonts w:ascii="Times New Roman" w:hAnsi="Times New Roman" w:eastAsia="Times New Roman" w:cs="Times New Roman"/>
      <w:sz w:val="24"/>
      <w:lang w:val="en-US" w:eastAsia="en-US" w:bidi="ar-SA"/>
    </w:rPr>
  </w:style>
  <w:style w:type="paragraph" w:customStyle="1" w:styleId="194">
    <w:name w:val="修订11"/>
    <w:hidden/>
    <w:unhideWhenUsed/>
    <w:qFormat/>
    <w:uiPriority w:val="99"/>
    <w:rPr>
      <w:rFonts w:ascii="Times New Roman" w:hAnsi="Times New Roman" w:eastAsia="宋体" w:cs="Times New Roman"/>
      <w:kern w:val="2"/>
      <w:sz w:val="24"/>
      <w:lang w:val="en-US" w:eastAsia="zh-CN" w:bidi="ar-SA"/>
    </w:rPr>
  </w:style>
  <w:style w:type="paragraph" w:customStyle="1" w:styleId="195">
    <w:name w:val="修订12"/>
    <w:hidden/>
    <w:unhideWhenUsed/>
    <w:qFormat/>
    <w:uiPriority w:val="99"/>
    <w:rPr>
      <w:rFonts w:ascii="Times New Roman" w:hAnsi="Times New Roman" w:eastAsia="宋体" w:cs="Times New Roman"/>
      <w:kern w:val="2"/>
      <w:sz w:val="24"/>
      <w:lang w:val="en-US" w:eastAsia="zh-CN" w:bidi="ar-SA"/>
    </w:rPr>
  </w:style>
  <w:style w:type="character" w:customStyle="1" w:styleId="196">
    <w:name w:val="未处理的提及12"/>
    <w:basedOn w:val="43"/>
    <w:semiHidden/>
    <w:unhideWhenUsed/>
    <w:qFormat/>
    <w:uiPriority w:val="99"/>
    <w:rPr>
      <w:color w:val="605E5C"/>
      <w:shd w:val="clear" w:color="auto" w:fill="E1DFDD"/>
    </w:rPr>
  </w:style>
  <w:style w:type="paragraph" w:customStyle="1" w:styleId="197">
    <w:name w:val="修订13"/>
    <w:hidden/>
    <w:unhideWhenUsed/>
    <w:qFormat/>
    <w:uiPriority w:val="99"/>
    <w:rPr>
      <w:rFonts w:ascii="Times New Roman" w:hAnsi="Times New Roman" w:eastAsia="宋体" w:cs="Times New Roman"/>
      <w:kern w:val="2"/>
      <w:sz w:val="24"/>
      <w:lang w:val="en-US" w:eastAsia="zh-CN" w:bidi="ar-SA"/>
    </w:rPr>
  </w:style>
  <w:style w:type="paragraph" w:customStyle="1" w:styleId="198">
    <w:name w:val="修订14"/>
    <w:hidden/>
    <w:unhideWhenUsed/>
    <w:qFormat/>
    <w:uiPriority w:val="99"/>
    <w:rPr>
      <w:rFonts w:ascii="Times New Roman" w:hAnsi="Times New Roman" w:eastAsia="宋体" w:cs="Times New Roman"/>
      <w:kern w:val="2"/>
      <w:sz w:val="24"/>
      <w:lang w:val="en-US" w:eastAsia="zh-CN" w:bidi="ar-SA"/>
    </w:rPr>
  </w:style>
  <w:style w:type="paragraph" w:customStyle="1" w:styleId="199">
    <w:name w:val="修订15"/>
    <w:hidden/>
    <w:unhideWhenUsed/>
    <w:qFormat/>
    <w:uiPriority w:val="99"/>
    <w:rPr>
      <w:rFonts w:ascii="Times New Roman" w:hAnsi="Times New Roman" w:eastAsia="宋体" w:cs="Times New Roman"/>
      <w:kern w:val="2"/>
      <w:sz w:val="24"/>
      <w:lang w:val="en-US" w:eastAsia="zh-CN" w:bidi="ar-SA"/>
    </w:rPr>
  </w:style>
  <w:style w:type="paragraph" w:customStyle="1" w:styleId="200">
    <w:name w:val="Revision"/>
    <w:hidden/>
    <w:unhideWhenUsed/>
    <w:qFormat/>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78</Pages>
  <Words>40903</Words>
  <Characters>52091</Characters>
  <Lines>1728</Lines>
  <Paragraphs>1901</Paragraphs>
  <TotalTime>16</TotalTime>
  <ScaleCrop>false</ScaleCrop>
  <LinksUpToDate>false</LinksUpToDate>
  <CharactersWithSpaces>53950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2025-01-02T03:27:00Z</dcterms:created>
  <dc:creator>Administrator</dc:creator>
  <cp:lastModifiedBy>Jean</cp:lastModifiedBy>
  <cp:lastPrinted>2023-12-25T03:43:00Z</cp:lastPrinted>
  <dcterms:modified xsi:type="dcterms:W3CDTF">2025-06-13T10:38:17Z</dcterms:modified>
  <dc:title>方案编号：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CD3FA26E991A4475AC171C34E7421A63_13</vt:lpwstr>
  </property>
  <property fmtid="{D5CDD505-2E9C-101B-9397-08002B2CF9AE}" pid="4" name="KSOTemplateDocerSaveRecord">
    <vt:lpwstr>eyJoZGlkIjoiYWJmNTAxYTA0NTllZTU0OWY5NWY0MWNlMzBjNGU2OTYiLCJ1c2VySWQiOiIxMjA3NDk3MjE3In0=</vt:lpwstr>
  </property>
</Properties>
</file>