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874CD">
      <w:pPr>
        <w:pStyle w:val="12"/>
        <w:keepNext w:val="0"/>
        <w:keepLines w:val="0"/>
        <w:pageBreakBefore w:val="0"/>
        <w:widowControl w:val="0"/>
        <w:kinsoku/>
        <w:wordWrap/>
        <w:overflowPunct/>
        <w:topLinePunct w:val="0"/>
        <w:autoSpaceDE/>
        <w:autoSpaceDN/>
        <w:bidi w:val="0"/>
        <w:adjustRightInd/>
        <w:snapToGrid/>
        <w:spacing w:before="313" w:beforeLines="100"/>
        <w:ind w:left="0" w:leftChars="0" w:firstLine="0" w:firstLineChars="0"/>
        <w:textAlignment w:val="auto"/>
        <w:rPr>
          <w:rFonts w:hint="default" w:ascii="Times New Roman" w:hAnsi="Times New Roman" w:eastAsia="宋体" w:cs="黑体"/>
          <w:color w:val="auto"/>
          <w:sz w:val="21"/>
          <w:szCs w:val="21"/>
          <w:highlight w:val="none"/>
          <w:lang w:val="en-US" w:eastAsia="zh-CN"/>
        </w:rPr>
      </w:pPr>
      <w:r>
        <w:rPr>
          <w:rFonts w:hint="eastAsia" w:ascii="Times New Roman" w:hAnsi="Times New Roman" w:eastAsia="宋体"/>
          <w:color w:val="auto"/>
          <w:highlight w:val="none"/>
        </w:rPr>
        <w:t>方案编号：JY-JBL-2022</w:t>
      </w:r>
      <w:r>
        <w:rPr>
          <w:rFonts w:hint="eastAsia" w:ascii="Times New Roman" w:hAnsi="Times New Roman" w:eastAsia="宋体"/>
          <w:color w:val="auto"/>
          <w:highlight w:val="none"/>
          <w:lang w:val="en-US" w:eastAsia="zh-CN"/>
        </w:rPr>
        <w:t>-10-13</w:t>
      </w:r>
    </w:p>
    <w:p w14:paraId="74530B74">
      <w:pPr>
        <w:pStyle w:val="12"/>
        <w:spacing w:before="0" w:beforeLines="0"/>
        <w:ind w:left="840" w:hanging="420"/>
        <w:rPr>
          <w:rFonts w:ascii="Times New Roman" w:hAnsi="Times New Roman" w:eastAsia="黑体" w:cs="黑体"/>
          <w:color w:val="auto"/>
          <w:sz w:val="21"/>
          <w:szCs w:val="21"/>
          <w:highlight w:val="none"/>
        </w:rPr>
      </w:pPr>
    </w:p>
    <w:p w14:paraId="585377EA">
      <w:pPr>
        <w:pStyle w:val="12"/>
        <w:spacing w:before="0" w:beforeLines="0"/>
        <w:ind w:left="840" w:hanging="420"/>
        <w:rPr>
          <w:rFonts w:ascii="Times New Roman" w:hAnsi="Times New Roman" w:eastAsia="黑体" w:cs="黑体"/>
          <w:color w:val="auto"/>
          <w:sz w:val="21"/>
          <w:szCs w:val="21"/>
          <w:highlight w:val="none"/>
        </w:rPr>
      </w:pPr>
    </w:p>
    <w:p w14:paraId="6D73945E">
      <w:pPr>
        <w:pStyle w:val="12"/>
        <w:spacing w:before="0" w:beforeLines="0"/>
        <w:ind w:left="840" w:hanging="420"/>
        <w:rPr>
          <w:rFonts w:ascii="Times New Roman" w:hAnsi="Times New Roman" w:eastAsia="黑体" w:cs="黑体"/>
          <w:color w:val="auto"/>
          <w:sz w:val="21"/>
          <w:szCs w:val="21"/>
          <w:highlight w:val="none"/>
        </w:rPr>
      </w:pPr>
    </w:p>
    <w:p w14:paraId="1ABF5BA3">
      <w:pPr>
        <w:pStyle w:val="12"/>
        <w:spacing w:before="0" w:beforeLines="0"/>
        <w:ind w:left="840" w:hanging="420"/>
        <w:rPr>
          <w:rFonts w:ascii="Times New Roman" w:hAnsi="Times New Roman" w:eastAsia="黑体" w:cs="黑体"/>
          <w:color w:val="auto"/>
          <w:sz w:val="21"/>
          <w:szCs w:val="21"/>
          <w:highlight w:val="none"/>
        </w:rPr>
      </w:pPr>
    </w:p>
    <w:p w14:paraId="56F8A1EB">
      <w:pPr>
        <w:pStyle w:val="12"/>
        <w:spacing w:before="0" w:beforeLines="0"/>
        <w:ind w:left="840" w:hanging="420"/>
        <w:rPr>
          <w:rFonts w:ascii="Times New Roman" w:hAnsi="Times New Roman" w:eastAsia="黑体" w:cs="黑体"/>
          <w:color w:val="auto"/>
          <w:sz w:val="21"/>
          <w:szCs w:val="21"/>
          <w:highlight w:val="none"/>
        </w:rPr>
      </w:pPr>
    </w:p>
    <w:p w14:paraId="5AE5084A">
      <w:pPr>
        <w:pStyle w:val="11"/>
        <w:spacing w:before="0" w:beforeLines="0" w:after="280"/>
        <w:ind w:firstLine="0" w:firstLineChars="0"/>
        <w:jc w:val="center"/>
        <w:rPr>
          <w:rFonts w:ascii="Times New Roman" w:hAnsi="Times New Roman" w:eastAsia="黑体" w:cs="黑体"/>
          <w:color w:val="auto"/>
          <w:sz w:val="44"/>
          <w:szCs w:val="44"/>
          <w:highlight w:val="none"/>
        </w:rPr>
      </w:pPr>
      <w:r>
        <w:rPr>
          <w:rFonts w:hint="eastAsia" w:ascii="Times New Roman" w:hAnsi="Times New Roman" w:eastAsia="黑体" w:cs="黑体"/>
          <w:color w:val="auto"/>
          <w:sz w:val="44"/>
          <w:szCs w:val="44"/>
          <w:highlight w:val="none"/>
          <w:lang w:val="en-US" w:eastAsia="zh-CN"/>
        </w:rPr>
        <w:t>临床试验</w:t>
      </w:r>
      <w:r>
        <w:rPr>
          <w:rFonts w:hint="eastAsia" w:ascii="Times New Roman" w:hAnsi="Times New Roman" w:eastAsia="黑体" w:cs="黑体"/>
          <w:color w:val="auto"/>
          <w:sz w:val="44"/>
          <w:szCs w:val="44"/>
          <w:highlight w:val="none"/>
        </w:rPr>
        <w:t>名称</w:t>
      </w:r>
    </w:p>
    <w:p w14:paraId="1A2FF14B">
      <w:pPr>
        <w:pStyle w:val="11"/>
        <w:spacing w:before="0" w:beforeLines="0" w:after="160"/>
        <w:ind w:firstLine="0" w:firstLineChars="0"/>
        <w:jc w:val="center"/>
        <w:rPr>
          <w:rFonts w:ascii="Times New Roman" w:hAnsi="Times New Roman" w:eastAsia="黑体" w:cs="黑体"/>
          <w:color w:val="auto"/>
          <w:sz w:val="36"/>
          <w:szCs w:val="36"/>
          <w:highlight w:val="none"/>
        </w:rPr>
      </w:pPr>
      <w:bookmarkStart w:id="0" w:name="OLE_LINK62"/>
      <w:r>
        <w:rPr>
          <w:rFonts w:hint="eastAsia" w:ascii="Times New Roman" w:hAnsi="Times New Roman" w:eastAsia="黑体" w:cs="黑体"/>
          <w:color w:val="auto"/>
          <w:sz w:val="36"/>
          <w:szCs w:val="36"/>
          <w:highlight w:val="none"/>
          <w:lang w:val="en-US" w:eastAsia="zh-CN"/>
        </w:rPr>
        <w:t>随机、平行对照、多中心临床试验验证</w:t>
      </w:r>
      <w:r>
        <w:rPr>
          <w:rFonts w:hint="eastAsia" w:ascii="Times New Roman" w:hAnsi="Times New Roman" w:eastAsia="黑体" w:cs="黑体"/>
          <w:color w:val="auto"/>
          <w:sz w:val="36"/>
          <w:szCs w:val="36"/>
          <w:highlight w:val="none"/>
        </w:rPr>
        <w:t>君蓓力</w:t>
      </w:r>
      <w:r>
        <w:rPr>
          <w:rFonts w:hint="eastAsia" w:ascii="Times New Roman" w:hAnsi="Times New Roman" w:eastAsia="黑体" w:cs="黑体"/>
          <w:color w:val="auto"/>
          <w:sz w:val="36"/>
          <w:szCs w:val="36"/>
          <w:highlight w:val="none"/>
          <w:lang w:val="en-US" w:eastAsia="zh-CN"/>
        </w:rPr>
        <w:t>作为肿瘤患者部分营养来源的临床安全性、营养充足性及特殊医学用途临床效果</w:t>
      </w:r>
    </w:p>
    <w:bookmarkEnd w:id="0"/>
    <w:p w14:paraId="4DB54622">
      <w:pPr>
        <w:spacing w:before="0" w:beforeLines="0"/>
        <w:rPr>
          <w:rFonts w:ascii="Times New Roman" w:hAnsi="Times New Roman" w:eastAsia="黑体" w:cs="黑体"/>
          <w:color w:val="auto"/>
          <w:szCs w:val="21"/>
          <w:highlight w:val="none"/>
        </w:rPr>
      </w:pPr>
    </w:p>
    <w:p w14:paraId="2FAFE509">
      <w:pPr>
        <w:pStyle w:val="2"/>
        <w:rPr>
          <w:rFonts w:hint="default" w:ascii="Times New Roman" w:hAnsi="Times New Roman" w:eastAsia="黑体" w:cs="黑体"/>
          <w:color w:val="auto"/>
          <w:sz w:val="21"/>
          <w:szCs w:val="21"/>
          <w:highlight w:val="none"/>
        </w:rPr>
      </w:pPr>
    </w:p>
    <w:p w14:paraId="10E4A7B9">
      <w:pPr>
        <w:pStyle w:val="2"/>
        <w:rPr>
          <w:rFonts w:hint="default" w:ascii="Times New Roman" w:hAnsi="Times New Roman" w:eastAsia="黑体" w:cs="黑体"/>
          <w:color w:val="auto"/>
          <w:sz w:val="21"/>
          <w:szCs w:val="21"/>
          <w:highlight w:val="none"/>
        </w:rPr>
      </w:pPr>
    </w:p>
    <w:p w14:paraId="17AC0EB8">
      <w:pPr>
        <w:pStyle w:val="2"/>
        <w:rPr>
          <w:rFonts w:hint="default" w:ascii="Times New Roman" w:hAnsi="Times New Roman" w:eastAsia="黑体" w:cs="黑体"/>
          <w:color w:val="auto"/>
          <w:sz w:val="21"/>
          <w:szCs w:val="21"/>
          <w:highlight w:val="none"/>
        </w:rPr>
      </w:pPr>
    </w:p>
    <w:p w14:paraId="388320B1">
      <w:pPr>
        <w:pStyle w:val="2"/>
        <w:rPr>
          <w:rFonts w:hint="default" w:ascii="Times New Roman" w:hAnsi="Times New Roman" w:eastAsia="黑体" w:cs="黑体"/>
          <w:color w:val="auto"/>
          <w:sz w:val="21"/>
          <w:szCs w:val="21"/>
          <w:highlight w:val="none"/>
        </w:rPr>
      </w:pPr>
    </w:p>
    <w:p w14:paraId="57222A96">
      <w:pPr>
        <w:pStyle w:val="12"/>
        <w:spacing w:before="0" w:beforeLines="0"/>
        <w:ind w:left="840" w:hanging="420"/>
        <w:rPr>
          <w:rFonts w:ascii="Times New Roman" w:hAnsi="Times New Roman" w:eastAsia="黑体" w:cs="黑体"/>
          <w:color w:val="auto"/>
          <w:sz w:val="21"/>
          <w:szCs w:val="21"/>
          <w:highlight w:val="none"/>
        </w:rPr>
      </w:pPr>
    </w:p>
    <w:p w14:paraId="777C8736">
      <w:pPr>
        <w:pStyle w:val="12"/>
        <w:spacing w:before="0" w:beforeLines="0"/>
        <w:ind w:left="1060" w:hanging="640"/>
        <w:rPr>
          <w:rFonts w:hint="default" w:ascii="Times New Roman" w:hAnsi="Times New Roman" w:eastAsia="宋体" w:cs="Times New Roman"/>
          <w:color w:val="auto"/>
          <w:sz w:val="32"/>
          <w:szCs w:val="32"/>
          <w:highlight w:val="none"/>
          <w:lang w:val="en-US" w:eastAsia="zh-CN"/>
        </w:rPr>
      </w:pPr>
      <w:r>
        <w:rPr>
          <w:rFonts w:hint="eastAsia" w:ascii="Times New Roman" w:hAnsi="Times New Roman" w:eastAsia="宋体" w:cs="Times New Roman"/>
          <w:color w:val="auto"/>
          <w:sz w:val="32"/>
          <w:szCs w:val="32"/>
          <w:highlight w:val="none"/>
        </w:rPr>
        <w:t>方案版本号/版本日期：</w:t>
      </w:r>
      <w:r>
        <w:rPr>
          <w:rFonts w:hint="eastAsia" w:ascii="Times New Roman" w:hAnsi="Times New Roman" w:eastAsia="宋体" w:cs="Times New Roman"/>
          <w:color w:val="0000FF"/>
          <w:sz w:val="32"/>
          <w:szCs w:val="32"/>
          <w:highlight w:val="yellow"/>
          <w:lang w:val="en-US" w:eastAsia="zh-CN"/>
        </w:rPr>
        <w:t>v4.0/2023-05-23</w:t>
      </w:r>
    </w:p>
    <w:p w14:paraId="748DB63E">
      <w:pPr>
        <w:pStyle w:val="12"/>
        <w:spacing w:before="0" w:beforeLines="0"/>
        <w:ind w:left="1060" w:hanging="640"/>
        <w:rPr>
          <w:rFonts w:ascii="Times New Roman" w:hAnsi="Times New Roman" w:eastAsia="宋体" w:cs="Times New Roman"/>
          <w:color w:val="auto"/>
          <w:sz w:val="32"/>
          <w:szCs w:val="32"/>
          <w:highlight w:val="none"/>
        </w:rPr>
      </w:pPr>
      <w:r>
        <w:rPr>
          <w:rFonts w:hint="eastAsia" w:ascii="Times New Roman" w:hAnsi="Times New Roman" w:eastAsia="宋体" w:cs="Times New Roman"/>
          <w:color w:val="auto"/>
          <w:sz w:val="32"/>
          <w:szCs w:val="32"/>
          <w:highlight w:val="none"/>
        </w:rPr>
        <w:t>组长单位：浙江大学医学院附属第二医院</w:t>
      </w:r>
    </w:p>
    <w:p w14:paraId="4B7828CD">
      <w:pPr>
        <w:pStyle w:val="12"/>
        <w:spacing w:before="0" w:beforeLines="0"/>
        <w:ind w:left="1060" w:hanging="640"/>
        <w:rPr>
          <w:rFonts w:hint="eastAsia" w:ascii="Times New Roman" w:hAnsi="Times New Roman" w:eastAsia="宋体" w:cs="Times New Roman"/>
          <w:color w:val="auto"/>
          <w:sz w:val="32"/>
          <w:szCs w:val="32"/>
          <w:highlight w:val="none"/>
          <w:lang w:val="en-US" w:eastAsia="zh-CN"/>
        </w:rPr>
      </w:pPr>
      <w:r>
        <w:rPr>
          <w:rFonts w:hint="eastAsia" w:ascii="Times New Roman" w:hAnsi="Times New Roman" w:eastAsia="宋体" w:cs="Times New Roman"/>
          <w:color w:val="auto"/>
          <w:sz w:val="32"/>
          <w:szCs w:val="32"/>
          <w:highlight w:val="none"/>
        </w:rPr>
        <w:t>协调研究者：</w:t>
      </w:r>
      <w:r>
        <w:rPr>
          <w:rFonts w:hint="eastAsia" w:ascii="Times New Roman" w:hAnsi="Times New Roman" w:eastAsia="宋体" w:cs="Times New Roman"/>
          <w:color w:val="auto"/>
          <w:sz w:val="32"/>
          <w:szCs w:val="32"/>
          <w:highlight w:val="none"/>
          <w:lang w:val="en-US" w:eastAsia="zh-CN"/>
        </w:rPr>
        <w:t>张片红</w:t>
      </w:r>
    </w:p>
    <w:p w14:paraId="0B092DA1">
      <w:pPr>
        <w:pStyle w:val="12"/>
        <w:spacing w:before="0" w:beforeLines="0"/>
        <w:ind w:left="1060" w:hanging="640"/>
        <w:rPr>
          <w:rFonts w:ascii="Times New Roman" w:hAnsi="Times New Roman" w:eastAsia="宋体" w:cs="Times New Roman"/>
          <w:color w:val="auto"/>
          <w:sz w:val="32"/>
          <w:szCs w:val="32"/>
          <w:highlight w:val="none"/>
        </w:rPr>
      </w:pPr>
      <w:r>
        <w:rPr>
          <w:rFonts w:hint="eastAsia" w:ascii="Times New Roman" w:hAnsi="Times New Roman" w:eastAsia="宋体" w:cs="Times New Roman"/>
          <w:color w:val="auto"/>
          <w:sz w:val="32"/>
          <w:szCs w:val="32"/>
          <w:highlight w:val="none"/>
          <w:lang w:eastAsia="zh-CN"/>
        </w:rPr>
        <w:t>申办方</w:t>
      </w:r>
      <w:r>
        <w:rPr>
          <w:rFonts w:hint="eastAsia" w:ascii="Times New Roman" w:hAnsi="Times New Roman" w:eastAsia="宋体" w:cs="Times New Roman"/>
          <w:color w:val="auto"/>
          <w:sz w:val="32"/>
          <w:szCs w:val="32"/>
          <w:highlight w:val="none"/>
        </w:rPr>
        <w:t>：广东君悦营养医学有限公司</w:t>
      </w:r>
    </w:p>
    <w:p w14:paraId="42FC95A4">
      <w:pPr>
        <w:spacing w:before="0" w:beforeLines="0"/>
        <w:rPr>
          <w:rFonts w:ascii="Times New Roman" w:hAnsi="Times New Roman" w:eastAsia="黑体" w:cs="黑体"/>
          <w:color w:val="auto"/>
          <w:szCs w:val="21"/>
          <w:highlight w:val="none"/>
        </w:rPr>
      </w:pPr>
      <w:r>
        <w:rPr>
          <w:rFonts w:hint="eastAsia" w:ascii="Times New Roman" w:hAnsi="Times New Roman" w:eastAsia="黑体" w:cs="黑体"/>
          <w:color w:val="auto"/>
          <w:szCs w:val="21"/>
          <w:highlight w:val="none"/>
        </w:rPr>
        <w:br w:type="page"/>
      </w:r>
    </w:p>
    <w:sdt>
      <w:sdtPr>
        <w:rPr>
          <w:rFonts w:ascii="Times New Roman" w:hAnsi="Times New Roman" w:eastAsia="宋体" w:cstheme="minorBidi"/>
          <w:color w:val="auto"/>
          <w:kern w:val="2"/>
          <w:sz w:val="21"/>
          <w:szCs w:val="24"/>
          <w:highlight w:val="none"/>
          <w:lang w:val="en-US" w:eastAsia="zh-CN" w:bidi="ar-SA"/>
        </w:rPr>
        <w:id w:val="147476583"/>
        <w15:color w:val="DBDBDB"/>
        <w:docPartObj>
          <w:docPartGallery w:val="Table of Contents"/>
          <w:docPartUnique/>
        </w:docPartObj>
      </w:sdtPr>
      <w:sdtEndPr>
        <w:rPr>
          <w:rFonts w:ascii="Times New Roman" w:hAnsi="Times New Roman" w:eastAsia="黑体" w:cs="黑体"/>
          <w:color w:val="auto"/>
          <w:kern w:val="44"/>
          <w:sz w:val="28"/>
          <w:szCs w:val="21"/>
          <w:highlight w:val="none"/>
          <w:lang w:val="en-US" w:eastAsia="zh-CN" w:bidi="ar-SA"/>
        </w:rPr>
      </w:sdtEndPr>
      <w:sdtContent>
        <w:p w14:paraId="5E1E60F5">
          <w:pPr>
            <w:pageBreakBefore w:val="0"/>
            <w:widowControl w:val="0"/>
            <w:kinsoku/>
            <w:wordWrap/>
            <w:overflowPunct/>
            <w:topLinePunct w:val="0"/>
            <w:autoSpaceDE/>
            <w:autoSpaceDN/>
            <w:bidi w:val="0"/>
            <w:adjustRightInd/>
            <w:snapToGrid/>
            <w:spacing w:before="0" w:beforeLines="0" w:after="0" w:line="240" w:lineRule="auto"/>
            <w:ind w:left="0" w:leftChars="0" w:right="0" w:rightChars="0" w:firstLine="0" w:firstLineChars="0"/>
            <w:jc w:val="center"/>
            <w:textAlignment w:val="auto"/>
            <w:rPr>
              <w:rFonts w:ascii="Times New Roman" w:hAnsi="Times New Roman" w:eastAsia="黑体"/>
              <w:color w:val="auto"/>
              <w:sz w:val="28"/>
              <w:szCs w:val="36"/>
              <w:highlight w:val="none"/>
            </w:rPr>
          </w:pPr>
          <w:r>
            <w:rPr>
              <w:rFonts w:hint="eastAsia" w:ascii="Times New Roman" w:hAnsi="Times New Roman" w:eastAsia="黑体" w:cs="黑体"/>
              <w:color w:val="auto"/>
              <w:sz w:val="28"/>
              <w:szCs w:val="44"/>
              <w:highlight w:val="none"/>
            </w:rPr>
            <w:t>目  录</w:t>
          </w:r>
        </w:p>
        <w:p w14:paraId="32DD3442">
          <w:pPr>
            <w:pStyle w:val="20"/>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TOC \o "1-3" \h \u </w:instrText>
          </w:r>
          <w:r>
            <w:rPr>
              <w:rFonts w:ascii="Times New Roman" w:hAnsi="Times New Roman" w:eastAsia="黑体" w:cs="黑体"/>
              <w:color w:val="auto"/>
              <w:sz w:val="21"/>
              <w:szCs w:val="21"/>
              <w:highlight w:val="none"/>
            </w:rPr>
            <w:fldChar w:fldCharType="separate"/>
          </w: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_Toc10997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8"/>
              <w:highlight w:val="none"/>
            </w:rPr>
            <w:t xml:space="preserve">1 </w:t>
          </w:r>
          <w:r>
            <w:rPr>
              <w:rFonts w:hint="eastAsia" w:ascii="Times New Roman" w:hAnsi="Times New Roman" w:eastAsia="黑体" w:cs="黑体"/>
              <w:bCs/>
              <w:color w:val="auto"/>
              <w:sz w:val="21"/>
              <w:szCs w:val="28"/>
              <w:highlight w:val="none"/>
              <w:lang w:eastAsia="zh-CN"/>
            </w:rPr>
            <w:t>申办方</w:t>
          </w:r>
          <w:r>
            <w:rPr>
              <w:rFonts w:hint="eastAsia" w:ascii="Times New Roman" w:hAnsi="Times New Roman" w:eastAsia="黑体" w:cs="黑体"/>
              <w:bCs/>
              <w:color w:val="auto"/>
              <w:sz w:val="21"/>
              <w:szCs w:val="28"/>
              <w:highlight w:val="none"/>
            </w:rPr>
            <w:t>信息</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_Toc10997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3E47AE28">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_Toc21992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1.1 </w:t>
          </w:r>
          <w:r>
            <w:rPr>
              <w:rFonts w:hint="eastAsia" w:ascii="Times New Roman" w:hAnsi="Times New Roman" w:eastAsia="黑体" w:cs="黑体"/>
              <w:bCs w:val="0"/>
              <w:color w:val="auto"/>
              <w:sz w:val="21"/>
              <w:szCs w:val="24"/>
              <w:highlight w:val="none"/>
              <w:lang w:eastAsia="zh-CN"/>
            </w:rPr>
            <w:t>申办方</w:t>
          </w:r>
          <w:r>
            <w:rPr>
              <w:rFonts w:hint="eastAsia" w:ascii="Times New Roman" w:hAnsi="Times New Roman" w:eastAsia="黑体" w:cs="黑体"/>
              <w:bCs w:val="0"/>
              <w:color w:val="auto"/>
              <w:sz w:val="21"/>
              <w:szCs w:val="24"/>
              <w:highlight w:val="none"/>
            </w:rPr>
            <w:t>名称</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_Toc21992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36A2C3D8">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_Toc15802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1.2 </w:t>
          </w:r>
          <w:r>
            <w:rPr>
              <w:rFonts w:hint="eastAsia" w:ascii="Times New Roman" w:hAnsi="Times New Roman" w:eastAsia="黑体" w:cs="黑体"/>
              <w:bCs w:val="0"/>
              <w:color w:val="auto"/>
              <w:sz w:val="21"/>
              <w:szCs w:val="24"/>
              <w:highlight w:val="none"/>
              <w:lang w:eastAsia="zh-CN"/>
            </w:rPr>
            <w:t>申办方</w:t>
          </w:r>
          <w:r>
            <w:rPr>
              <w:rFonts w:hint="eastAsia" w:ascii="Times New Roman" w:hAnsi="Times New Roman" w:eastAsia="黑体" w:cs="黑体"/>
              <w:bCs w:val="0"/>
              <w:color w:val="auto"/>
              <w:sz w:val="21"/>
              <w:szCs w:val="24"/>
              <w:highlight w:val="none"/>
            </w:rPr>
            <w:t>地址</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_Toc15802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70E402D7">
          <w:pPr>
            <w:pStyle w:val="20"/>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_Toc9071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8"/>
              <w:highlight w:val="none"/>
            </w:rPr>
            <w:t xml:space="preserve">2 </w:t>
          </w:r>
          <w:r>
            <w:rPr>
              <w:rFonts w:hint="eastAsia" w:ascii="Times New Roman" w:hAnsi="Times New Roman" w:eastAsia="黑体" w:cs="黑体"/>
              <w:bCs/>
              <w:color w:val="auto"/>
              <w:sz w:val="21"/>
              <w:szCs w:val="28"/>
              <w:highlight w:val="none"/>
              <w:lang w:eastAsia="zh-CN"/>
            </w:rPr>
            <w:t>临床试验</w:t>
          </w:r>
          <w:r>
            <w:rPr>
              <w:rFonts w:hint="eastAsia" w:ascii="Times New Roman" w:hAnsi="Times New Roman" w:eastAsia="黑体" w:cs="黑体"/>
              <w:bCs/>
              <w:color w:val="auto"/>
              <w:sz w:val="21"/>
              <w:szCs w:val="28"/>
              <w:highlight w:val="none"/>
            </w:rPr>
            <w:t>机构和研究者列表</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_Toc9071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1E34166F">
          <w:pPr>
            <w:pStyle w:val="20"/>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_Toc21821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8"/>
              <w:highlight w:val="none"/>
            </w:rPr>
            <w:t xml:space="preserve">3 </w:t>
          </w:r>
          <w:r>
            <w:rPr>
              <w:rFonts w:hint="eastAsia" w:ascii="Times New Roman" w:hAnsi="Times New Roman" w:eastAsia="黑体" w:cs="黑体"/>
              <w:bCs/>
              <w:color w:val="auto"/>
              <w:sz w:val="21"/>
              <w:szCs w:val="28"/>
              <w:highlight w:val="none"/>
            </w:rPr>
            <w:t>摘要</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_Toc21821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7A0F93D9">
          <w:pPr>
            <w:pStyle w:val="20"/>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_Toc10176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8"/>
              <w:highlight w:val="none"/>
            </w:rPr>
            <w:t xml:space="preserve">4 </w:t>
          </w:r>
          <w:r>
            <w:rPr>
              <w:rFonts w:hint="eastAsia" w:ascii="Times New Roman" w:hAnsi="Times New Roman" w:eastAsia="黑体" w:cs="黑体"/>
              <w:bCs/>
              <w:color w:val="auto"/>
              <w:sz w:val="21"/>
              <w:szCs w:val="28"/>
              <w:highlight w:val="none"/>
              <w:lang w:val="en-US" w:eastAsia="zh-CN"/>
            </w:rPr>
            <w:t>试验流程图</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_Toc10176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5</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7F78BA33">
          <w:pPr>
            <w:pStyle w:val="20"/>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_Toc1638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8"/>
              <w:highlight w:val="none"/>
            </w:rPr>
            <w:t xml:space="preserve">5 </w:t>
          </w:r>
          <w:r>
            <w:rPr>
              <w:rFonts w:hint="eastAsia" w:ascii="Times New Roman" w:hAnsi="Times New Roman" w:eastAsia="黑体" w:cs="黑体"/>
              <w:bCs/>
              <w:color w:val="auto"/>
              <w:sz w:val="21"/>
              <w:szCs w:val="28"/>
              <w:highlight w:val="none"/>
              <w:lang w:eastAsia="zh-CN"/>
            </w:rPr>
            <w:t>试验</w:t>
          </w:r>
          <w:r>
            <w:rPr>
              <w:rFonts w:hint="eastAsia" w:ascii="Times New Roman" w:hAnsi="Times New Roman" w:eastAsia="黑体" w:cs="黑体"/>
              <w:bCs/>
              <w:color w:val="auto"/>
              <w:sz w:val="21"/>
              <w:szCs w:val="28"/>
              <w:highlight w:val="none"/>
            </w:rPr>
            <w:t>背景</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_Toc1638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8</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11C95E7C">
          <w:pPr>
            <w:pStyle w:val="20"/>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_Toc32277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8"/>
              <w:highlight w:val="none"/>
            </w:rPr>
            <w:t xml:space="preserve">6 </w:t>
          </w:r>
          <w:r>
            <w:rPr>
              <w:rFonts w:hint="eastAsia" w:ascii="Times New Roman" w:hAnsi="Times New Roman" w:eastAsia="黑体" w:cs="黑体"/>
              <w:bCs/>
              <w:color w:val="auto"/>
              <w:sz w:val="21"/>
              <w:szCs w:val="28"/>
              <w:highlight w:val="none"/>
              <w:lang w:eastAsia="zh-CN"/>
            </w:rPr>
            <w:t>试验</w:t>
          </w:r>
          <w:r>
            <w:rPr>
              <w:rFonts w:hint="eastAsia" w:ascii="Times New Roman" w:hAnsi="Times New Roman" w:eastAsia="黑体" w:cs="黑体"/>
              <w:bCs/>
              <w:color w:val="auto"/>
              <w:sz w:val="21"/>
              <w:szCs w:val="28"/>
              <w:highlight w:val="none"/>
              <w:lang w:val="en-US" w:eastAsia="zh-CN"/>
            </w:rPr>
            <w:t>内容、</w:t>
          </w:r>
          <w:r>
            <w:rPr>
              <w:rFonts w:hint="eastAsia" w:ascii="Times New Roman" w:hAnsi="Times New Roman" w:eastAsia="黑体" w:cs="黑体"/>
              <w:bCs/>
              <w:color w:val="auto"/>
              <w:sz w:val="21"/>
              <w:szCs w:val="28"/>
              <w:highlight w:val="none"/>
            </w:rPr>
            <w:t>目的及</w:t>
          </w:r>
          <w:r>
            <w:rPr>
              <w:rFonts w:hint="eastAsia" w:ascii="Times New Roman" w:hAnsi="Times New Roman" w:eastAsia="黑体" w:cs="黑体"/>
              <w:bCs/>
              <w:color w:val="auto"/>
              <w:sz w:val="21"/>
              <w:szCs w:val="28"/>
              <w:highlight w:val="none"/>
              <w:lang w:eastAsia="zh-CN"/>
            </w:rPr>
            <w:t>试验</w:t>
          </w:r>
          <w:r>
            <w:rPr>
              <w:rFonts w:hint="eastAsia" w:ascii="Times New Roman" w:hAnsi="Times New Roman" w:eastAsia="黑体" w:cs="黑体"/>
              <w:bCs/>
              <w:color w:val="auto"/>
              <w:sz w:val="21"/>
              <w:szCs w:val="28"/>
              <w:highlight w:val="none"/>
            </w:rPr>
            <w:t>指标</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_Toc32277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11</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6412B416">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_Toc22934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6.1 </w:t>
          </w:r>
          <w:r>
            <w:rPr>
              <w:rFonts w:hint="eastAsia" w:ascii="Times New Roman" w:hAnsi="Times New Roman" w:eastAsia="黑体" w:cs="黑体"/>
              <w:bCs w:val="0"/>
              <w:color w:val="auto"/>
              <w:sz w:val="21"/>
              <w:szCs w:val="24"/>
              <w:highlight w:val="none"/>
              <w:lang w:val="en-US" w:eastAsia="zh-CN"/>
            </w:rPr>
            <w:t>试验内容</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_Toc22934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11</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685C90DE">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_Toc18201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6.2 </w:t>
          </w:r>
          <w:r>
            <w:rPr>
              <w:rFonts w:hint="eastAsia" w:ascii="Times New Roman" w:hAnsi="Times New Roman" w:eastAsia="黑体" w:cs="黑体"/>
              <w:bCs w:val="0"/>
              <w:color w:val="auto"/>
              <w:sz w:val="21"/>
              <w:szCs w:val="24"/>
              <w:highlight w:val="none"/>
            </w:rPr>
            <w:t>主要目的</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_Toc18201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11</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5AC59C42">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_Toc26480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6.2.1 </w:t>
          </w:r>
          <w:r>
            <w:rPr>
              <w:rFonts w:hint="eastAsia" w:ascii="Times New Roman" w:hAnsi="Times New Roman" w:eastAsia="黑体" w:cs="黑体"/>
              <w:bCs w:val="0"/>
              <w:color w:val="auto"/>
              <w:sz w:val="21"/>
              <w:szCs w:val="24"/>
              <w:highlight w:val="none"/>
            </w:rPr>
            <w:t>主要</w:t>
          </w:r>
          <w:r>
            <w:rPr>
              <w:rFonts w:hint="eastAsia" w:ascii="Times New Roman" w:hAnsi="Times New Roman" w:eastAsia="黑体" w:cs="黑体"/>
              <w:bCs w:val="0"/>
              <w:color w:val="auto"/>
              <w:sz w:val="21"/>
              <w:szCs w:val="24"/>
              <w:highlight w:val="none"/>
              <w:lang w:val="en-US" w:eastAsia="zh-CN"/>
            </w:rPr>
            <w:t>疗效</w:t>
          </w:r>
          <w:r>
            <w:rPr>
              <w:rFonts w:hint="eastAsia" w:ascii="Times New Roman" w:hAnsi="Times New Roman" w:eastAsia="黑体" w:cs="黑体"/>
              <w:bCs w:val="0"/>
              <w:color w:val="auto"/>
              <w:sz w:val="21"/>
              <w:szCs w:val="24"/>
              <w:highlight w:val="none"/>
            </w:rPr>
            <w:t>指标</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_Toc26480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11</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6F342E55">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_Toc20731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6.3 </w:t>
          </w:r>
          <w:r>
            <w:rPr>
              <w:rFonts w:hint="eastAsia" w:ascii="Times New Roman" w:hAnsi="Times New Roman" w:eastAsia="黑体" w:cs="黑体"/>
              <w:bCs w:val="0"/>
              <w:color w:val="auto"/>
              <w:sz w:val="21"/>
              <w:szCs w:val="24"/>
              <w:highlight w:val="none"/>
            </w:rPr>
            <w:t>次要目的</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_Toc20731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11</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1E42C036">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_Toc25877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6.3.1 </w:t>
          </w:r>
          <w:r>
            <w:rPr>
              <w:rFonts w:hint="eastAsia" w:ascii="Times New Roman" w:hAnsi="Times New Roman" w:eastAsia="黑体" w:cs="黑体"/>
              <w:bCs w:val="0"/>
              <w:color w:val="auto"/>
              <w:sz w:val="21"/>
              <w:szCs w:val="24"/>
              <w:highlight w:val="none"/>
            </w:rPr>
            <w:t>次要</w:t>
          </w:r>
          <w:r>
            <w:rPr>
              <w:rFonts w:hint="eastAsia" w:ascii="Times New Roman" w:hAnsi="Times New Roman" w:eastAsia="黑体" w:cs="黑体"/>
              <w:bCs w:val="0"/>
              <w:color w:val="auto"/>
              <w:sz w:val="21"/>
              <w:szCs w:val="24"/>
              <w:highlight w:val="none"/>
              <w:lang w:val="en-US" w:eastAsia="zh-CN"/>
            </w:rPr>
            <w:t>疗效</w:t>
          </w:r>
          <w:r>
            <w:rPr>
              <w:rFonts w:hint="eastAsia" w:ascii="Times New Roman" w:hAnsi="Times New Roman" w:eastAsia="黑体" w:cs="黑体"/>
              <w:bCs w:val="0"/>
              <w:color w:val="auto"/>
              <w:sz w:val="21"/>
              <w:szCs w:val="24"/>
              <w:highlight w:val="none"/>
            </w:rPr>
            <w:t>指标</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_Toc25877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11</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6ABDCCDF">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_Toc25923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6.3.2 </w:t>
          </w:r>
          <w:r>
            <w:rPr>
              <w:rFonts w:hint="eastAsia" w:ascii="Times New Roman" w:hAnsi="Times New Roman" w:eastAsia="黑体" w:cs="黑体"/>
              <w:bCs w:val="0"/>
              <w:color w:val="auto"/>
              <w:sz w:val="21"/>
              <w:szCs w:val="24"/>
              <w:highlight w:val="none"/>
              <w:lang w:eastAsia="zh-CN"/>
            </w:rPr>
            <w:t>临床安全性</w:t>
          </w:r>
          <w:r>
            <w:rPr>
              <w:rFonts w:hint="eastAsia" w:ascii="Times New Roman" w:hAnsi="Times New Roman" w:eastAsia="黑体" w:cs="黑体"/>
              <w:bCs w:val="0"/>
              <w:color w:val="auto"/>
              <w:sz w:val="21"/>
              <w:szCs w:val="24"/>
              <w:highlight w:val="none"/>
            </w:rPr>
            <w:t>指标</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_Toc25923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12</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23D5E178">
          <w:pPr>
            <w:pStyle w:val="20"/>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_Toc25397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8"/>
              <w:highlight w:val="none"/>
            </w:rPr>
            <w:t xml:space="preserve">7 </w:t>
          </w:r>
          <w:r>
            <w:rPr>
              <w:rFonts w:hint="eastAsia" w:ascii="Times New Roman" w:hAnsi="Times New Roman" w:eastAsia="黑体" w:cs="黑体"/>
              <w:bCs/>
              <w:color w:val="auto"/>
              <w:sz w:val="21"/>
              <w:szCs w:val="28"/>
              <w:highlight w:val="none"/>
              <w:lang w:eastAsia="zh-CN"/>
            </w:rPr>
            <w:t>试验</w:t>
          </w:r>
          <w:r>
            <w:rPr>
              <w:rFonts w:hint="eastAsia" w:ascii="Times New Roman" w:hAnsi="Times New Roman" w:eastAsia="黑体" w:cs="黑体"/>
              <w:bCs/>
              <w:color w:val="auto"/>
              <w:sz w:val="21"/>
              <w:szCs w:val="28"/>
              <w:highlight w:val="none"/>
            </w:rPr>
            <w:t>设计</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_Toc25397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12</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38F72AC7">
          <w:pPr>
            <w:pStyle w:val="20"/>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_Toc4638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8"/>
              <w:highlight w:val="none"/>
            </w:rPr>
            <w:t xml:space="preserve">8 </w:t>
          </w:r>
          <w:r>
            <w:rPr>
              <w:rFonts w:hint="eastAsia" w:ascii="Times New Roman" w:hAnsi="Times New Roman" w:eastAsia="黑体" w:cs="黑体"/>
              <w:bCs/>
              <w:color w:val="auto"/>
              <w:sz w:val="21"/>
              <w:szCs w:val="28"/>
              <w:highlight w:val="none"/>
              <w:lang w:eastAsia="zh-CN"/>
            </w:rPr>
            <w:t>试验</w:t>
          </w:r>
          <w:r>
            <w:rPr>
              <w:rFonts w:hint="eastAsia" w:ascii="Times New Roman" w:hAnsi="Times New Roman" w:eastAsia="黑体" w:cs="黑体"/>
              <w:bCs/>
              <w:color w:val="auto"/>
              <w:sz w:val="21"/>
              <w:szCs w:val="28"/>
              <w:highlight w:val="none"/>
            </w:rPr>
            <w:t>人群</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_Toc4638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12</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4A460BD7">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_Toc24215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8.1 </w:t>
          </w:r>
          <w:r>
            <w:rPr>
              <w:rFonts w:hint="eastAsia" w:ascii="Times New Roman" w:hAnsi="Times New Roman" w:eastAsia="黑体" w:cs="黑体"/>
              <w:bCs w:val="0"/>
              <w:color w:val="auto"/>
              <w:sz w:val="21"/>
              <w:szCs w:val="24"/>
              <w:highlight w:val="none"/>
            </w:rPr>
            <w:t>受试者纳入标准</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_Toc24215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12</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31FF8532">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_Toc13116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8.2 </w:t>
          </w:r>
          <w:r>
            <w:rPr>
              <w:rFonts w:hint="eastAsia" w:ascii="Times New Roman" w:hAnsi="Times New Roman" w:eastAsia="黑体" w:cs="黑体"/>
              <w:bCs w:val="0"/>
              <w:color w:val="auto"/>
              <w:sz w:val="21"/>
              <w:szCs w:val="24"/>
              <w:highlight w:val="none"/>
            </w:rPr>
            <w:t>受试者排除标准</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_Toc13116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13</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63B3D7FC">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_Toc30225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8.3 </w:t>
          </w:r>
          <w:r>
            <w:rPr>
              <w:rFonts w:hint="eastAsia" w:ascii="Times New Roman" w:hAnsi="Times New Roman" w:eastAsia="黑体" w:cs="黑体"/>
              <w:bCs w:val="0"/>
              <w:color w:val="auto"/>
              <w:sz w:val="21"/>
              <w:szCs w:val="24"/>
              <w:highlight w:val="none"/>
            </w:rPr>
            <w:t>受试者退出</w:t>
          </w:r>
          <w:r>
            <w:rPr>
              <w:rFonts w:hint="eastAsia" w:ascii="Times New Roman" w:hAnsi="Times New Roman" w:eastAsia="黑体" w:cs="黑体"/>
              <w:bCs w:val="0"/>
              <w:color w:val="auto"/>
              <w:sz w:val="21"/>
              <w:szCs w:val="24"/>
              <w:highlight w:val="none"/>
              <w:lang w:eastAsia="zh-CN"/>
            </w:rPr>
            <w:t>试验</w:t>
          </w:r>
          <w:r>
            <w:rPr>
              <w:rFonts w:hint="eastAsia" w:ascii="Times New Roman" w:hAnsi="Times New Roman" w:eastAsia="黑体" w:cs="黑体"/>
              <w:bCs w:val="0"/>
              <w:color w:val="auto"/>
              <w:sz w:val="21"/>
              <w:szCs w:val="24"/>
              <w:highlight w:val="none"/>
            </w:rPr>
            <w:t>标准</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_Toc30225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13</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2D7C6219">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_Toc24182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8.4 </w:t>
          </w:r>
          <w:r>
            <w:rPr>
              <w:rFonts w:hint="eastAsia" w:ascii="Times New Roman" w:hAnsi="Times New Roman" w:eastAsia="黑体" w:cs="黑体"/>
              <w:bCs w:val="0"/>
              <w:color w:val="auto"/>
              <w:sz w:val="21"/>
              <w:szCs w:val="24"/>
              <w:highlight w:val="none"/>
              <w:lang w:val="en-US" w:eastAsia="zh-CN"/>
            </w:rPr>
            <w:t>入组时间</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_Toc24182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14</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79D91A9D">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_Toc30979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8.5 </w:t>
          </w:r>
          <w:r>
            <w:rPr>
              <w:rFonts w:hint="eastAsia" w:ascii="Times New Roman" w:hAnsi="Times New Roman" w:eastAsia="黑体" w:cs="黑体"/>
              <w:bCs w:val="0"/>
              <w:color w:val="auto"/>
              <w:sz w:val="21"/>
              <w:szCs w:val="24"/>
              <w:highlight w:val="none"/>
            </w:rPr>
            <w:t>更换受试者</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_Toc30979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14</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7CDA0C71">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_Toc15067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8.6 </w:t>
          </w:r>
          <w:r>
            <w:rPr>
              <w:rFonts w:hint="eastAsia" w:ascii="Times New Roman" w:hAnsi="Times New Roman" w:eastAsia="黑体" w:cs="黑体"/>
              <w:bCs w:val="0"/>
              <w:color w:val="auto"/>
              <w:sz w:val="21"/>
              <w:szCs w:val="24"/>
              <w:highlight w:val="none"/>
            </w:rPr>
            <w:t>申办方停止标准</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_Toc15067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14</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306911D7">
          <w:pPr>
            <w:pStyle w:val="20"/>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_Toc23241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8"/>
              <w:highlight w:val="none"/>
            </w:rPr>
            <w:t xml:space="preserve">9 </w:t>
          </w:r>
          <w:r>
            <w:rPr>
              <w:rFonts w:hint="eastAsia" w:ascii="Times New Roman" w:hAnsi="Times New Roman" w:eastAsia="黑体" w:cs="黑体"/>
              <w:bCs/>
              <w:color w:val="auto"/>
              <w:sz w:val="21"/>
              <w:szCs w:val="28"/>
              <w:highlight w:val="none"/>
              <w:lang w:eastAsia="zh-CN"/>
            </w:rPr>
            <w:t>试验用产品</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_Toc23241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14</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26A8FCA2">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_Toc15564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9.1 </w:t>
          </w:r>
          <w:r>
            <w:rPr>
              <w:rFonts w:hint="eastAsia" w:ascii="Times New Roman" w:hAnsi="Times New Roman" w:eastAsia="黑体" w:cs="黑体"/>
              <w:bCs w:val="0"/>
              <w:color w:val="auto"/>
              <w:sz w:val="21"/>
              <w:szCs w:val="24"/>
              <w:highlight w:val="none"/>
              <w:lang w:eastAsia="zh-CN"/>
            </w:rPr>
            <w:t>试验用产品</w:t>
          </w:r>
          <w:r>
            <w:rPr>
              <w:rFonts w:hint="eastAsia" w:ascii="Times New Roman" w:hAnsi="Times New Roman" w:eastAsia="黑体" w:cs="黑体"/>
              <w:bCs w:val="0"/>
              <w:color w:val="auto"/>
              <w:sz w:val="21"/>
              <w:szCs w:val="24"/>
              <w:highlight w:val="none"/>
            </w:rPr>
            <w:t>描述</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_Toc15564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14</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650258C0">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_Toc15055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9.1.1 </w:t>
          </w:r>
          <w:r>
            <w:rPr>
              <w:rFonts w:hint="eastAsia" w:ascii="Times New Roman" w:hAnsi="Times New Roman" w:eastAsia="黑体" w:cs="黑体"/>
              <w:bCs/>
              <w:color w:val="auto"/>
              <w:sz w:val="21"/>
              <w:szCs w:val="21"/>
              <w:highlight w:val="none"/>
            </w:rPr>
            <w:t>成分</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_Toc15055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14</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18ADD2B3">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_Toc22607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9.1.2 </w:t>
          </w:r>
          <w:r>
            <w:rPr>
              <w:rFonts w:hint="eastAsia" w:ascii="Times New Roman" w:hAnsi="Times New Roman" w:eastAsia="黑体" w:cs="黑体"/>
              <w:bCs/>
              <w:color w:val="auto"/>
              <w:sz w:val="21"/>
              <w:szCs w:val="21"/>
              <w:highlight w:val="none"/>
            </w:rPr>
            <w:t>剂型及剂量</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_Toc22607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15</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71693F53">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_Toc28198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9.1.3 </w:t>
          </w:r>
          <w:r>
            <w:rPr>
              <w:rFonts w:hint="eastAsia" w:ascii="Times New Roman" w:hAnsi="Times New Roman" w:eastAsia="黑体" w:cs="黑体"/>
              <w:bCs/>
              <w:color w:val="auto"/>
              <w:sz w:val="21"/>
              <w:szCs w:val="21"/>
              <w:highlight w:val="none"/>
            </w:rPr>
            <w:t>包装和标签</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_Toc28198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15</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289F65BF">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_Toc716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9.1.4 </w:t>
          </w:r>
          <w:r>
            <w:rPr>
              <w:rFonts w:hint="eastAsia" w:ascii="Times New Roman" w:hAnsi="Times New Roman" w:eastAsia="黑体" w:cs="黑体"/>
              <w:bCs/>
              <w:color w:val="auto"/>
              <w:sz w:val="21"/>
              <w:szCs w:val="21"/>
              <w:highlight w:val="none"/>
            </w:rPr>
            <w:t>盲态和编码</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_Toc716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16</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18CCF8C3">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_Toc7878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9.1.5 </w:t>
          </w:r>
          <w:r>
            <w:rPr>
              <w:rFonts w:hint="eastAsia" w:ascii="Times New Roman" w:hAnsi="Times New Roman" w:eastAsia="黑体" w:cs="黑体"/>
              <w:bCs/>
              <w:color w:val="auto"/>
              <w:sz w:val="21"/>
              <w:szCs w:val="21"/>
              <w:highlight w:val="none"/>
              <w:lang w:val="en-US" w:eastAsia="zh-CN"/>
            </w:rPr>
            <w:t>样本的分配</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_Toc7878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16</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3D7DA49E">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_Toc26568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9.1.6 </w:t>
          </w:r>
          <w:r>
            <w:rPr>
              <w:rFonts w:hint="eastAsia" w:ascii="Times New Roman" w:hAnsi="Times New Roman" w:eastAsia="黑体" w:cs="黑体"/>
              <w:bCs/>
              <w:color w:val="auto"/>
              <w:sz w:val="21"/>
              <w:szCs w:val="21"/>
              <w:highlight w:val="none"/>
            </w:rPr>
            <w:t>破解代码</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_Toc26568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16</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7287B877">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_Toc30179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9.2 </w:t>
          </w:r>
          <w:r>
            <w:rPr>
              <w:rFonts w:hint="eastAsia" w:ascii="Times New Roman" w:hAnsi="Times New Roman" w:eastAsia="黑体" w:cs="黑体"/>
              <w:bCs w:val="0"/>
              <w:color w:val="auto"/>
              <w:sz w:val="21"/>
              <w:szCs w:val="24"/>
              <w:highlight w:val="none"/>
              <w:lang w:eastAsia="zh-CN"/>
            </w:rPr>
            <w:t>试验用产品</w:t>
          </w:r>
          <w:r>
            <w:rPr>
              <w:rFonts w:hint="eastAsia" w:ascii="Times New Roman" w:hAnsi="Times New Roman" w:eastAsia="黑体" w:cs="黑体"/>
              <w:bCs w:val="0"/>
              <w:color w:val="auto"/>
              <w:sz w:val="21"/>
              <w:szCs w:val="24"/>
              <w:highlight w:val="none"/>
            </w:rPr>
            <w:t>管理和依从性</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_Toc30179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16</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46C368FE">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_Toc4187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9.2.1 </w:t>
          </w:r>
          <w:r>
            <w:rPr>
              <w:rFonts w:hint="eastAsia" w:ascii="Times New Roman" w:hAnsi="Times New Roman" w:eastAsia="黑体" w:cs="黑体"/>
              <w:bCs/>
              <w:color w:val="auto"/>
              <w:sz w:val="21"/>
              <w:szCs w:val="21"/>
              <w:highlight w:val="none"/>
            </w:rPr>
            <w:t>服用途径及服用方法</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_Toc4187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16</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57C466C3">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_Toc12808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9.2.2 </w:t>
          </w:r>
          <w:r>
            <w:rPr>
              <w:rFonts w:hint="eastAsia" w:ascii="Times New Roman" w:hAnsi="Times New Roman" w:eastAsia="黑体" w:cs="黑体"/>
              <w:bCs/>
              <w:color w:val="auto"/>
              <w:sz w:val="21"/>
              <w:szCs w:val="21"/>
              <w:highlight w:val="none"/>
            </w:rPr>
            <w:t>受试者依从性</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_Toc12808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16</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42FACBF9">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_Toc31604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9.3 </w:t>
          </w:r>
          <w:r>
            <w:rPr>
              <w:rFonts w:hint="eastAsia" w:ascii="Times New Roman" w:hAnsi="Times New Roman" w:eastAsia="黑体" w:cs="黑体"/>
              <w:bCs w:val="0"/>
              <w:color w:val="auto"/>
              <w:sz w:val="21"/>
              <w:szCs w:val="24"/>
              <w:highlight w:val="none"/>
              <w:lang w:eastAsia="zh-CN"/>
            </w:rPr>
            <w:t>试验用产品</w:t>
          </w:r>
          <w:r>
            <w:rPr>
              <w:rFonts w:hint="eastAsia" w:ascii="Times New Roman" w:hAnsi="Times New Roman" w:eastAsia="黑体" w:cs="黑体"/>
              <w:bCs w:val="0"/>
              <w:color w:val="auto"/>
              <w:sz w:val="21"/>
              <w:szCs w:val="24"/>
              <w:highlight w:val="none"/>
            </w:rPr>
            <w:t>处理</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_Toc31604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17</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1E1102B2">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_Toc20170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9.3.1 </w:t>
          </w:r>
          <w:r>
            <w:rPr>
              <w:rFonts w:hint="eastAsia" w:ascii="Times New Roman" w:hAnsi="Times New Roman" w:eastAsia="黑体" w:cs="黑体"/>
              <w:bCs/>
              <w:color w:val="auto"/>
              <w:sz w:val="21"/>
              <w:szCs w:val="21"/>
              <w:highlight w:val="none"/>
            </w:rPr>
            <w:t>存储和运输</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_Toc20170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17</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6EA37289">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_Toc21803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9.3.2 </w:t>
          </w:r>
          <w:r>
            <w:rPr>
              <w:rFonts w:hint="eastAsia" w:ascii="Times New Roman" w:hAnsi="Times New Roman" w:eastAsia="黑体" w:cs="黑体"/>
              <w:bCs/>
              <w:color w:val="auto"/>
              <w:sz w:val="21"/>
              <w:szCs w:val="21"/>
              <w:highlight w:val="none"/>
            </w:rPr>
            <w:t>配药和问责</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_Toc21803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17</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33856628">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_Toc21330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lang w:val="en-US" w:eastAsia="zh-CN"/>
            </w:rPr>
            <w:t xml:space="preserve">9.3.3 </w:t>
          </w:r>
          <w:r>
            <w:rPr>
              <w:rFonts w:hint="eastAsia" w:ascii="Times New Roman" w:hAnsi="Times New Roman" w:eastAsia="黑体" w:cs="黑体"/>
              <w:bCs/>
              <w:color w:val="auto"/>
              <w:sz w:val="21"/>
              <w:szCs w:val="21"/>
              <w:highlight w:val="none"/>
              <w:lang w:val="en-US" w:eastAsia="zh-CN"/>
            </w:rPr>
            <w:t>试验用产品的退回和处理</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_Toc21330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17</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20655AAB">
          <w:pPr>
            <w:pStyle w:val="20"/>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_Toc11693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8"/>
              <w:highlight w:val="none"/>
            </w:rPr>
            <w:t xml:space="preserve">10 </w:t>
          </w:r>
          <w:r>
            <w:rPr>
              <w:rFonts w:hint="eastAsia" w:ascii="Times New Roman" w:hAnsi="Times New Roman" w:eastAsia="黑体" w:cs="黑体"/>
              <w:bCs/>
              <w:color w:val="auto"/>
              <w:sz w:val="21"/>
              <w:szCs w:val="28"/>
              <w:highlight w:val="none"/>
            </w:rPr>
            <w:t>合并</w:t>
          </w:r>
          <w:r>
            <w:rPr>
              <w:rFonts w:hint="eastAsia" w:ascii="Times New Roman" w:hAnsi="Times New Roman" w:eastAsia="黑体" w:cs="黑体"/>
              <w:bCs/>
              <w:color w:val="auto"/>
              <w:sz w:val="21"/>
              <w:szCs w:val="28"/>
              <w:highlight w:val="none"/>
              <w:lang w:val="en-US" w:eastAsia="zh-CN"/>
            </w:rPr>
            <w:t>用药、</w:t>
          </w:r>
          <w:r>
            <w:rPr>
              <w:rFonts w:hint="eastAsia" w:ascii="Times New Roman" w:hAnsi="Times New Roman" w:eastAsia="黑体" w:cs="黑体"/>
              <w:bCs/>
              <w:color w:val="auto"/>
              <w:sz w:val="21"/>
              <w:szCs w:val="28"/>
              <w:highlight w:val="none"/>
            </w:rPr>
            <w:t>饮食</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_Toc11693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17</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56ACA380">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_Toc17945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10.1 </w:t>
          </w:r>
          <w:r>
            <w:rPr>
              <w:rFonts w:hint="eastAsia" w:ascii="Times New Roman" w:hAnsi="Times New Roman" w:eastAsia="黑体" w:cs="黑体"/>
              <w:bCs w:val="0"/>
              <w:color w:val="auto"/>
              <w:sz w:val="21"/>
              <w:szCs w:val="24"/>
              <w:highlight w:val="none"/>
            </w:rPr>
            <w:t>许可的合并</w:t>
          </w:r>
          <w:r>
            <w:rPr>
              <w:rFonts w:hint="eastAsia" w:ascii="Times New Roman" w:hAnsi="Times New Roman" w:eastAsia="黑体" w:cs="黑体"/>
              <w:bCs/>
              <w:color w:val="auto"/>
              <w:sz w:val="21"/>
              <w:szCs w:val="28"/>
              <w:highlight w:val="none"/>
              <w:lang w:val="en-US" w:eastAsia="zh-CN"/>
            </w:rPr>
            <w:t>用药、</w:t>
          </w:r>
          <w:r>
            <w:rPr>
              <w:rFonts w:hint="eastAsia" w:ascii="Times New Roman" w:hAnsi="Times New Roman" w:eastAsia="黑体" w:cs="黑体"/>
              <w:bCs/>
              <w:color w:val="auto"/>
              <w:sz w:val="21"/>
              <w:szCs w:val="28"/>
              <w:highlight w:val="none"/>
            </w:rPr>
            <w:t>饮食</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_Toc17945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17</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4E58D0C1">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_Toc21644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10.2 </w:t>
          </w:r>
          <w:r>
            <w:rPr>
              <w:rFonts w:hint="eastAsia" w:ascii="Times New Roman" w:hAnsi="Times New Roman" w:eastAsia="黑体" w:cs="黑体"/>
              <w:bCs w:val="0"/>
              <w:color w:val="auto"/>
              <w:sz w:val="21"/>
              <w:szCs w:val="24"/>
              <w:highlight w:val="none"/>
            </w:rPr>
            <w:t>许可但应限制的合并</w:t>
          </w:r>
          <w:r>
            <w:rPr>
              <w:rFonts w:hint="eastAsia" w:ascii="Times New Roman" w:hAnsi="Times New Roman" w:eastAsia="黑体" w:cs="黑体"/>
              <w:bCs/>
              <w:color w:val="auto"/>
              <w:sz w:val="21"/>
              <w:szCs w:val="28"/>
              <w:highlight w:val="none"/>
              <w:lang w:val="en-US" w:eastAsia="zh-CN"/>
            </w:rPr>
            <w:t>用药</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_Toc21644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18</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7255B880">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_Toc30591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10.3 </w:t>
          </w:r>
          <w:r>
            <w:rPr>
              <w:rFonts w:hint="eastAsia" w:ascii="Times New Roman" w:hAnsi="Times New Roman" w:eastAsia="黑体" w:cs="黑体"/>
              <w:bCs w:val="0"/>
              <w:color w:val="auto"/>
              <w:sz w:val="21"/>
              <w:szCs w:val="24"/>
              <w:highlight w:val="none"/>
            </w:rPr>
            <w:t>禁止合并</w:t>
          </w:r>
          <w:r>
            <w:rPr>
              <w:rFonts w:hint="eastAsia" w:ascii="Times New Roman" w:hAnsi="Times New Roman" w:eastAsia="黑体" w:cs="黑体"/>
              <w:bCs/>
              <w:color w:val="auto"/>
              <w:sz w:val="21"/>
              <w:szCs w:val="28"/>
              <w:highlight w:val="none"/>
              <w:lang w:val="en-US" w:eastAsia="zh-CN"/>
            </w:rPr>
            <w:t>用药、</w:t>
          </w:r>
          <w:r>
            <w:rPr>
              <w:rFonts w:hint="eastAsia" w:ascii="Times New Roman" w:hAnsi="Times New Roman" w:eastAsia="黑体" w:cs="黑体"/>
              <w:bCs/>
              <w:color w:val="auto"/>
              <w:sz w:val="21"/>
              <w:szCs w:val="28"/>
              <w:highlight w:val="none"/>
            </w:rPr>
            <w:t>饮食</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_Toc30591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18</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722D7BDA">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_Toc25457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10.4 </w:t>
          </w:r>
          <w:r>
            <w:rPr>
              <w:rFonts w:hint="eastAsia" w:ascii="Times New Roman" w:hAnsi="Times New Roman" w:eastAsia="黑体" w:cs="黑体"/>
              <w:bCs/>
              <w:color w:val="auto"/>
              <w:sz w:val="21"/>
              <w:szCs w:val="28"/>
              <w:highlight w:val="none"/>
              <w:lang w:val="en-US" w:eastAsia="zh-CN"/>
            </w:rPr>
            <w:t>合并用药、</w:t>
          </w:r>
          <w:r>
            <w:rPr>
              <w:rFonts w:hint="eastAsia" w:ascii="Times New Roman" w:hAnsi="Times New Roman" w:eastAsia="黑体" w:cs="黑体"/>
              <w:bCs/>
              <w:color w:val="auto"/>
              <w:sz w:val="21"/>
              <w:szCs w:val="28"/>
              <w:highlight w:val="none"/>
            </w:rPr>
            <w:t>饮食</w:t>
          </w:r>
          <w:r>
            <w:rPr>
              <w:rFonts w:hint="eastAsia" w:ascii="Times New Roman" w:hAnsi="Times New Roman" w:eastAsia="黑体" w:cs="黑体"/>
              <w:bCs w:val="0"/>
              <w:color w:val="auto"/>
              <w:sz w:val="21"/>
              <w:szCs w:val="24"/>
              <w:highlight w:val="none"/>
            </w:rPr>
            <w:t>记录</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_Toc25457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18</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097AAB43">
          <w:pPr>
            <w:pStyle w:val="20"/>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_Toc8746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8"/>
              <w:highlight w:val="none"/>
            </w:rPr>
            <w:t xml:space="preserve">11 </w:t>
          </w:r>
          <w:r>
            <w:rPr>
              <w:rFonts w:hint="eastAsia" w:ascii="Times New Roman" w:hAnsi="Times New Roman" w:eastAsia="黑体" w:cs="黑体"/>
              <w:bCs/>
              <w:color w:val="auto"/>
              <w:sz w:val="21"/>
              <w:szCs w:val="28"/>
              <w:highlight w:val="none"/>
              <w:lang w:eastAsia="zh-CN"/>
            </w:rPr>
            <w:t>试验</w:t>
          </w:r>
          <w:r>
            <w:rPr>
              <w:rFonts w:hint="eastAsia" w:ascii="Times New Roman" w:hAnsi="Times New Roman" w:eastAsia="黑体" w:cs="黑体"/>
              <w:bCs/>
              <w:color w:val="auto"/>
              <w:sz w:val="21"/>
              <w:szCs w:val="28"/>
              <w:highlight w:val="none"/>
            </w:rPr>
            <w:t>评估和程序</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_Toc8746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18</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19805B8F">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_Toc7045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11.1 </w:t>
          </w:r>
          <w:r>
            <w:rPr>
              <w:rFonts w:hint="eastAsia" w:ascii="Times New Roman" w:hAnsi="Times New Roman" w:eastAsia="黑体" w:cs="黑体"/>
              <w:bCs w:val="0"/>
              <w:color w:val="auto"/>
              <w:sz w:val="21"/>
              <w:szCs w:val="24"/>
              <w:highlight w:val="none"/>
            </w:rPr>
            <w:t>评估</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_Toc7045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18</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4F22E2D8">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_Toc5967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11.1.1 </w:t>
          </w:r>
          <w:r>
            <w:rPr>
              <w:rFonts w:hint="eastAsia" w:ascii="Times New Roman" w:hAnsi="Times New Roman" w:eastAsia="黑体" w:cs="黑体"/>
              <w:bCs/>
              <w:color w:val="auto"/>
              <w:sz w:val="21"/>
              <w:szCs w:val="21"/>
              <w:highlight w:val="none"/>
              <w:lang w:eastAsia="zh-CN"/>
            </w:rPr>
            <w:t>营养充足性</w:t>
          </w:r>
          <w:r>
            <w:rPr>
              <w:rFonts w:hint="eastAsia" w:ascii="Times New Roman" w:hAnsi="Times New Roman" w:eastAsia="黑体" w:cs="黑体"/>
              <w:bCs/>
              <w:color w:val="auto"/>
              <w:sz w:val="21"/>
              <w:szCs w:val="21"/>
              <w:highlight w:val="none"/>
              <w:lang w:val="en-US" w:eastAsia="zh-CN"/>
            </w:rPr>
            <w:t>和特殊医学用途临床效果</w:t>
          </w:r>
          <w:r>
            <w:rPr>
              <w:rFonts w:hint="eastAsia" w:ascii="Times New Roman" w:hAnsi="Times New Roman" w:eastAsia="黑体" w:cs="黑体"/>
              <w:bCs/>
              <w:color w:val="auto"/>
              <w:sz w:val="21"/>
              <w:szCs w:val="21"/>
              <w:highlight w:val="none"/>
            </w:rPr>
            <w:t>评估方法</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_Toc5967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18</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0837A977">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_Toc4882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11.1.2 </w:t>
          </w:r>
          <w:r>
            <w:rPr>
              <w:rFonts w:hint="eastAsia" w:ascii="Times New Roman" w:hAnsi="Times New Roman" w:eastAsia="黑体" w:cs="黑体"/>
              <w:bCs/>
              <w:color w:val="auto"/>
              <w:sz w:val="21"/>
              <w:szCs w:val="21"/>
              <w:highlight w:val="none"/>
              <w:lang w:eastAsia="zh-CN"/>
            </w:rPr>
            <w:t>临床安全性</w:t>
          </w:r>
          <w:r>
            <w:rPr>
              <w:rFonts w:hint="eastAsia" w:ascii="Times New Roman" w:hAnsi="Times New Roman" w:eastAsia="黑体" w:cs="黑体"/>
              <w:bCs/>
              <w:color w:val="auto"/>
              <w:sz w:val="21"/>
              <w:szCs w:val="21"/>
              <w:highlight w:val="none"/>
            </w:rPr>
            <w:t>评估方法</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_Toc4882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19</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4C714B22">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_Toc7763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11.1.3 </w:t>
          </w:r>
          <w:r>
            <w:rPr>
              <w:rFonts w:hint="eastAsia" w:ascii="Times New Roman" w:hAnsi="Times New Roman" w:eastAsia="黑体" w:cs="黑体"/>
              <w:bCs/>
              <w:color w:val="auto"/>
              <w:sz w:val="21"/>
              <w:szCs w:val="21"/>
              <w:highlight w:val="none"/>
            </w:rPr>
            <w:t>其他评估</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_Toc7763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19</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65EC1F5B">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_Toc23843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11.2 </w:t>
          </w:r>
          <w:r>
            <w:rPr>
              <w:rFonts w:hint="eastAsia" w:ascii="Times New Roman" w:hAnsi="Times New Roman" w:eastAsia="黑体" w:cs="黑体"/>
              <w:bCs w:val="0"/>
              <w:color w:val="auto"/>
              <w:sz w:val="21"/>
              <w:szCs w:val="24"/>
              <w:highlight w:val="none"/>
              <w:lang w:eastAsia="zh-CN"/>
            </w:rPr>
            <w:t>试验</w:t>
          </w:r>
          <w:r>
            <w:rPr>
              <w:rFonts w:hint="eastAsia" w:ascii="Times New Roman" w:hAnsi="Times New Roman" w:eastAsia="黑体" w:cs="黑体"/>
              <w:bCs w:val="0"/>
              <w:color w:val="auto"/>
              <w:sz w:val="21"/>
              <w:szCs w:val="24"/>
              <w:highlight w:val="none"/>
            </w:rPr>
            <w:t>程序</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_Toc23843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20</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0997B287">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_Toc10856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11.2.1 </w:t>
          </w:r>
          <w:r>
            <w:rPr>
              <w:rFonts w:hint="eastAsia" w:ascii="Times New Roman" w:hAnsi="Times New Roman" w:eastAsia="黑体" w:cs="黑体"/>
              <w:bCs/>
              <w:color w:val="auto"/>
              <w:sz w:val="21"/>
              <w:szCs w:val="21"/>
              <w:highlight w:val="none"/>
            </w:rPr>
            <w:t>访视说明</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_Toc10856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20</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7C0C32A8">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_Toc25390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11.2.2 </w:t>
          </w:r>
          <w:r>
            <w:rPr>
              <w:rFonts w:hint="eastAsia" w:ascii="Times New Roman" w:hAnsi="Times New Roman" w:eastAsia="黑体" w:cs="黑体"/>
              <w:bCs/>
              <w:color w:val="auto"/>
              <w:sz w:val="21"/>
              <w:szCs w:val="21"/>
              <w:highlight w:val="none"/>
            </w:rPr>
            <w:t>筛选期</w:t>
          </w:r>
          <w:r>
            <w:rPr>
              <w:rFonts w:hint="eastAsia" w:ascii="Times New Roman" w:hAnsi="Times New Roman" w:eastAsia="黑体" w:cs="黑体"/>
              <w:bCs/>
              <w:color w:val="auto"/>
              <w:sz w:val="21"/>
              <w:szCs w:val="21"/>
              <w:highlight w:val="none"/>
              <w:lang w:val="en-US" w:eastAsia="zh-CN"/>
            </w:rPr>
            <w:t>/基线</w:t>
          </w:r>
          <w:r>
            <w:rPr>
              <w:rFonts w:hint="eastAsia" w:ascii="Times New Roman" w:hAnsi="Times New Roman" w:eastAsia="黑体" w:cs="黑体"/>
              <w:bCs/>
              <w:color w:val="auto"/>
              <w:sz w:val="21"/>
              <w:szCs w:val="21"/>
              <w:highlight w:val="none"/>
            </w:rPr>
            <w:t>（第</w:t>
          </w:r>
          <w:r>
            <w:rPr>
              <w:rFonts w:hint="eastAsia" w:ascii="Times New Roman" w:hAnsi="Times New Roman" w:eastAsia="黑体" w:cs="黑体"/>
              <w:bCs/>
              <w:color w:val="auto"/>
              <w:sz w:val="21"/>
              <w:szCs w:val="21"/>
              <w:highlight w:val="none"/>
              <w:lang w:eastAsia="zh-CN"/>
            </w:rPr>
            <w:t>0(±1)</w:t>
          </w:r>
          <w:r>
            <w:rPr>
              <w:rFonts w:hint="eastAsia" w:ascii="Times New Roman" w:hAnsi="Times New Roman" w:eastAsia="黑体" w:cs="黑体"/>
              <w:bCs/>
              <w:color w:val="auto"/>
              <w:sz w:val="21"/>
              <w:szCs w:val="21"/>
              <w:highlight w:val="none"/>
            </w:rPr>
            <w:t>天空腹状态）</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_Toc25390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20</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1AF60B71">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_Toc24076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lang w:val="en-US" w:eastAsia="zh-CN"/>
            </w:rPr>
            <w:t xml:space="preserve">11.2.3 </w:t>
          </w:r>
          <w:r>
            <w:rPr>
              <w:rFonts w:hint="eastAsia" w:ascii="Times New Roman" w:hAnsi="Times New Roman" w:eastAsia="黑体" w:cs="黑体"/>
              <w:bCs/>
              <w:color w:val="auto"/>
              <w:sz w:val="21"/>
              <w:szCs w:val="21"/>
              <w:highlight w:val="none"/>
              <w:lang w:val="en-US" w:eastAsia="zh-CN"/>
            </w:rPr>
            <w:t>服用周期（20(±1)天）</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_Toc24076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21</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6FD338A4">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_Toc10513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11.2.4 </w:t>
          </w:r>
          <w:r>
            <w:rPr>
              <w:rFonts w:hint="eastAsia" w:ascii="Times New Roman" w:hAnsi="Times New Roman" w:eastAsia="黑体" w:cs="黑体"/>
              <w:bCs/>
              <w:color w:val="auto"/>
              <w:sz w:val="21"/>
              <w:szCs w:val="21"/>
              <w:highlight w:val="none"/>
            </w:rPr>
            <w:t>末次访视（第21(±1)天空腹状态）</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_Toc10513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21</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72541FB2">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_Toc21402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11.3 </w:t>
          </w:r>
          <w:r>
            <w:rPr>
              <w:rFonts w:hint="eastAsia" w:ascii="Times New Roman" w:hAnsi="Times New Roman" w:eastAsia="黑体" w:cs="黑体"/>
              <w:bCs w:val="0"/>
              <w:color w:val="auto"/>
              <w:sz w:val="21"/>
              <w:szCs w:val="24"/>
              <w:highlight w:val="none"/>
              <w:lang w:eastAsia="zh-CN"/>
            </w:rPr>
            <w:t>试验</w:t>
          </w:r>
          <w:r>
            <w:rPr>
              <w:rFonts w:hint="eastAsia" w:ascii="Times New Roman" w:hAnsi="Times New Roman" w:eastAsia="黑体" w:cs="黑体"/>
              <w:bCs w:val="0"/>
              <w:color w:val="auto"/>
              <w:sz w:val="21"/>
              <w:szCs w:val="24"/>
              <w:highlight w:val="none"/>
            </w:rPr>
            <w:t>结束</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_Toc21402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22</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03644AD9">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_Toc13794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11.3.1 </w:t>
          </w:r>
          <w:r>
            <w:rPr>
              <w:rFonts w:hint="eastAsia" w:ascii="Times New Roman" w:hAnsi="Times New Roman" w:eastAsia="黑体" w:cs="黑体"/>
              <w:bCs/>
              <w:color w:val="auto"/>
              <w:sz w:val="21"/>
              <w:szCs w:val="21"/>
              <w:highlight w:val="none"/>
            </w:rPr>
            <w:t>提前结束访视</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_Toc13794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22</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6DF78974">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_Toc6991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11.3.2 </w:t>
          </w:r>
          <w:r>
            <w:rPr>
              <w:rFonts w:hint="eastAsia" w:ascii="Times New Roman" w:hAnsi="Times New Roman" w:eastAsia="黑体" w:cs="黑体"/>
              <w:bCs/>
              <w:color w:val="auto"/>
              <w:sz w:val="21"/>
              <w:szCs w:val="21"/>
              <w:highlight w:val="none"/>
              <w:lang w:eastAsia="zh-CN"/>
            </w:rPr>
            <w:t>试验</w:t>
          </w:r>
          <w:r>
            <w:rPr>
              <w:rFonts w:hint="eastAsia" w:ascii="Times New Roman" w:hAnsi="Times New Roman" w:eastAsia="黑体" w:cs="黑体"/>
              <w:bCs/>
              <w:color w:val="auto"/>
              <w:sz w:val="21"/>
              <w:szCs w:val="21"/>
              <w:highlight w:val="none"/>
            </w:rPr>
            <w:t>提前终止</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_Toc6991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22</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0D3A629D">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_Toc28777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11.3.3 </w:t>
          </w:r>
          <w:r>
            <w:rPr>
              <w:rFonts w:hint="eastAsia" w:ascii="Times New Roman" w:hAnsi="Times New Roman" w:eastAsia="黑体" w:cs="黑体"/>
              <w:bCs/>
              <w:color w:val="auto"/>
              <w:sz w:val="21"/>
              <w:szCs w:val="21"/>
              <w:highlight w:val="none"/>
              <w:lang w:eastAsia="zh-CN"/>
            </w:rPr>
            <w:t>试验</w:t>
          </w:r>
          <w:r>
            <w:rPr>
              <w:rFonts w:hint="eastAsia" w:ascii="Times New Roman" w:hAnsi="Times New Roman" w:eastAsia="黑体" w:cs="黑体"/>
              <w:bCs/>
              <w:color w:val="auto"/>
              <w:sz w:val="21"/>
              <w:szCs w:val="21"/>
              <w:highlight w:val="none"/>
            </w:rPr>
            <w:t>完成</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_Toc28777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22</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0D78CA06">
          <w:pPr>
            <w:pStyle w:val="20"/>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_Toc8807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8"/>
              <w:highlight w:val="none"/>
            </w:rPr>
            <w:t xml:space="preserve">12 </w:t>
          </w:r>
          <w:r>
            <w:rPr>
              <w:rFonts w:hint="eastAsia" w:ascii="Times New Roman" w:hAnsi="Times New Roman" w:eastAsia="黑体" w:cs="黑体"/>
              <w:bCs/>
              <w:color w:val="auto"/>
              <w:sz w:val="21"/>
              <w:szCs w:val="28"/>
              <w:highlight w:val="none"/>
            </w:rPr>
            <w:t>数据管理</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_Toc8807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23</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020A5808">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_Toc29755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12.1 </w:t>
          </w:r>
          <w:r>
            <w:rPr>
              <w:rFonts w:hint="eastAsia" w:ascii="Times New Roman" w:hAnsi="Times New Roman" w:eastAsia="黑体" w:cs="黑体"/>
              <w:bCs w:val="0"/>
              <w:color w:val="auto"/>
              <w:sz w:val="21"/>
              <w:szCs w:val="24"/>
              <w:highlight w:val="none"/>
            </w:rPr>
            <w:t>病例报告表记录要求</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_Toc29755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23</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261B6548">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_Toc5189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12.2 </w:t>
          </w:r>
          <w:r>
            <w:rPr>
              <w:rFonts w:hint="eastAsia" w:ascii="Times New Roman" w:hAnsi="Times New Roman" w:eastAsia="黑体" w:cs="黑体"/>
              <w:bCs w:val="0"/>
              <w:color w:val="auto"/>
              <w:sz w:val="21"/>
              <w:szCs w:val="24"/>
              <w:highlight w:val="none"/>
            </w:rPr>
            <w:t>原始记录书写要求</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_Toc5189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23</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63C66C73">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_Toc19658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12.3 </w:t>
          </w:r>
          <w:r>
            <w:rPr>
              <w:rFonts w:hint="eastAsia" w:ascii="Times New Roman" w:hAnsi="Times New Roman" w:eastAsia="黑体" w:cs="黑体"/>
              <w:bCs w:val="0"/>
              <w:color w:val="auto"/>
              <w:sz w:val="21"/>
              <w:szCs w:val="24"/>
              <w:highlight w:val="none"/>
            </w:rPr>
            <w:t>病例报告表及病历的审核</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_Toc19658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23</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7258C6A2">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_Toc3523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12.4 </w:t>
          </w:r>
          <w:r>
            <w:rPr>
              <w:rFonts w:hint="eastAsia" w:ascii="Times New Roman" w:hAnsi="Times New Roman" w:eastAsia="黑体" w:cs="黑体"/>
              <w:bCs w:val="0"/>
              <w:color w:val="auto"/>
              <w:sz w:val="21"/>
              <w:szCs w:val="24"/>
              <w:highlight w:val="none"/>
            </w:rPr>
            <w:t>直接访问源数据、文件</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_Toc3523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23</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3EAED540">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_Toc11757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12.4.1 </w:t>
          </w:r>
          <w:r>
            <w:rPr>
              <w:rFonts w:hint="eastAsia" w:ascii="Times New Roman" w:hAnsi="Times New Roman" w:eastAsia="黑体" w:cs="黑体"/>
              <w:bCs/>
              <w:color w:val="auto"/>
              <w:sz w:val="21"/>
              <w:szCs w:val="21"/>
              <w:highlight w:val="none"/>
            </w:rPr>
            <w:t>源数据、文件的定义</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_Toc11757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23</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6DB20FE4">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_Toc31774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12.4.2 </w:t>
          </w:r>
          <w:r>
            <w:rPr>
              <w:rFonts w:hint="eastAsia" w:ascii="Times New Roman" w:hAnsi="Times New Roman" w:eastAsia="黑体" w:cs="黑体"/>
              <w:bCs/>
              <w:color w:val="auto"/>
              <w:sz w:val="21"/>
              <w:szCs w:val="21"/>
              <w:highlight w:val="none"/>
            </w:rPr>
            <w:t>源数据、文件的访问</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_Toc31774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23</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2EAF432F">
          <w:pPr>
            <w:pStyle w:val="20"/>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_Toc15787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8"/>
              <w:highlight w:val="none"/>
            </w:rPr>
            <w:t xml:space="preserve">13 </w:t>
          </w:r>
          <w:r>
            <w:rPr>
              <w:rFonts w:hint="eastAsia" w:ascii="Times New Roman" w:hAnsi="Times New Roman" w:eastAsia="黑体" w:cs="黑体"/>
              <w:bCs/>
              <w:color w:val="auto"/>
              <w:sz w:val="21"/>
              <w:szCs w:val="28"/>
              <w:highlight w:val="none"/>
            </w:rPr>
            <w:t>统计学</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_Toc15787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24</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4C450458">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_Toc3096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13.1 </w:t>
          </w:r>
          <w:r>
            <w:rPr>
              <w:rFonts w:hint="eastAsia" w:ascii="Times New Roman" w:hAnsi="Times New Roman" w:eastAsia="黑体" w:cs="黑体"/>
              <w:bCs w:val="0"/>
              <w:color w:val="auto"/>
              <w:sz w:val="21"/>
              <w:szCs w:val="24"/>
              <w:highlight w:val="none"/>
            </w:rPr>
            <w:t>预期效果</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_Toc3096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24</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5A0387E7">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_Toc24904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13.2 </w:t>
          </w:r>
          <w:r>
            <w:rPr>
              <w:rFonts w:hint="eastAsia" w:ascii="Times New Roman" w:hAnsi="Times New Roman" w:eastAsia="黑体" w:cs="黑体"/>
              <w:bCs w:val="0"/>
              <w:color w:val="auto"/>
              <w:sz w:val="21"/>
              <w:szCs w:val="24"/>
              <w:highlight w:val="none"/>
            </w:rPr>
            <w:t>样本量计算</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_Toc24904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24</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55F0FA47">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_Toc29504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13.3 </w:t>
          </w:r>
          <w:r>
            <w:rPr>
              <w:rFonts w:hint="eastAsia" w:ascii="Times New Roman" w:hAnsi="Times New Roman" w:eastAsia="黑体" w:cs="黑体"/>
              <w:bCs w:val="0"/>
              <w:color w:val="auto"/>
              <w:sz w:val="21"/>
              <w:szCs w:val="24"/>
              <w:highlight w:val="none"/>
            </w:rPr>
            <w:t>随机化</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_Toc29504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24</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1C5EA7B7">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_Toc20462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13.4 </w:t>
          </w:r>
          <w:r>
            <w:rPr>
              <w:rFonts w:hint="eastAsia" w:ascii="Times New Roman" w:hAnsi="Times New Roman" w:eastAsia="黑体" w:cs="黑体"/>
              <w:bCs w:val="0"/>
              <w:color w:val="auto"/>
              <w:sz w:val="21"/>
              <w:szCs w:val="24"/>
              <w:highlight w:val="none"/>
            </w:rPr>
            <w:t>期中分析</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_Toc20462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24</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47640FCF">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_Toc27789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13.5 </w:t>
          </w:r>
          <w:r>
            <w:rPr>
              <w:rFonts w:hint="eastAsia" w:ascii="Times New Roman" w:hAnsi="Times New Roman" w:eastAsia="黑体" w:cs="黑体"/>
              <w:bCs w:val="0"/>
              <w:color w:val="auto"/>
              <w:sz w:val="21"/>
              <w:szCs w:val="24"/>
              <w:highlight w:val="none"/>
            </w:rPr>
            <w:t>分析数据集</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_Toc27789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24</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7E691FEC">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_Toc32615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13.5.1 </w:t>
          </w:r>
          <w:r>
            <w:rPr>
              <w:rFonts w:hint="eastAsia" w:ascii="Times New Roman" w:hAnsi="Times New Roman" w:eastAsia="黑体" w:cs="黑体"/>
              <w:bCs/>
              <w:color w:val="auto"/>
              <w:sz w:val="21"/>
              <w:szCs w:val="21"/>
              <w:highlight w:val="none"/>
            </w:rPr>
            <w:t>全分析集（Full Analysis Set，FAS)</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_Toc32615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24</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77733A99">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_Toc19109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13.5.2 </w:t>
          </w:r>
          <w:r>
            <w:rPr>
              <w:rFonts w:hint="eastAsia" w:ascii="Times New Roman" w:hAnsi="Times New Roman" w:eastAsia="黑体" w:cs="黑体"/>
              <w:bCs/>
              <w:color w:val="auto"/>
              <w:sz w:val="21"/>
              <w:szCs w:val="21"/>
              <w:highlight w:val="none"/>
            </w:rPr>
            <w:t>符合方案数据集（Per Protocol Set，PPS</w:t>
          </w:r>
          <w:r>
            <w:rPr>
              <w:rFonts w:hint="eastAsia" w:ascii="Times New Roman" w:hAnsi="Times New Roman" w:eastAsia="黑体" w:cs="黑体"/>
              <w:bCs/>
              <w:color w:val="auto"/>
              <w:sz w:val="21"/>
              <w:szCs w:val="21"/>
              <w:highlight w:val="none"/>
              <w:lang w:eastAsia="zh-CN"/>
            </w:rPr>
            <w:t>）</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_Toc19109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25</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3D27B0CF">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_Toc25528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13.5.3 </w:t>
          </w:r>
          <w:r>
            <w:rPr>
              <w:rFonts w:hint="eastAsia" w:ascii="Times New Roman" w:hAnsi="Times New Roman" w:eastAsia="黑体" w:cs="黑体"/>
              <w:bCs/>
              <w:color w:val="auto"/>
              <w:sz w:val="21"/>
              <w:szCs w:val="21"/>
              <w:highlight w:val="none"/>
            </w:rPr>
            <w:t>安全性评价数据集（Safety Set，SS）</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_Toc25528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25</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7ED2B03E">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_Toc21896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13.6 </w:t>
          </w:r>
          <w:r>
            <w:rPr>
              <w:rFonts w:hint="eastAsia" w:ascii="Times New Roman" w:hAnsi="Times New Roman" w:eastAsia="黑体" w:cs="黑体"/>
              <w:bCs w:val="0"/>
              <w:color w:val="auto"/>
              <w:sz w:val="21"/>
              <w:szCs w:val="24"/>
              <w:highlight w:val="none"/>
            </w:rPr>
            <w:t>统计分析</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_Toc21896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25</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6AC98F2F">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_Toc171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13.6.1 </w:t>
          </w:r>
          <w:r>
            <w:rPr>
              <w:rFonts w:hint="eastAsia" w:ascii="Times New Roman" w:hAnsi="Times New Roman" w:eastAsia="黑体" w:cs="黑体"/>
              <w:bCs/>
              <w:color w:val="auto"/>
              <w:sz w:val="21"/>
              <w:szCs w:val="21"/>
              <w:highlight w:val="none"/>
            </w:rPr>
            <w:t>主要疗效指标的分析</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_Toc171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25</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2DA382C3">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_Toc5758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13.6.2 </w:t>
          </w:r>
          <w:r>
            <w:rPr>
              <w:rFonts w:hint="eastAsia" w:ascii="Times New Roman" w:hAnsi="Times New Roman" w:eastAsia="黑体" w:cs="黑体"/>
              <w:bCs/>
              <w:color w:val="auto"/>
              <w:sz w:val="21"/>
              <w:szCs w:val="21"/>
              <w:highlight w:val="none"/>
            </w:rPr>
            <w:t>次要疗效指标及</w:t>
          </w:r>
          <w:r>
            <w:rPr>
              <w:rFonts w:hint="eastAsia" w:ascii="Times New Roman" w:hAnsi="Times New Roman" w:eastAsia="黑体" w:cs="黑体"/>
              <w:bCs/>
              <w:color w:val="auto"/>
              <w:sz w:val="21"/>
              <w:szCs w:val="21"/>
              <w:highlight w:val="none"/>
              <w:lang w:eastAsia="zh-CN"/>
            </w:rPr>
            <w:t>临床安全性</w:t>
          </w:r>
          <w:r>
            <w:rPr>
              <w:rFonts w:hint="eastAsia" w:ascii="Times New Roman" w:hAnsi="Times New Roman" w:eastAsia="黑体" w:cs="黑体"/>
              <w:bCs/>
              <w:color w:val="auto"/>
              <w:sz w:val="21"/>
              <w:szCs w:val="21"/>
              <w:highlight w:val="none"/>
            </w:rPr>
            <w:t>指标的分析</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_Toc5758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25</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16A7C323">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_Toc1153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13.6.3 </w:t>
          </w:r>
          <w:r>
            <w:rPr>
              <w:rFonts w:hint="eastAsia" w:ascii="Times New Roman" w:hAnsi="Times New Roman" w:eastAsia="黑体" w:cs="黑体"/>
              <w:bCs/>
              <w:color w:val="auto"/>
              <w:sz w:val="21"/>
              <w:szCs w:val="21"/>
              <w:highlight w:val="none"/>
            </w:rPr>
            <w:t>不良事件分析</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_Toc1153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26</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48BF7E67">
          <w:pPr>
            <w:pStyle w:val="20"/>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_Toc3185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8"/>
              <w:highlight w:val="none"/>
            </w:rPr>
            <w:t xml:space="preserve">14 </w:t>
          </w:r>
          <w:r>
            <w:rPr>
              <w:rFonts w:hint="eastAsia" w:ascii="Times New Roman" w:hAnsi="Times New Roman" w:eastAsia="黑体" w:cs="黑体"/>
              <w:bCs/>
              <w:color w:val="auto"/>
              <w:sz w:val="21"/>
              <w:szCs w:val="28"/>
              <w:highlight w:val="none"/>
            </w:rPr>
            <w:t>不良事件处理</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_Toc3185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26</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7CF90806">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_Toc7528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14.1 </w:t>
          </w:r>
          <w:r>
            <w:rPr>
              <w:rFonts w:hint="eastAsia" w:ascii="Times New Roman" w:hAnsi="Times New Roman" w:eastAsia="黑体" w:cs="黑体"/>
              <w:bCs w:val="0"/>
              <w:color w:val="auto"/>
              <w:sz w:val="21"/>
              <w:szCs w:val="24"/>
              <w:highlight w:val="none"/>
            </w:rPr>
            <w:t>不良事件</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_Toc7528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26</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6C395AB1">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_Toc21533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14.1.1 </w:t>
          </w:r>
          <w:r>
            <w:rPr>
              <w:rFonts w:hint="eastAsia" w:ascii="Times New Roman" w:hAnsi="Times New Roman" w:eastAsia="黑体" w:cs="黑体"/>
              <w:bCs/>
              <w:color w:val="auto"/>
              <w:sz w:val="21"/>
              <w:szCs w:val="21"/>
              <w:highlight w:val="none"/>
            </w:rPr>
            <w:t>不良事件的定义</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_Toc21533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26</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50B162BF">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_Toc1895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14.1.2 </w:t>
          </w:r>
          <w:r>
            <w:rPr>
              <w:rFonts w:hint="eastAsia" w:ascii="Times New Roman" w:hAnsi="Times New Roman" w:eastAsia="黑体" w:cs="黑体"/>
              <w:bCs/>
              <w:color w:val="auto"/>
              <w:sz w:val="21"/>
              <w:szCs w:val="21"/>
              <w:highlight w:val="none"/>
            </w:rPr>
            <w:t>不良事件的分级</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_Toc1895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26</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78AA7084">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_Toc27322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14.1.3 </w:t>
          </w:r>
          <w:r>
            <w:rPr>
              <w:rFonts w:hint="eastAsia" w:ascii="Times New Roman" w:hAnsi="Times New Roman" w:eastAsia="黑体" w:cs="黑体"/>
              <w:bCs/>
              <w:color w:val="auto"/>
              <w:sz w:val="21"/>
              <w:szCs w:val="21"/>
              <w:highlight w:val="none"/>
            </w:rPr>
            <w:t>与</w:t>
          </w:r>
          <w:r>
            <w:rPr>
              <w:rFonts w:hint="eastAsia" w:ascii="Times New Roman" w:hAnsi="Times New Roman" w:eastAsia="黑体" w:cs="黑体"/>
              <w:bCs/>
              <w:color w:val="auto"/>
              <w:sz w:val="21"/>
              <w:szCs w:val="21"/>
              <w:highlight w:val="none"/>
              <w:lang w:eastAsia="zh-CN"/>
            </w:rPr>
            <w:t>试验用产品</w:t>
          </w:r>
          <w:r>
            <w:rPr>
              <w:rFonts w:hint="eastAsia" w:ascii="Times New Roman" w:hAnsi="Times New Roman" w:eastAsia="黑体" w:cs="黑体"/>
              <w:bCs/>
              <w:color w:val="auto"/>
              <w:sz w:val="21"/>
              <w:szCs w:val="21"/>
              <w:highlight w:val="none"/>
            </w:rPr>
            <w:t>的关系</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_Toc27322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26</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684929A4">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_Toc32477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14.2 </w:t>
          </w:r>
          <w:r>
            <w:rPr>
              <w:rFonts w:hint="eastAsia" w:ascii="Times New Roman" w:hAnsi="Times New Roman" w:eastAsia="黑体" w:cs="黑体"/>
              <w:bCs w:val="0"/>
              <w:color w:val="auto"/>
              <w:sz w:val="21"/>
              <w:szCs w:val="24"/>
              <w:highlight w:val="none"/>
            </w:rPr>
            <w:t>严重不良事件</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_Toc32477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27</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463DE177">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_Toc10001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14.3 </w:t>
          </w:r>
          <w:r>
            <w:rPr>
              <w:rFonts w:hint="eastAsia" w:ascii="Times New Roman" w:hAnsi="Times New Roman" w:eastAsia="黑体" w:cs="黑体"/>
              <w:bCs w:val="0"/>
              <w:color w:val="auto"/>
              <w:sz w:val="21"/>
              <w:szCs w:val="24"/>
              <w:highlight w:val="none"/>
            </w:rPr>
            <w:t>不良事件的随访</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_Toc10001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27</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5A58E326">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_Toc25544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14.4 </w:t>
          </w:r>
          <w:r>
            <w:rPr>
              <w:rFonts w:hint="eastAsia" w:ascii="Times New Roman" w:hAnsi="Times New Roman" w:eastAsia="黑体" w:cs="黑体"/>
              <w:bCs w:val="0"/>
              <w:color w:val="auto"/>
              <w:sz w:val="21"/>
              <w:szCs w:val="24"/>
              <w:highlight w:val="none"/>
            </w:rPr>
            <w:t>报告</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_Toc25544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27</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751F5439">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_Toc9244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14.4.1 </w:t>
          </w:r>
          <w:r>
            <w:rPr>
              <w:rFonts w:hint="eastAsia" w:ascii="Times New Roman" w:hAnsi="Times New Roman" w:eastAsia="黑体" w:cs="黑体"/>
              <w:bCs/>
              <w:color w:val="auto"/>
              <w:sz w:val="21"/>
              <w:szCs w:val="21"/>
              <w:highlight w:val="none"/>
            </w:rPr>
            <w:t>不良事件的报告</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_Toc9244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27</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076262FB">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_Toc31850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14.4.2 </w:t>
          </w:r>
          <w:r>
            <w:rPr>
              <w:rFonts w:hint="eastAsia" w:ascii="Times New Roman" w:hAnsi="Times New Roman" w:eastAsia="黑体" w:cs="黑体"/>
              <w:bCs/>
              <w:color w:val="auto"/>
              <w:sz w:val="21"/>
              <w:szCs w:val="21"/>
              <w:highlight w:val="none"/>
            </w:rPr>
            <w:t>严重不良事件的报告</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_Toc31850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27</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0A47304C">
          <w:pPr>
            <w:pStyle w:val="20"/>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_Toc29075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8"/>
              <w:highlight w:val="none"/>
            </w:rPr>
            <w:t xml:space="preserve">15 </w:t>
          </w:r>
          <w:r>
            <w:rPr>
              <w:rFonts w:hint="eastAsia" w:ascii="Times New Roman" w:hAnsi="Times New Roman" w:eastAsia="黑体" w:cs="黑体"/>
              <w:bCs/>
              <w:color w:val="auto"/>
              <w:sz w:val="21"/>
              <w:szCs w:val="28"/>
              <w:highlight w:val="none"/>
            </w:rPr>
            <w:t>申办方和研究人员义务</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_Toc29075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27</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01E4414E">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_Toc31247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15.1 </w:t>
          </w:r>
          <w:r>
            <w:rPr>
              <w:rFonts w:hint="eastAsia" w:ascii="Times New Roman" w:hAnsi="Times New Roman" w:eastAsia="黑体" w:cs="黑体"/>
              <w:bCs w:val="0"/>
              <w:color w:val="auto"/>
              <w:sz w:val="21"/>
              <w:szCs w:val="24"/>
              <w:highlight w:val="none"/>
            </w:rPr>
            <w:t>良好的临床实践和“赫尔辛基”（Helsinki）宣言</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_Toc31247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27</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2B9169F8">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_Toc16931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15.2 </w:t>
          </w:r>
          <w:r>
            <w:rPr>
              <w:rFonts w:hint="eastAsia" w:ascii="Times New Roman" w:hAnsi="Times New Roman" w:eastAsia="黑体" w:cs="黑体"/>
              <w:bCs w:val="0"/>
              <w:color w:val="auto"/>
              <w:sz w:val="21"/>
              <w:szCs w:val="24"/>
              <w:highlight w:val="none"/>
            </w:rPr>
            <w:t>伦理委员会/机构审查委员会独立审查</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_Toc16931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27</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7CB57E36">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_Toc14589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15.3 </w:t>
          </w:r>
          <w:r>
            <w:rPr>
              <w:rFonts w:hint="eastAsia" w:ascii="Times New Roman" w:hAnsi="Times New Roman" w:eastAsia="黑体" w:cs="黑体"/>
              <w:bCs w:val="0"/>
              <w:color w:val="auto"/>
              <w:sz w:val="21"/>
              <w:szCs w:val="24"/>
              <w:highlight w:val="none"/>
            </w:rPr>
            <w:t>知情同意书</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_Toc14589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28</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504BA1F2">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_Toc19489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15.4 </w:t>
          </w:r>
          <w:r>
            <w:rPr>
              <w:rFonts w:hint="eastAsia" w:ascii="Times New Roman" w:hAnsi="Times New Roman" w:eastAsia="黑体" w:cs="黑体"/>
              <w:bCs w:val="0"/>
              <w:color w:val="auto"/>
              <w:sz w:val="21"/>
              <w:szCs w:val="24"/>
              <w:highlight w:val="none"/>
            </w:rPr>
            <w:t>受试者保密条款</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_Toc19489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28</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5D305BCC">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_Toc15566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15.5 </w:t>
          </w:r>
          <w:r>
            <w:rPr>
              <w:rFonts w:hint="eastAsia" w:ascii="Times New Roman" w:hAnsi="Times New Roman" w:eastAsia="黑体" w:cs="黑体"/>
              <w:bCs w:val="0"/>
              <w:color w:val="auto"/>
              <w:sz w:val="21"/>
              <w:szCs w:val="24"/>
              <w:highlight w:val="none"/>
              <w:lang w:eastAsia="zh-CN"/>
            </w:rPr>
            <w:t>试验</w:t>
          </w:r>
          <w:r>
            <w:rPr>
              <w:rFonts w:hint="eastAsia" w:ascii="Times New Roman" w:hAnsi="Times New Roman" w:eastAsia="黑体" w:cs="黑体"/>
              <w:bCs w:val="0"/>
              <w:color w:val="auto"/>
              <w:sz w:val="21"/>
              <w:szCs w:val="24"/>
              <w:highlight w:val="none"/>
            </w:rPr>
            <w:t>方案偏离/修订</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_Toc15566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28</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1797494A">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_Toc30956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15.5.1 </w:t>
          </w:r>
          <w:r>
            <w:rPr>
              <w:rFonts w:hint="eastAsia" w:ascii="Times New Roman" w:hAnsi="Times New Roman" w:eastAsia="黑体" w:cs="黑体"/>
              <w:bCs/>
              <w:color w:val="auto"/>
              <w:sz w:val="21"/>
              <w:szCs w:val="21"/>
              <w:highlight w:val="none"/>
              <w:lang w:eastAsia="zh-CN"/>
            </w:rPr>
            <w:t>试验</w:t>
          </w:r>
          <w:r>
            <w:rPr>
              <w:rFonts w:hint="eastAsia" w:ascii="Times New Roman" w:hAnsi="Times New Roman" w:eastAsia="黑体" w:cs="黑体"/>
              <w:bCs/>
              <w:color w:val="auto"/>
              <w:sz w:val="21"/>
              <w:szCs w:val="21"/>
              <w:highlight w:val="none"/>
            </w:rPr>
            <w:t>方案偏离</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_Toc30956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28</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35E80A8B">
          <w:pPr>
            <w:pStyle w:val="15"/>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_Toc13518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1"/>
              <w:highlight w:val="none"/>
            </w:rPr>
            <w:t xml:space="preserve">15.5.2 </w:t>
          </w:r>
          <w:r>
            <w:rPr>
              <w:rFonts w:hint="eastAsia" w:ascii="Times New Roman" w:hAnsi="Times New Roman" w:eastAsia="黑体" w:cs="黑体"/>
              <w:bCs/>
              <w:color w:val="auto"/>
              <w:sz w:val="21"/>
              <w:szCs w:val="21"/>
              <w:highlight w:val="none"/>
              <w:lang w:eastAsia="zh-CN"/>
            </w:rPr>
            <w:t>试验</w:t>
          </w:r>
          <w:r>
            <w:rPr>
              <w:rFonts w:hint="eastAsia" w:ascii="Times New Roman" w:hAnsi="Times New Roman" w:eastAsia="黑体" w:cs="黑体"/>
              <w:bCs/>
              <w:color w:val="auto"/>
              <w:sz w:val="21"/>
              <w:szCs w:val="21"/>
              <w:highlight w:val="none"/>
            </w:rPr>
            <w:t>方案修订</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_Toc13518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28</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72F31519">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_Toc8296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15.6 </w:t>
          </w:r>
          <w:r>
            <w:rPr>
              <w:rFonts w:hint="eastAsia" w:ascii="Times New Roman" w:hAnsi="Times New Roman" w:eastAsia="黑体" w:cs="黑体"/>
              <w:bCs w:val="0"/>
              <w:color w:val="auto"/>
              <w:sz w:val="21"/>
              <w:szCs w:val="24"/>
              <w:highlight w:val="none"/>
              <w:lang w:eastAsia="zh-CN"/>
            </w:rPr>
            <w:t>试验用产品</w:t>
          </w:r>
          <w:r>
            <w:rPr>
              <w:rFonts w:hint="eastAsia" w:ascii="Times New Roman" w:hAnsi="Times New Roman" w:eastAsia="黑体" w:cs="黑体"/>
              <w:bCs w:val="0"/>
              <w:color w:val="auto"/>
              <w:sz w:val="21"/>
              <w:szCs w:val="24"/>
              <w:highlight w:val="none"/>
            </w:rPr>
            <w:t>问责</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_Toc8296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29</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4EE2D561">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_Toc28686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15.7 </w:t>
          </w:r>
          <w:r>
            <w:rPr>
              <w:rFonts w:hint="eastAsia" w:ascii="Times New Roman" w:hAnsi="Times New Roman" w:eastAsia="黑体" w:cs="黑体"/>
              <w:bCs w:val="0"/>
              <w:color w:val="auto"/>
              <w:sz w:val="21"/>
              <w:szCs w:val="24"/>
              <w:highlight w:val="none"/>
              <w:lang w:eastAsia="zh-CN"/>
            </w:rPr>
            <w:t>试验</w:t>
          </w:r>
          <w:r>
            <w:rPr>
              <w:rFonts w:hint="eastAsia" w:ascii="Times New Roman" w:hAnsi="Times New Roman" w:eastAsia="黑体" w:cs="黑体"/>
              <w:bCs w:val="0"/>
              <w:color w:val="auto"/>
              <w:sz w:val="21"/>
              <w:szCs w:val="24"/>
              <w:highlight w:val="none"/>
            </w:rPr>
            <w:t>监查</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_Toc28686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29</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1FA5CF96">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_Toc14638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15.8 </w:t>
          </w:r>
          <w:r>
            <w:rPr>
              <w:rFonts w:hint="eastAsia" w:ascii="Times New Roman" w:hAnsi="Times New Roman" w:eastAsia="黑体" w:cs="黑体"/>
              <w:bCs w:val="0"/>
              <w:color w:val="auto"/>
              <w:sz w:val="21"/>
              <w:szCs w:val="24"/>
              <w:highlight w:val="none"/>
            </w:rPr>
            <w:t>申办方稽查</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_Toc14638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29</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1BC47904">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_Toc10060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15.9 </w:t>
          </w:r>
          <w:r>
            <w:rPr>
              <w:rFonts w:hint="eastAsia" w:ascii="Times New Roman" w:hAnsi="Times New Roman" w:eastAsia="黑体" w:cs="黑体"/>
              <w:bCs w:val="0"/>
              <w:color w:val="auto"/>
              <w:sz w:val="21"/>
              <w:szCs w:val="24"/>
              <w:highlight w:val="none"/>
            </w:rPr>
            <w:t>监查机构核查</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_Toc10060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29</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3838AA8A">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_Toc27495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15.10 </w:t>
          </w:r>
          <w:r>
            <w:rPr>
              <w:rFonts w:hint="eastAsia" w:ascii="Times New Roman" w:hAnsi="Times New Roman" w:eastAsia="黑体" w:cs="黑体"/>
              <w:bCs w:val="0"/>
              <w:color w:val="auto"/>
              <w:sz w:val="21"/>
              <w:szCs w:val="24"/>
              <w:highlight w:val="none"/>
            </w:rPr>
            <w:t>文章发表</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_Toc27495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29</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1BFAE2D0">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_Toc29411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4"/>
              <w:highlight w:val="none"/>
            </w:rPr>
            <w:t xml:space="preserve">15.11 </w:t>
          </w:r>
          <w:r>
            <w:rPr>
              <w:rFonts w:hint="eastAsia" w:ascii="Times New Roman" w:hAnsi="Times New Roman" w:eastAsia="黑体" w:cs="黑体"/>
              <w:bCs w:val="0"/>
              <w:color w:val="auto"/>
              <w:sz w:val="21"/>
              <w:szCs w:val="24"/>
              <w:highlight w:val="none"/>
              <w:lang w:eastAsia="zh-CN"/>
            </w:rPr>
            <w:t>试验</w:t>
          </w:r>
          <w:r>
            <w:rPr>
              <w:rFonts w:hint="eastAsia" w:ascii="Times New Roman" w:hAnsi="Times New Roman" w:eastAsia="黑体" w:cs="黑体"/>
              <w:bCs w:val="0"/>
              <w:color w:val="auto"/>
              <w:sz w:val="21"/>
              <w:szCs w:val="24"/>
              <w:highlight w:val="none"/>
            </w:rPr>
            <w:t>费用的支付</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_Toc29411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29</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3C70B0F0">
          <w:pPr>
            <w:pStyle w:val="20"/>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_Toc9079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8"/>
              <w:highlight w:val="none"/>
            </w:rPr>
            <w:t xml:space="preserve">16 </w:t>
          </w:r>
          <w:r>
            <w:rPr>
              <w:rFonts w:hint="eastAsia" w:ascii="Times New Roman" w:hAnsi="Times New Roman" w:eastAsia="黑体" w:cs="黑体"/>
              <w:bCs/>
              <w:color w:val="auto"/>
              <w:sz w:val="21"/>
              <w:szCs w:val="28"/>
              <w:highlight w:val="none"/>
            </w:rPr>
            <w:t>参考文献</w:t>
          </w:r>
          <w:r>
            <w:rPr>
              <w:rFonts w:ascii="Times New Roman" w:hAnsi="Times New Roman" w:eastAsia="黑体"/>
              <w:color w:val="auto"/>
              <w:sz w:val="21"/>
              <w:highlight w:val="none"/>
            </w:rPr>
            <w:tab/>
          </w:r>
          <w:r>
            <w:rPr>
              <w:rFonts w:ascii="Times New Roman" w:hAnsi="Times New Roman" w:eastAsia="黑体"/>
              <w:color w:val="auto"/>
              <w:sz w:val="21"/>
              <w:highlight w:val="none"/>
            </w:rPr>
            <w:fldChar w:fldCharType="begin"/>
          </w:r>
          <w:r>
            <w:rPr>
              <w:rFonts w:ascii="Times New Roman" w:hAnsi="Times New Roman" w:eastAsia="黑体"/>
              <w:color w:val="auto"/>
              <w:sz w:val="21"/>
              <w:highlight w:val="none"/>
            </w:rPr>
            <w:instrText xml:space="preserve"> PAGEREF _Toc9079 \h </w:instrText>
          </w:r>
          <w:r>
            <w:rPr>
              <w:rFonts w:ascii="Times New Roman" w:hAnsi="Times New Roman" w:eastAsia="黑体"/>
              <w:color w:val="auto"/>
              <w:sz w:val="21"/>
              <w:highlight w:val="none"/>
            </w:rPr>
            <w:fldChar w:fldCharType="separate"/>
          </w:r>
          <w:r>
            <w:rPr>
              <w:rFonts w:ascii="Times New Roman" w:hAnsi="Times New Roman" w:eastAsia="黑体"/>
              <w:color w:val="auto"/>
              <w:sz w:val="21"/>
              <w:highlight w:val="none"/>
            </w:rPr>
            <w:t>30</w:t>
          </w:r>
          <w:r>
            <w:rPr>
              <w:rFonts w:ascii="Times New Roman" w:hAnsi="Times New Roman" w:eastAsia="黑体"/>
              <w:color w:val="auto"/>
              <w:sz w:val="21"/>
              <w:highlight w:val="none"/>
            </w:rPr>
            <w:fldChar w:fldCharType="end"/>
          </w:r>
          <w:r>
            <w:rPr>
              <w:rFonts w:ascii="Times New Roman" w:hAnsi="Times New Roman" w:eastAsia="黑体" w:cs="黑体"/>
              <w:color w:val="auto"/>
              <w:sz w:val="21"/>
              <w:szCs w:val="21"/>
              <w:highlight w:val="none"/>
            </w:rPr>
            <w:fldChar w:fldCharType="end"/>
          </w:r>
        </w:p>
        <w:p w14:paraId="5A6B4A88">
          <w:pPr>
            <w:pStyle w:val="20"/>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hint="eastAsia" w:ascii="Times New Roman" w:hAnsi="Times New Roman" w:eastAsia="黑体"/>
              <w:color w:val="auto"/>
              <w:sz w:val="21"/>
              <w:highlight w:val="none"/>
              <w:lang w:val="en-US" w:eastAsia="zh-CN"/>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_Toc13654 </w:instrText>
          </w:r>
          <w:r>
            <w:rPr>
              <w:rFonts w:ascii="Times New Roman" w:hAnsi="Times New Roman" w:eastAsia="黑体" w:cs="黑体"/>
              <w:color w:val="auto"/>
              <w:sz w:val="21"/>
              <w:szCs w:val="21"/>
              <w:highlight w:val="none"/>
            </w:rPr>
            <w:fldChar w:fldCharType="separate"/>
          </w:r>
          <w:r>
            <w:rPr>
              <w:rFonts w:hint="eastAsia" w:ascii="Times New Roman" w:hAnsi="Times New Roman" w:eastAsia="黑体" w:cs="黑体"/>
              <w:bCs/>
              <w:color w:val="auto"/>
              <w:sz w:val="21"/>
              <w:szCs w:val="28"/>
              <w:highlight w:val="none"/>
            </w:rPr>
            <w:t>附</w:t>
          </w:r>
          <w:r>
            <w:rPr>
              <w:rFonts w:hint="eastAsia" w:ascii="Times New Roman" w:hAnsi="Times New Roman" w:eastAsia="黑体" w:cs="黑体"/>
              <w:bCs/>
              <w:color w:val="auto"/>
              <w:sz w:val="21"/>
              <w:szCs w:val="28"/>
              <w:highlight w:val="none"/>
              <w:lang w:val="en-US" w:eastAsia="zh-CN"/>
            </w:rPr>
            <w:t>页</w:t>
          </w:r>
          <w:r>
            <w:rPr>
              <w:rFonts w:ascii="Times New Roman" w:hAnsi="Times New Roman" w:eastAsia="黑体"/>
              <w:color w:val="auto"/>
              <w:sz w:val="21"/>
              <w:highlight w:val="none"/>
            </w:rPr>
            <w:tab/>
          </w:r>
          <w:r>
            <w:rPr>
              <w:rFonts w:ascii="Times New Roman" w:hAnsi="Times New Roman" w:eastAsia="黑体" w:cs="黑体"/>
              <w:color w:val="auto"/>
              <w:sz w:val="21"/>
              <w:szCs w:val="21"/>
              <w:highlight w:val="none"/>
            </w:rPr>
            <w:fldChar w:fldCharType="end"/>
          </w:r>
          <w:r>
            <w:rPr>
              <w:rFonts w:hint="eastAsia" w:ascii="Times New Roman" w:hAnsi="Times New Roman" w:eastAsia="黑体" w:cs="黑体"/>
              <w:color w:val="auto"/>
              <w:sz w:val="21"/>
              <w:szCs w:val="21"/>
              <w:highlight w:val="none"/>
              <w:lang w:val="en-US" w:eastAsia="zh-CN"/>
            </w:rPr>
            <w:t>附页</w:t>
          </w:r>
        </w:p>
        <w:p w14:paraId="0BAD6EB2">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_Toc27346 </w:instrText>
          </w:r>
          <w:r>
            <w:rPr>
              <w:rFonts w:ascii="Times New Roman" w:hAnsi="Times New Roman" w:eastAsia="黑体" w:cs="黑体"/>
              <w:color w:val="auto"/>
              <w:sz w:val="21"/>
              <w:szCs w:val="21"/>
              <w:highlight w:val="none"/>
            </w:rPr>
            <w:fldChar w:fldCharType="separate"/>
          </w:r>
          <w:r>
            <w:rPr>
              <w:rFonts w:hint="eastAsia" w:ascii="Times New Roman" w:hAnsi="Times New Roman" w:eastAsia="黑体"/>
              <w:bCs w:val="0"/>
              <w:color w:val="auto"/>
              <w:sz w:val="21"/>
              <w:highlight w:val="none"/>
            </w:rPr>
            <w:t>附</w:t>
          </w:r>
          <w:r>
            <w:rPr>
              <w:rFonts w:hint="eastAsia" w:ascii="Times New Roman" w:hAnsi="Times New Roman" w:eastAsia="黑体"/>
              <w:bCs w:val="0"/>
              <w:color w:val="auto"/>
              <w:sz w:val="21"/>
              <w:highlight w:val="none"/>
              <w:lang w:val="en-US" w:eastAsia="zh-CN"/>
            </w:rPr>
            <w:t>页</w:t>
          </w:r>
          <w:r>
            <w:rPr>
              <w:rFonts w:ascii="Times New Roman" w:hAnsi="Times New Roman" w:eastAsia="黑体"/>
              <w:bCs w:val="0"/>
              <w:color w:val="auto"/>
              <w:sz w:val="21"/>
              <w:highlight w:val="none"/>
            </w:rPr>
            <w:t>1</w:t>
          </w:r>
          <w:r>
            <w:rPr>
              <w:rFonts w:hint="eastAsia" w:ascii="Times New Roman" w:hAnsi="Times New Roman" w:eastAsia="黑体"/>
              <w:bCs w:val="0"/>
              <w:color w:val="auto"/>
              <w:sz w:val="21"/>
              <w:highlight w:val="none"/>
            </w:rPr>
            <w:t xml:space="preserve"> NRS2002评估表</w:t>
          </w:r>
          <w:r>
            <w:rPr>
              <w:rFonts w:ascii="Times New Roman" w:hAnsi="Times New Roman" w:eastAsia="黑体"/>
              <w:color w:val="auto"/>
              <w:sz w:val="21"/>
              <w:highlight w:val="none"/>
            </w:rPr>
            <w:tab/>
          </w:r>
          <w:r>
            <w:rPr>
              <w:rFonts w:hint="eastAsia" w:ascii="Times New Roman" w:hAnsi="Times New Roman" w:eastAsia="黑体" w:cs="黑体"/>
              <w:color w:val="auto"/>
              <w:sz w:val="21"/>
              <w:szCs w:val="21"/>
              <w:highlight w:val="none"/>
              <w:lang w:val="en-US" w:eastAsia="zh-CN"/>
            </w:rPr>
            <w:t>附页</w:t>
          </w:r>
          <w:r>
            <w:rPr>
              <w:rFonts w:ascii="Times New Roman" w:hAnsi="Times New Roman" w:eastAsia="黑体" w:cs="黑体"/>
              <w:color w:val="auto"/>
              <w:sz w:val="21"/>
              <w:szCs w:val="21"/>
              <w:highlight w:val="none"/>
            </w:rPr>
            <w:fldChar w:fldCharType="end"/>
          </w:r>
        </w:p>
        <w:p w14:paraId="65A3F987">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_Toc18243 </w:instrText>
          </w:r>
          <w:r>
            <w:rPr>
              <w:rFonts w:ascii="Times New Roman" w:hAnsi="Times New Roman" w:eastAsia="黑体" w:cs="黑体"/>
              <w:color w:val="auto"/>
              <w:sz w:val="21"/>
              <w:szCs w:val="21"/>
              <w:highlight w:val="none"/>
            </w:rPr>
            <w:fldChar w:fldCharType="separate"/>
          </w:r>
          <w:r>
            <w:rPr>
              <w:rFonts w:hint="eastAsia" w:ascii="Times New Roman" w:hAnsi="Times New Roman" w:eastAsia="黑体" w:cstheme="minorBidi"/>
              <w:bCs w:val="0"/>
              <w:color w:val="auto"/>
              <w:kern w:val="2"/>
              <w:sz w:val="21"/>
              <w:szCs w:val="32"/>
              <w:highlight w:val="none"/>
              <w:lang w:val="en-US" w:eastAsia="zh-CN" w:bidi="ar-SA"/>
            </w:rPr>
            <w:t>附页2A 生活质量SF-12量表</w:t>
          </w:r>
          <w:r>
            <w:rPr>
              <w:rFonts w:ascii="Times New Roman" w:hAnsi="Times New Roman" w:eastAsia="黑体"/>
              <w:color w:val="auto"/>
              <w:sz w:val="21"/>
              <w:highlight w:val="none"/>
            </w:rPr>
            <w:tab/>
          </w:r>
          <w:r>
            <w:rPr>
              <w:rFonts w:hint="eastAsia" w:ascii="Times New Roman" w:hAnsi="Times New Roman" w:eastAsia="黑体" w:cs="黑体"/>
              <w:color w:val="auto"/>
              <w:sz w:val="21"/>
              <w:szCs w:val="21"/>
              <w:highlight w:val="none"/>
              <w:lang w:val="en-US" w:eastAsia="zh-CN"/>
            </w:rPr>
            <w:t>附页</w:t>
          </w:r>
          <w:r>
            <w:rPr>
              <w:rFonts w:ascii="Times New Roman" w:hAnsi="Times New Roman" w:eastAsia="黑体" w:cs="黑体"/>
              <w:color w:val="auto"/>
              <w:sz w:val="21"/>
              <w:szCs w:val="21"/>
              <w:highlight w:val="none"/>
            </w:rPr>
            <w:fldChar w:fldCharType="end"/>
          </w:r>
        </w:p>
        <w:p w14:paraId="3A0B9AAB">
          <w:pPr>
            <w:pStyle w:val="24"/>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_Toc16568 </w:instrText>
          </w:r>
          <w:r>
            <w:rPr>
              <w:rFonts w:ascii="Times New Roman" w:hAnsi="Times New Roman" w:eastAsia="黑体" w:cs="黑体"/>
              <w:color w:val="auto"/>
              <w:sz w:val="21"/>
              <w:szCs w:val="21"/>
              <w:highlight w:val="none"/>
            </w:rPr>
            <w:fldChar w:fldCharType="separate"/>
          </w:r>
          <w:r>
            <w:rPr>
              <w:rFonts w:hint="eastAsia" w:ascii="Times New Roman" w:hAnsi="Times New Roman" w:eastAsia="黑体" w:cstheme="minorBidi"/>
              <w:bCs w:val="0"/>
              <w:color w:val="auto"/>
              <w:kern w:val="2"/>
              <w:sz w:val="21"/>
              <w:szCs w:val="32"/>
              <w:highlight w:val="none"/>
              <w:lang w:val="en-US" w:eastAsia="zh-CN" w:bidi="ar-SA"/>
            </w:rPr>
            <w:t>附页2B 生活质量SF-12量表标准化分值</w:t>
          </w:r>
          <w:r>
            <w:rPr>
              <w:rFonts w:ascii="Times New Roman" w:hAnsi="Times New Roman" w:eastAsia="黑体"/>
              <w:color w:val="auto"/>
              <w:sz w:val="21"/>
              <w:highlight w:val="none"/>
            </w:rPr>
            <w:tab/>
          </w:r>
          <w:r>
            <w:rPr>
              <w:rFonts w:hint="eastAsia" w:ascii="Times New Roman" w:hAnsi="Times New Roman" w:eastAsia="黑体" w:cs="黑体"/>
              <w:color w:val="auto"/>
              <w:sz w:val="21"/>
              <w:szCs w:val="21"/>
              <w:highlight w:val="none"/>
              <w:lang w:val="en-US" w:eastAsia="zh-CN"/>
            </w:rPr>
            <w:t>附页</w:t>
          </w:r>
          <w:r>
            <w:rPr>
              <w:rFonts w:ascii="Times New Roman" w:hAnsi="Times New Roman" w:eastAsia="黑体" w:cs="黑体"/>
              <w:color w:val="auto"/>
              <w:sz w:val="21"/>
              <w:szCs w:val="21"/>
              <w:highlight w:val="none"/>
            </w:rPr>
            <w:fldChar w:fldCharType="end"/>
          </w:r>
        </w:p>
        <w:p w14:paraId="7E62A9DF">
          <w:pPr>
            <w:pStyle w:val="20"/>
            <w:pageBreakBefore w:val="0"/>
            <w:widowControl w:val="0"/>
            <w:tabs>
              <w:tab w:val="right" w:leader="dot" w:pos="8306"/>
            </w:tabs>
            <w:kinsoku/>
            <w:wordWrap/>
            <w:overflowPunct/>
            <w:topLinePunct w:val="0"/>
            <w:autoSpaceDE/>
            <w:autoSpaceDN/>
            <w:bidi w:val="0"/>
            <w:adjustRightInd/>
            <w:snapToGrid/>
            <w:spacing w:before="0" w:beforeLines="0"/>
            <w:textAlignment w:val="auto"/>
            <w:rPr>
              <w:rFonts w:ascii="Times New Roman" w:hAnsi="Times New Roman" w:eastAsia="黑体"/>
              <w:color w:val="auto"/>
              <w:sz w:val="21"/>
              <w:highlight w:val="none"/>
            </w:rPr>
          </w:pPr>
          <w:r>
            <w:rPr>
              <w:rFonts w:ascii="Times New Roman" w:hAnsi="Times New Roman" w:eastAsia="黑体" w:cs="黑体"/>
              <w:color w:val="auto"/>
              <w:sz w:val="21"/>
              <w:szCs w:val="21"/>
              <w:highlight w:val="none"/>
            </w:rPr>
            <w:fldChar w:fldCharType="begin"/>
          </w:r>
          <w:r>
            <w:rPr>
              <w:rFonts w:ascii="Times New Roman" w:hAnsi="Times New Roman" w:eastAsia="黑体" w:cs="黑体"/>
              <w:color w:val="auto"/>
              <w:sz w:val="21"/>
              <w:szCs w:val="21"/>
              <w:highlight w:val="none"/>
            </w:rPr>
            <w:instrText xml:space="preserve"> HYPERLINK \l _Toc22447 </w:instrText>
          </w:r>
          <w:r>
            <w:rPr>
              <w:rFonts w:ascii="Times New Roman" w:hAnsi="Times New Roman" w:eastAsia="黑体" w:cs="黑体"/>
              <w:color w:val="auto"/>
              <w:sz w:val="21"/>
              <w:szCs w:val="21"/>
              <w:highlight w:val="none"/>
            </w:rPr>
            <w:fldChar w:fldCharType="separate"/>
          </w:r>
          <w:r>
            <w:rPr>
              <w:rFonts w:hint="default" w:ascii="Times New Roman" w:hAnsi="Times New Roman" w:eastAsia="黑体" w:cs="黑体"/>
              <w:bCs/>
              <w:color w:val="auto"/>
              <w:sz w:val="21"/>
              <w:szCs w:val="28"/>
              <w:highlight w:val="none"/>
              <w:lang w:eastAsia="zh-CN"/>
            </w:rPr>
            <w:t>声明</w:t>
          </w:r>
          <w:r>
            <w:rPr>
              <w:rFonts w:ascii="Times New Roman" w:hAnsi="Times New Roman" w:eastAsia="黑体"/>
              <w:color w:val="auto"/>
              <w:sz w:val="21"/>
              <w:highlight w:val="none"/>
            </w:rPr>
            <w:tab/>
          </w:r>
          <w:r>
            <w:rPr>
              <w:rFonts w:hint="eastAsia" w:ascii="Times New Roman" w:hAnsi="Times New Roman" w:eastAsia="黑体" w:cs="黑体"/>
              <w:color w:val="auto"/>
              <w:sz w:val="21"/>
              <w:szCs w:val="21"/>
              <w:highlight w:val="none"/>
              <w:lang w:val="en-US" w:eastAsia="zh-CN"/>
            </w:rPr>
            <w:t>附页</w:t>
          </w:r>
          <w:r>
            <w:rPr>
              <w:rFonts w:ascii="Times New Roman" w:hAnsi="Times New Roman" w:eastAsia="黑体" w:cs="黑体"/>
              <w:color w:val="auto"/>
              <w:sz w:val="21"/>
              <w:szCs w:val="21"/>
              <w:highlight w:val="none"/>
            </w:rPr>
            <w:fldChar w:fldCharType="end"/>
          </w:r>
        </w:p>
        <w:p w14:paraId="05E3902B">
          <w:pPr>
            <w:pStyle w:val="3"/>
            <w:pageBreakBefore w:val="0"/>
            <w:widowControl w:val="0"/>
            <w:kinsoku/>
            <w:wordWrap/>
            <w:overflowPunct/>
            <w:topLinePunct w:val="0"/>
            <w:autoSpaceDE/>
            <w:autoSpaceDN/>
            <w:bidi w:val="0"/>
            <w:adjustRightInd/>
            <w:snapToGrid/>
            <w:spacing w:before="0" w:beforeLines="0" w:line="240" w:lineRule="auto"/>
            <w:textAlignment w:val="auto"/>
            <w:outlineLvl w:val="9"/>
            <w:rPr>
              <w:rFonts w:ascii="Times New Roman" w:hAnsi="Times New Roman" w:cs="黑体"/>
              <w:color w:val="auto"/>
              <w:sz w:val="21"/>
              <w:szCs w:val="21"/>
              <w:highlight w:val="none"/>
            </w:rPr>
          </w:pPr>
          <w:r>
            <w:rPr>
              <w:rFonts w:ascii="Times New Roman" w:hAnsi="Times New Roman" w:eastAsia="黑体" w:cs="黑体"/>
              <w:color w:val="auto"/>
              <w:sz w:val="21"/>
              <w:szCs w:val="21"/>
              <w:highlight w:val="none"/>
            </w:rPr>
            <w:fldChar w:fldCharType="end"/>
          </w:r>
        </w:p>
      </w:sdtContent>
    </w:sdt>
    <w:p w14:paraId="4EF96B1C">
      <w:pPr>
        <w:tabs>
          <w:tab w:val="left" w:pos="1909"/>
        </w:tabs>
        <w:bidi w:val="0"/>
        <w:jc w:val="left"/>
        <w:rPr>
          <w:rFonts w:hint="eastAsia" w:ascii="Times New Roman" w:hAnsi="Times New Roman" w:eastAsia="宋体"/>
          <w:color w:val="auto"/>
          <w:highlight w:val="none"/>
          <w:lang w:eastAsia="zh-CN"/>
        </w:rPr>
        <w:sectPr>
          <w:headerReference r:id="rId6" w:type="first"/>
          <w:footerReference r:id="rId9" w:type="first"/>
          <w:headerReference r:id="rId4" w:type="default"/>
          <w:footerReference r:id="rId7" w:type="default"/>
          <w:headerReference r:id="rId5" w:type="even"/>
          <w:footerReference r:id="rId8" w:type="even"/>
          <w:pgSz w:w="11906" w:h="16838"/>
          <w:pgMar w:top="1440" w:right="1800" w:bottom="1440" w:left="1800" w:header="680" w:footer="992" w:gutter="0"/>
          <w:pgBorders>
            <w:top w:val="none" w:sz="0" w:space="0"/>
            <w:left w:val="none" w:sz="0" w:space="0"/>
            <w:bottom w:val="none" w:sz="0" w:space="0"/>
            <w:right w:val="none" w:sz="0" w:space="0"/>
          </w:pgBorders>
          <w:cols w:space="425" w:num="1"/>
          <w:docGrid w:type="lines" w:linePitch="312" w:charSpace="0"/>
        </w:sectPr>
      </w:pPr>
      <w:r>
        <w:rPr>
          <w:rFonts w:hint="eastAsia" w:ascii="Times New Roman" w:hAnsi="Times New Roman"/>
          <w:color w:val="auto"/>
          <w:highlight w:val="none"/>
          <w:lang w:eastAsia="zh-CN"/>
        </w:rPr>
        <w:tab/>
      </w:r>
    </w:p>
    <w:p w14:paraId="3166C276">
      <w:pPr>
        <w:pStyle w:val="3"/>
        <w:numPr>
          <w:ilvl w:val="0"/>
          <w:numId w:val="1"/>
        </w:numPr>
        <w:spacing w:before="0" w:line="240" w:lineRule="auto"/>
        <w:rPr>
          <w:rFonts w:ascii="Times New Roman" w:hAnsi="Times New Roman" w:cs="黑体"/>
          <w:b/>
          <w:bCs/>
          <w:color w:val="auto"/>
          <w:szCs w:val="28"/>
          <w:highlight w:val="none"/>
        </w:rPr>
      </w:pPr>
      <w:bookmarkStart w:id="1" w:name="_Toc10997"/>
      <w:r>
        <w:rPr>
          <w:rFonts w:hint="eastAsia" w:ascii="Times New Roman" w:hAnsi="Times New Roman" w:cs="黑体"/>
          <w:b/>
          <w:bCs/>
          <w:color w:val="auto"/>
          <w:szCs w:val="28"/>
          <w:highlight w:val="none"/>
          <w:lang w:eastAsia="zh-CN"/>
        </w:rPr>
        <w:t>申办方</w:t>
      </w:r>
      <w:r>
        <w:rPr>
          <w:rFonts w:hint="eastAsia" w:ascii="Times New Roman" w:hAnsi="Times New Roman" w:cs="黑体"/>
          <w:b/>
          <w:bCs/>
          <w:color w:val="auto"/>
          <w:szCs w:val="28"/>
          <w:highlight w:val="none"/>
        </w:rPr>
        <w:t>信息</w:t>
      </w:r>
      <w:bookmarkEnd w:id="1"/>
    </w:p>
    <w:p w14:paraId="1A1A09DB">
      <w:pPr>
        <w:pStyle w:val="4"/>
        <w:numPr>
          <w:ilvl w:val="1"/>
          <w:numId w:val="1"/>
        </w:numPr>
        <w:spacing w:before="0" w:beforeLines="0"/>
        <w:rPr>
          <w:rFonts w:hint="eastAsia" w:ascii="Times New Roman" w:hAnsi="Times New Roman" w:cs="黑体"/>
          <w:b/>
          <w:bCs w:val="0"/>
          <w:color w:val="auto"/>
          <w:szCs w:val="24"/>
          <w:highlight w:val="none"/>
        </w:rPr>
      </w:pPr>
      <w:bookmarkStart w:id="2" w:name="_Toc21992"/>
      <w:r>
        <w:rPr>
          <w:rFonts w:hint="eastAsia" w:ascii="Times New Roman" w:hAnsi="Times New Roman" w:cs="黑体"/>
          <w:b/>
          <w:bCs w:val="0"/>
          <w:color w:val="auto"/>
          <w:szCs w:val="24"/>
          <w:highlight w:val="none"/>
          <w:lang w:eastAsia="zh-CN"/>
        </w:rPr>
        <w:t>申办方</w:t>
      </w:r>
      <w:r>
        <w:rPr>
          <w:rFonts w:hint="eastAsia" w:ascii="Times New Roman" w:hAnsi="Times New Roman" w:cs="黑体"/>
          <w:b/>
          <w:bCs w:val="0"/>
          <w:color w:val="auto"/>
          <w:szCs w:val="24"/>
          <w:highlight w:val="none"/>
        </w:rPr>
        <w:t>名称</w:t>
      </w:r>
      <w:bookmarkEnd w:id="2"/>
    </w:p>
    <w:p w14:paraId="161A9893">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olor w:val="auto"/>
          <w:highlight w:val="none"/>
        </w:rPr>
      </w:pPr>
      <w:r>
        <w:rPr>
          <w:rFonts w:hint="eastAsia" w:ascii="Times New Roman" w:hAnsi="Times New Roman"/>
          <w:color w:val="auto"/>
          <w:highlight w:val="none"/>
        </w:rPr>
        <w:t>广东君悦</w:t>
      </w:r>
      <w:r>
        <w:rPr>
          <w:rFonts w:hint="eastAsia" w:ascii="Times New Roman" w:hAnsi="Times New Roman"/>
          <w:color w:val="auto"/>
          <w:highlight w:val="none"/>
          <w:lang w:val="en-US" w:eastAsia="zh-CN"/>
        </w:rPr>
        <w:t>营养</w:t>
      </w:r>
      <w:r>
        <w:rPr>
          <w:rFonts w:hint="eastAsia" w:ascii="Times New Roman" w:hAnsi="Times New Roman"/>
          <w:color w:val="auto"/>
          <w:highlight w:val="none"/>
        </w:rPr>
        <w:t>医学有限公司</w:t>
      </w:r>
    </w:p>
    <w:p w14:paraId="2C43CA0C">
      <w:pPr>
        <w:pStyle w:val="4"/>
        <w:numPr>
          <w:ilvl w:val="1"/>
          <w:numId w:val="1"/>
        </w:numPr>
        <w:spacing w:before="0" w:beforeLines="0"/>
        <w:rPr>
          <w:rFonts w:hint="eastAsia" w:ascii="Times New Roman" w:hAnsi="Times New Roman" w:cs="黑体"/>
          <w:b/>
          <w:bCs w:val="0"/>
          <w:color w:val="auto"/>
          <w:szCs w:val="24"/>
          <w:highlight w:val="none"/>
        </w:rPr>
      </w:pPr>
      <w:bookmarkStart w:id="3" w:name="_Toc15802"/>
      <w:r>
        <w:rPr>
          <w:rFonts w:hint="eastAsia" w:ascii="Times New Roman" w:hAnsi="Times New Roman" w:cs="黑体"/>
          <w:b/>
          <w:bCs w:val="0"/>
          <w:color w:val="auto"/>
          <w:szCs w:val="24"/>
          <w:highlight w:val="none"/>
          <w:lang w:eastAsia="zh-CN"/>
        </w:rPr>
        <w:t>申办方</w:t>
      </w:r>
      <w:r>
        <w:rPr>
          <w:rFonts w:hint="eastAsia" w:ascii="Times New Roman" w:hAnsi="Times New Roman" w:cs="黑体"/>
          <w:b/>
          <w:bCs w:val="0"/>
          <w:color w:val="auto"/>
          <w:szCs w:val="24"/>
          <w:highlight w:val="none"/>
        </w:rPr>
        <w:t>地址</w:t>
      </w:r>
      <w:bookmarkEnd w:id="3"/>
    </w:p>
    <w:p w14:paraId="54033EC2">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olor w:val="auto"/>
          <w:highlight w:val="none"/>
        </w:rPr>
      </w:pPr>
      <w:r>
        <w:rPr>
          <w:rFonts w:hint="default" w:ascii="Times New Roman" w:hAnsi="Times New Roman"/>
          <w:color w:val="auto"/>
          <w:highlight w:val="none"/>
          <w:lang w:val="en-US" w:eastAsia="zh-CN"/>
        </w:rPr>
        <w:t>广东省惠州市龙门县惠州产业转移工业园祥一路</w:t>
      </w:r>
    </w:p>
    <w:p w14:paraId="408FC9A7">
      <w:pPr>
        <w:pStyle w:val="3"/>
        <w:numPr>
          <w:ilvl w:val="0"/>
          <w:numId w:val="1"/>
        </w:numPr>
        <w:spacing w:before="0" w:line="240" w:lineRule="auto"/>
        <w:rPr>
          <w:rFonts w:ascii="Times New Roman" w:hAnsi="Times New Roman" w:cs="黑体"/>
          <w:b/>
          <w:bCs/>
          <w:color w:val="auto"/>
          <w:szCs w:val="28"/>
          <w:highlight w:val="none"/>
        </w:rPr>
      </w:pPr>
      <w:bookmarkStart w:id="4" w:name="_Toc9811"/>
      <w:bookmarkStart w:id="5" w:name="_Toc9071"/>
      <w:r>
        <w:rPr>
          <w:rFonts w:hint="eastAsia" w:ascii="Times New Roman" w:hAnsi="Times New Roman" w:cs="黑体"/>
          <w:b/>
          <w:bCs/>
          <w:color w:val="auto"/>
          <w:szCs w:val="28"/>
          <w:highlight w:val="none"/>
          <w:lang w:eastAsia="zh-CN"/>
        </w:rPr>
        <w:t>临床试验</w:t>
      </w:r>
      <w:r>
        <w:rPr>
          <w:rFonts w:hint="eastAsia" w:ascii="Times New Roman" w:hAnsi="Times New Roman" w:cs="黑体"/>
          <w:b/>
          <w:bCs/>
          <w:color w:val="auto"/>
          <w:szCs w:val="28"/>
          <w:highlight w:val="none"/>
        </w:rPr>
        <w:t>机构和研究者列表</w:t>
      </w:r>
      <w:bookmarkEnd w:id="4"/>
      <w:bookmarkEnd w:id="5"/>
    </w:p>
    <w:p w14:paraId="5F8EB553">
      <w:pPr>
        <w:pStyle w:val="5"/>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olor w:val="auto"/>
          <w:highlight w:val="none"/>
          <w:lang w:val="en-US" w:eastAsia="zh-CN"/>
        </w:rPr>
      </w:pPr>
      <w:bookmarkStart w:id="6" w:name="_Toc14693"/>
      <w:r>
        <w:rPr>
          <w:rFonts w:hint="eastAsia" w:ascii="Times New Roman" w:hAnsi="Times New Roman"/>
          <w:color w:val="auto"/>
          <w:highlight w:val="none"/>
          <w:lang w:val="en-US" w:eastAsia="zh-CN"/>
        </w:rPr>
        <w:t>临床试验机构和研究者列表详见</w:t>
      </w:r>
      <w:r>
        <w:rPr>
          <w:rFonts w:hint="eastAsia"/>
          <w:color w:val="auto"/>
          <w:highlight w:val="none"/>
          <w:lang w:val="en-US" w:eastAsia="zh-CN"/>
        </w:rPr>
        <w:t>《参研</w:t>
      </w:r>
      <w:r>
        <w:rPr>
          <w:rFonts w:hint="eastAsia" w:ascii="Times New Roman" w:hAnsi="Times New Roman"/>
          <w:color w:val="auto"/>
          <w:highlight w:val="none"/>
          <w:lang w:val="en-US" w:eastAsia="zh-CN"/>
        </w:rPr>
        <w:t>单位列表</w:t>
      </w:r>
      <w:r>
        <w:rPr>
          <w:rFonts w:hint="eastAsia"/>
          <w:color w:val="auto"/>
          <w:highlight w:val="none"/>
          <w:lang w:val="en-US" w:eastAsia="zh-CN"/>
        </w:rPr>
        <w:t>》</w:t>
      </w:r>
      <w:r>
        <w:rPr>
          <w:rFonts w:hint="eastAsia" w:ascii="Times New Roman" w:hAnsi="Times New Roman"/>
          <w:color w:val="auto"/>
          <w:highlight w:val="none"/>
          <w:lang w:val="en-US" w:eastAsia="zh-CN"/>
        </w:rPr>
        <w:t>。</w:t>
      </w:r>
    </w:p>
    <w:p w14:paraId="784D3EA2">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olor w:val="auto"/>
          <w:highlight w:val="none"/>
          <w:lang w:val="en-US" w:eastAsia="zh-CN"/>
        </w:rPr>
      </w:pPr>
      <w:r>
        <w:rPr>
          <w:rFonts w:hint="eastAsia" w:ascii="Times New Roman" w:hAnsi="Times New Roman"/>
          <w:color w:val="auto"/>
          <w:highlight w:val="none"/>
          <w:lang w:val="en-US" w:eastAsia="zh-CN"/>
        </w:rPr>
        <w:t>注：试验过程中需要增减试验机构</w:t>
      </w:r>
      <w:r>
        <w:rPr>
          <w:rFonts w:hint="eastAsia"/>
          <w:color w:val="auto"/>
          <w:highlight w:val="none"/>
          <w:lang w:val="en-US" w:eastAsia="zh-CN"/>
        </w:rPr>
        <w:t>，以及试验机构发生更名</w:t>
      </w:r>
      <w:r>
        <w:rPr>
          <w:rFonts w:hint="eastAsia" w:ascii="Times New Roman" w:hAnsi="Times New Roman"/>
          <w:color w:val="auto"/>
          <w:highlight w:val="none"/>
          <w:lang w:val="en-US" w:eastAsia="zh-CN"/>
        </w:rPr>
        <w:t>时将以独立文件另行备案，不修订方案。最终的临床总结报告中提供所有临床试验机构和研究者的最终名单。</w:t>
      </w:r>
    </w:p>
    <w:p w14:paraId="4863BDB1">
      <w:pPr>
        <w:rPr>
          <w:rFonts w:ascii="Times New Roman" w:hAnsi="Times New Roman" w:cs="黑体"/>
          <w:b/>
          <w:bCs/>
          <w:color w:val="auto"/>
          <w:szCs w:val="28"/>
          <w:highlight w:val="none"/>
        </w:rPr>
      </w:pPr>
      <w:r>
        <w:rPr>
          <w:rFonts w:hint="eastAsia" w:ascii="Times New Roman" w:hAnsi="Times New Roman" w:cs="黑体"/>
          <w:b/>
          <w:bCs/>
          <w:color w:val="auto"/>
          <w:szCs w:val="28"/>
          <w:highlight w:val="none"/>
        </w:rPr>
        <w:br w:type="page"/>
      </w:r>
    </w:p>
    <w:p w14:paraId="557AB42F">
      <w:pPr>
        <w:pStyle w:val="3"/>
        <w:numPr>
          <w:ilvl w:val="0"/>
          <w:numId w:val="1"/>
        </w:numPr>
        <w:spacing w:before="0" w:line="240" w:lineRule="auto"/>
        <w:rPr>
          <w:rFonts w:ascii="Times New Roman" w:hAnsi="Times New Roman" w:cs="黑体"/>
          <w:b/>
          <w:bCs/>
          <w:color w:val="auto"/>
          <w:szCs w:val="28"/>
          <w:highlight w:val="none"/>
        </w:rPr>
      </w:pPr>
      <w:bookmarkStart w:id="7" w:name="_Toc21821"/>
      <w:r>
        <w:rPr>
          <w:rFonts w:hint="eastAsia" w:ascii="Times New Roman" w:hAnsi="Times New Roman" w:cs="黑体"/>
          <w:b/>
          <w:bCs/>
          <w:color w:val="auto"/>
          <w:szCs w:val="28"/>
          <w:highlight w:val="none"/>
        </w:rPr>
        <w:t>摘要</w:t>
      </w:r>
      <w:bookmarkEnd w:id="6"/>
      <w:bookmarkEnd w:id="7"/>
    </w:p>
    <w:tbl>
      <w:tblPr>
        <w:tblStyle w:val="29"/>
        <w:tblW w:w="0" w:type="auto"/>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1"/>
        <w:gridCol w:w="6886"/>
      </w:tblGrid>
      <w:tr w14:paraId="328D1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0" w:hRule="atLeast"/>
        </w:trPr>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3E725C8B">
            <w:pPr>
              <w:spacing w:before="0" w:beforeLines="0"/>
              <w:jc w:val="center"/>
              <w:rPr>
                <w:rFonts w:ascii="Times New Roman" w:hAnsi="Times New Roman" w:eastAsia="宋体" w:cs="宋体"/>
                <w:b/>
                <w:bCs/>
                <w:color w:val="auto"/>
                <w:szCs w:val="21"/>
                <w:highlight w:val="none"/>
              </w:rPr>
            </w:pPr>
            <w:r>
              <w:rPr>
                <w:rFonts w:hint="eastAsia" w:ascii="Times New Roman" w:hAnsi="Times New Roman" w:eastAsia="宋体" w:cs="宋体"/>
                <w:b/>
                <w:bCs/>
                <w:color w:val="auto"/>
                <w:szCs w:val="21"/>
                <w:highlight w:val="none"/>
                <w:lang w:val="en-US" w:eastAsia="zh-CN" w:bidi="ar"/>
              </w:rPr>
              <w:t>临床试验</w:t>
            </w:r>
            <w:r>
              <w:rPr>
                <w:rFonts w:hint="eastAsia" w:ascii="Times New Roman" w:hAnsi="Times New Roman" w:eastAsia="宋体" w:cs="宋体"/>
                <w:b/>
                <w:bCs/>
                <w:color w:val="auto"/>
                <w:szCs w:val="21"/>
                <w:highlight w:val="none"/>
                <w:lang w:bidi="ar"/>
              </w:rPr>
              <w:t>名称</w:t>
            </w:r>
          </w:p>
        </w:tc>
        <w:tc>
          <w:tcPr>
            <w:tcW w:w="6886" w:type="dxa"/>
            <w:tcBorders>
              <w:top w:val="single" w:color="auto" w:sz="4" w:space="0"/>
              <w:left w:val="nil"/>
              <w:bottom w:val="single" w:color="auto" w:sz="4" w:space="0"/>
              <w:right w:val="single" w:color="auto" w:sz="4" w:space="0"/>
            </w:tcBorders>
            <w:shd w:val="clear" w:color="auto" w:fill="auto"/>
            <w:vAlign w:val="center"/>
          </w:tcPr>
          <w:p w14:paraId="56220105">
            <w:pPr>
              <w:spacing w:before="0" w:beforeLines="0"/>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随机、平行对照、多中心临床试验验证君蓓力作为肿瘤患者部分营养来源的临床安全性、营养充足性及特殊医学用途临床效果</w:t>
            </w:r>
          </w:p>
        </w:tc>
      </w:tr>
      <w:tr w14:paraId="2C442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0" w:hRule="atLeast"/>
        </w:trPr>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1948B7F9">
            <w:pPr>
              <w:spacing w:before="0" w:beforeLines="0"/>
              <w:jc w:val="center"/>
              <w:rPr>
                <w:rFonts w:hint="eastAsia" w:ascii="Times New Roman" w:hAnsi="Times New Roman" w:eastAsia="宋体" w:cs="宋体"/>
                <w:b/>
                <w:bCs/>
                <w:color w:val="auto"/>
                <w:szCs w:val="21"/>
                <w:highlight w:val="none"/>
                <w:lang w:val="en-US" w:eastAsia="zh-CN" w:bidi="ar"/>
              </w:rPr>
            </w:pPr>
            <w:r>
              <w:rPr>
                <w:rFonts w:hint="eastAsia" w:ascii="Times New Roman" w:hAnsi="Times New Roman" w:eastAsia="宋体" w:cs="宋体"/>
                <w:b/>
                <w:bCs/>
                <w:color w:val="auto"/>
                <w:szCs w:val="21"/>
                <w:highlight w:val="none"/>
                <w:lang w:val="en-US" w:eastAsia="zh-CN" w:bidi="ar"/>
              </w:rPr>
              <w:t>临床试验内容</w:t>
            </w:r>
          </w:p>
        </w:tc>
        <w:tc>
          <w:tcPr>
            <w:tcW w:w="6886" w:type="dxa"/>
            <w:tcBorders>
              <w:top w:val="single" w:color="auto" w:sz="4" w:space="0"/>
              <w:left w:val="nil"/>
              <w:bottom w:val="single" w:color="auto" w:sz="4" w:space="0"/>
              <w:right w:val="single" w:color="auto" w:sz="4" w:space="0"/>
            </w:tcBorders>
            <w:shd w:val="clear" w:color="auto" w:fill="auto"/>
            <w:vAlign w:val="center"/>
          </w:tcPr>
          <w:p w14:paraId="5236EDE3">
            <w:pPr>
              <w:spacing w:before="0" w:beforeLines="0"/>
              <w:rPr>
                <w:rFonts w:hint="eastAsia" w:ascii="Times New Roman" w:hAnsi="Times New Roman" w:eastAsia="宋体" w:cs="宋体"/>
                <w:color w:val="auto"/>
                <w:szCs w:val="21"/>
                <w:highlight w:val="none"/>
                <w:lang w:eastAsia="zh-CN"/>
              </w:rPr>
            </w:pPr>
            <w:r>
              <w:rPr>
                <w:rFonts w:hint="eastAsia" w:ascii="Times New Roman" w:hAnsi="Times New Roman" w:eastAsia="宋体" w:cs="宋体"/>
                <w:color w:val="auto"/>
                <w:szCs w:val="21"/>
                <w:highlight w:val="none"/>
                <w:lang w:val="en-US" w:eastAsia="zh-CN"/>
              </w:rPr>
              <w:t>通过随机、平行对照、多中心临床试验验证</w:t>
            </w:r>
            <w:r>
              <w:rPr>
                <w:rFonts w:hint="eastAsia" w:ascii="Times New Roman" w:hAnsi="Times New Roman" w:eastAsia="宋体" w:cs="宋体"/>
                <w:color w:val="auto"/>
                <w:szCs w:val="21"/>
                <w:highlight w:val="none"/>
              </w:rPr>
              <w:t>君蓓力作为肿瘤患者部分营养来源的临床安全性、营养充足性及特殊医学用途临床效果</w:t>
            </w:r>
            <w:r>
              <w:rPr>
                <w:rFonts w:hint="eastAsia" w:ascii="Times New Roman" w:hAnsi="Times New Roman" w:eastAsia="宋体" w:cs="宋体"/>
                <w:color w:val="auto"/>
                <w:szCs w:val="21"/>
                <w:highlight w:val="none"/>
                <w:lang w:eastAsia="zh-CN"/>
              </w:rPr>
              <w:t>。</w:t>
            </w:r>
          </w:p>
        </w:tc>
      </w:tr>
      <w:tr w14:paraId="766F9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3975656D">
            <w:pPr>
              <w:spacing w:before="0" w:beforeLines="0"/>
              <w:jc w:val="center"/>
              <w:rPr>
                <w:rFonts w:ascii="Times New Roman" w:hAnsi="Times New Roman" w:eastAsia="宋体" w:cs="宋体"/>
                <w:b/>
                <w:bCs/>
                <w:color w:val="auto"/>
                <w:szCs w:val="21"/>
                <w:highlight w:val="none"/>
              </w:rPr>
            </w:pPr>
            <w:r>
              <w:rPr>
                <w:rFonts w:hint="eastAsia" w:ascii="Times New Roman" w:hAnsi="Times New Roman" w:eastAsia="宋体" w:cs="宋体"/>
                <w:b/>
                <w:bCs/>
                <w:color w:val="auto"/>
                <w:szCs w:val="21"/>
                <w:highlight w:val="none"/>
                <w:lang w:eastAsia="zh-CN" w:bidi="ar"/>
              </w:rPr>
              <w:t>试验</w:t>
            </w:r>
            <w:r>
              <w:rPr>
                <w:rFonts w:hint="eastAsia" w:ascii="Times New Roman" w:hAnsi="Times New Roman" w:eastAsia="宋体" w:cs="宋体"/>
                <w:b/>
                <w:bCs/>
                <w:color w:val="auto"/>
                <w:szCs w:val="21"/>
                <w:highlight w:val="none"/>
                <w:lang w:bidi="ar"/>
              </w:rPr>
              <w:t>目的和</w:t>
            </w:r>
            <w:r>
              <w:rPr>
                <w:rFonts w:hint="eastAsia" w:ascii="Times New Roman" w:hAnsi="Times New Roman" w:eastAsia="宋体" w:cs="宋体"/>
                <w:b/>
                <w:bCs/>
                <w:color w:val="auto"/>
                <w:szCs w:val="21"/>
                <w:highlight w:val="none"/>
                <w:lang w:eastAsia="zh-CN" w:bidi="ar"/>
              </w:rPr>
              <w:t>试验</w:t>
            </w:r>
            <w:r>
              <w:rPr>
                <w:rFonts w:hint="eastAsia" w:ascii="Times New Roman" w:hAnsi="Times New Roman" w:eastAsia="宋体" w:cs="宋体"/>
                <w:b/>
                <w:bCs/>
                <w:color w:val="auto"/>
                <w:szCs w:val="21"/>
                <w:highlight w:val="none"/>
                <w:lang w:bidi="ar"/>
              </w:rPr>
              <w:t>指标</w:t>
            </w:r>
          </w:p>
        </w:tc>
        <w:tc>
          <w:tcPr>
            <w:tcW w:w="6886" w:type="dxa"/>
            <w:tcBorders>
              <w:top w:val="single" w:color="auto" w:sz="4" w:space="0"/>
              <w:left w:val="nil"/>
              <w:bottom w:val="single" w:color="auto" w:sz="4" w:space="0"/>
              <w:right w:val="single" w:color="auto" w:sz="4" w:space="0"/>
            </w:tcBorders>
            <w:shd w:val="clear" w:color="auto" w:fill="auto"/>
          </w:tcPr>
          <w:p w14:paraId="38248AED">
            <w:pPr>
              <w:spacing w:before="0" w:beforeLines="0"/>
              <w:rPr>
                <w:rFonts w:ascii="Times New Roman" w:hAnsi="Times New Roman" w:eastAsia="宋体" w:cs="宋体"/>
                <w:color w:val="auto"/>
                <w:szCs w:val="21"/>
                <w:highlight w:val="none"/>
              </w:rPr>
            </w:pPr>
            <w:bookmarkStart w:id="8" w:name="_Hlk95070212"/>
            <w:r>
              <w:rPr>
                <w:rFonts w:hint="eastAsia" w:ascii="Times New Roman" w:hAnsi="Times New Roman" w:eastAsia="宋体" w:cs="宋体"/>
                <w:color w:val="auto"/>
                <w:szCs w:val="21"/>
                <w:highlight w:val="none"/>
                <w:lang w:bidi="ar"/>
              </w:rPr>
              <w:t>（一）主要目的</w:t>
            </w:r>
            <w:bookmarkEnd w:id="8"/>
          </w:p>
          <w:p w14:paraId="441CFE6F">
            <w:pPr>
              <w:spacing w:before="0" w:beforeLines="0"/>
              <w:ind w:firstLine="420" w:firstLineChars="200"/>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lang w:bidi="ar"/>
              </w:rPr>
              <w:t>观察</w:t>
            </w:r>
            <w:r>
              <w:rPr>
                <w:rFonts w:hint="eastAsia" w:ascii="Times New Roman" w:hAnsi="Times New Roman" w:eastAsia="宋体" w:cs="宋体"/>
                <w:color w:val="auto"/>
                <w:szCs w:val="21"/>
                <w:highlight w:val="none"/>
                <w:lang w:eastAsia="zh-CN" w:bidi="ar"/>
              </w:rPr>
              <w:t>试验用产品</w:t>
            </w:r>
            <w:r>
              <w:rPr>
                <w:rFonts w:hint="eastAsia" w:ascii="Times New Roman" w:hAnsi="Times New Roman" w:eastAsia="宋体" w:cs="宋体"/>
                <w:color w:val="auto"/>
                <w:szCs w:val="21"/>
                <w:highlight w:val="none"/>
                <w:lang w:bidi="ar"/>
              </w:rPr>
              <w:t>对前白蛋白的影响，评估并比较君蓓力与</w:t>
            </w:r>
            <w:r>
              <w:rPr>
                <w:rFonts w:hint="eastAsia" w:ascii="Times New Roman" w:hAnsi="Times New Roman" w:eastAsia="宋体" w:cs="宋体"/>
                <w:color w:val="auto"/>
                <w:szCs w:val="21"/>
                <w:highlight w:val="none"/>
                <w:lang w:eastAsia="zh-CN" w:bidi="ar"/>
              </w:rPr>
              <w:t>等能量</w:t>
            </w:r>
            <w:r>
              <w:rPr>
                <w:rFonts w:hint="eastAsia" w:ascii="Times New Roman" w:hAnsi="Times New Roman" w:eastAsia="宋体" w:cs="宋体"/>
                <w:color w:val="auto"/>
                <w:szCs w:val="21"/>
                <w:highlight w:val="none"/>
                <w:lang w:bidi="ar"/>
              </w:rPr>
              <w:t>对照产品（</w:t>
            </w:r>
            <w:r>
              <w:rPr>
                <w:rFonts w:hint="eastAsia" w:ascii="Times New Roman" w:hAnsi="Times New Roman" w:eastAsia="宋体"/>
                <w:color w:val="auto"/>
                <w:highlight w:val="none"/>
                <w:lang w:eastAsia="zh-CN"/>
              </w:rPr>
              <w:t>速熠素</w:t>
            </w:r>
            <w:r>
              <w:rPr>
                <w:rFonts w:hint="eastAsia" w:ascii="Times New Roman" w:hAnsi="Times New Roman" w:eastAsia="宋体" w:cs="宋体"/>
                <w:color w:val="auto"/>
                <w:szCs w:val="21"/>
                <w:highlight w:val="none"/>
                <w:lang w:bidi="ar"/>
              </w:rPr>
              <w:t>，特殊医学用途肿瘤全营养配方食品）对</w:t>
            </w:r>
            <w:r>
              <w:rPr>
                <w:rFonts w:hint="eastAsia" w:ascii="Times New Roman" w:hAnsi="Times New Roman" w:eastAsia="宋体" w:cs="宋体"/>
                <w:color w:val="auto"/>
                <w:szCs w:val="21"/>
                <w:highlight w:val="none"/>
                <w:lang w:eastAsia="zh-CN" w:bidi="ar"/>
              </w:rPr>
              <w:t>结直肠癌患者</w:t>
            </w:r>
            <w:r>
              <w:rPr>
                <w:rFonts w:hint="eastAsia" w:ascii="Times New Roman" w:hAnsi="Times New Roman" w:eastAsia="宋体" w:cs="宋体"/>
                <w:color w:val="auto"/>
                <w:szCs w:val="21"/>
                <w:highlight w:val="none"/>
                <w:lang w:bidi="ar"/>
              </w:rPr>
              <w:t>的</w:t>
            </w:r>
            <w:r>
              <w:rPr>
                <w:rFonts w:hint="eastAsia" w:ascii="Times New Roman" w:hAnsi="Times New Roman" w:eastAsia="宋体" w:cs="宋体"/>
                <w:color w:val="auto"/>
                <w:szCs w:val="21"/>
                <w:highlight w:val="none"/>
                <w:lang w:val="en-US" w:eastAsia="zh-CN" w:bidi="ar"/>
              </w:rPr>
              <w:t>营养充足性</w:t>
            </w:r>
            <w:r>
              <w:rPr>
                <w:rFonts w:hint="eastAsia" w:ascii="Times New Roman" w:hAnsi="Times New Roman" w:eastAsia="宋体" w:cs="宋体"/>
                <w:color w:val="auto"/>
                <w:szCs w:val="21"/>
                <w:highlight w:val="none"/>
                <w:lang w:bidi="ar"/>
              </w:rPr>
              <w:t>。</w:t>
            </w:r>
          </w:p>
          <w:p w14:paraId="34B93D3A">
            <w:pPr>
              <w:spacing w:before="0" w:beforeLines="0"/>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lang w:bidi="ar"/>
              </w:rPr>
              <w:t>主要疗效指标</w:t>
            </w:r>
          </w:p>
          <w:p w14:paraId="4A62ACDB">
            <w:pPr>
              <w:spacing w:before="0" w:beforeLines="0"/>
              <w:ind w:firstLine="420" w:firstLineChars="200"/>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lang w:bidi="ar"/>
              </w:rPr>
              <w:t>于基线（</w:t>
            </w:r>
            <w:r>
              <w:rPr>
                <w:rFonts w:hint="eastAsia" w:ascii="Times New Roman" w:hAnsi="Times New Roman" w:cs="宋体"/>
                <w:color w:val="auto"/>
                <w:szCs w:val="21"/>
                <w:highlight w:val="none"/>
                <w:lang w:val="en-US" w:eastAsia="zh-CN" w:bidi="ar"/>
              </w:rPr>
              <w:t>第0(±1)天</w:t>
            </w:r>
            <w:r>
              <w:rPr>
                <w:rFonts w:hint="eastAsia" w:ascii="Times New Roman" w:hAnsi="Times New Roman" w:eastAsia="宋体" w:cs="宋体"/>
                <w:color w:val="auto"/>
                <w:szCs w:val="21"/>
                <w:highlight w:val="none"/>
                <w:lang w:bidi="ar"/>
              </w:rPr>
              <w:t>空腹状态）、末次访视（第</w:t>
            </w:r>
            <w:r>
              <w:rPr>
                <w:rFonts w:hint="eastAsia" w:ascii="Times New Roman" w:hAnsi="Times New Roman" w:eastAsia="宋体" w:cs="宋体"/>
                <w:color w:val="auto"/>
                <w:szCs w:val="21"/>
                <w:highlight w:val="none"/>
                <w:lang w:val="en-US" w:eastAsia="zh-CN" w:bidi="ar"/>
              </w:rPr>
              <w:t>21(±1)</w:t>
            </w:r>
            <w:r>
              <w:rPr>
                <w:rFonts w:hint="eastAsia" w:ascii="Times New Roman" w:hAnsi="Times New Roman" w:eastAsia="宋体" w:cs="宋体"/>
                <w:color w:val="auto"/>
                <w:szCs w:val="21"/>
                <w:highlight w:val="none"/>
                <w:lang w:bidi="ar"/>
              </w:rPr>
              <w:t>天空腹状态）收集前白蛋白</w:t>
            </w:r>
            <w:r>
              <w:rPr>
                <w:rFonts w:hint="eastAsia" w:ascii="Times New Roman" w:hAnsi="Times New Roman" w:eastAsia="宋体" w:cs="宋体"/>
                <w:color w:val="auto"/>
                <w:szCs w:val="21"/>
                <w:highlight w:val="none"/>
                <w:lang w:val="en-US" w:eastAsia="zh-CN" w:bidi="ar"/>
              </w:rPr>
              <w:t>的</w:t>
            </w:r>
            <w:r>
              <w:rPr>
                <w:rFonts w:hint="eastAsia" w:ascii="Times New Roman" w:hAnsi="Times New Roman" w:eastAsia="宋体" w:cs="宋体"/>
                <w:color w:val="auto"/>
                <w:szCs w:val="21"/>
                <w:highlight w:val="none"/>
                <w:lang w:bidi="ar"/>
              </w:rPr>
              <w:t>数据</w:t>
            </w:r>
            <w:r>
              <w:rPr>
                <w:rFonts w:hint="eastAsia" w:ascii="Times New Roman" w:hAnsi="Times New Roman" w:eastAsia="宋体" w:cs="宋体"/>
                <w:color w:val="auto"/>
                <w:szCs w:val="21"/>
                <w:highlight w:val="none"/>
                <w:lang w:eastAsia="zh-CN" w:bidi="ar"/>
              </w:rPr>
              <w:t>。</w:t>
            </w:r>
            <w:r>
              <w:rPr>
                <w:rFonts w:hint="eastAsia" w:ascii="Times New Roman" w:hAnsi="Times New Roman" w:eastAsia="宋体" w:cs="宋体"/>
                <w:color w:val="auto"/>
                <w:szCs w:val="21"/>
                <w:highlight w:val="none"/>
                <w:lang w:val="en-US" w:eastAsia="zh-CN" w:bidi="ar"/>
              </w:rPr>
              <w:t>比较</w:t>
            </w:r>
            <w:r>
              <w:rPr>
                <w:rFonts w:hint="eastAsia" w:ascii="Times New Roman" w:hAnsi="Times New Roman" w:eastAsia="宋体" w:cs="宋体"/>
                <w:color w:val="auto"/>
                <w:szCs w:val="21"/>
                <w:highlight w:val="none"/>
                <w:lang w:bidi="ar"/>
              </w:rPr>
              <w:t>两组</w:t>
            </w:r>
            <w:r>
              <w:rPr>
                <w:rFonts w:hint="eastAsia" w:ascii="Times New Roman" w:hAnsi="Times New Roman" w:eastAsia="宋体" w:cs="宋体"/>
                <w:color w:val="auto"/>
                <w:szCs w:val="21"/>
                <w:highlight w:val="none"/>
                <w:lang w:val="en-US" w:eastAsia="zh-CN" w:bidi="ar"/>
              </w:rPr>
              <w:t>末次访视</w:t>
            </w:r>
            <w:r>
              <w:rPr>
                <w:rFonts w:hint="eastAsia" w:ascii="Times New Roman" w:hAnsi="Times New Roman" w:eastAsia="宋体" w:cs="宋体"/>
                <w:color w:val="auto"/>
                <w:szCs w:val="21"/>
                <w:highlight w:val="none"/>
                <w:lang w:bidi="ar"/>
              </w:rPr>
              <w:t>与基线前白蛋白的水平变化。</w:t>
            </w:r>
          </w:p>
          <w:p w14:paraId="47E63579">
            <w:pPr>
              <w:spacing w:before="0" w:beforeLines="0"/>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lang w:bidi="ar"/>
              </w:rPr>
              <w:t>Δ前白蛋白=前白蛋白</w:t>
            </w:r>
            <w:r>
              <w:rPr>
                <w:rFonts w:hint="eastAsia" w:ascii="Times New Roman" w:hAnsi="Times New Roman" w:eastAsia="宋体" w:cs="宋体"/>
                <w:color w:val="auto"/>
                <w:szCs w:val="21"/>
                <w:highlight w:val="none"/>
                <w:vertAlign w:val="subscript"/>
                <w:lang w:bidi="ar"/>
              </w:rPr>
              <w:t>（</w:t>
            </w:r>
            <w:r>
              <w:rPr>
                <w:rFonts w:hint="eastAsia" w:ascii="Times New Roman" w:hAnsi="Times New Roman" w:eastAsia="宋体" w:cs="宋体"/>
                <w:color w:val="auto"/>
                <w:szCs w:val="21"/>
                <w:highlight w:val="none"/>
                <w:vertAlign w:val="subscript"/>
                <w:lang w:val="en-US" w:eastAsia="zh-CN" w:bidi="ar"/>
              </w:rPr>
              <w:t>末次访视，</w:t>
            </w:r>
            <w:r>
              <w:rPr>
                <w:rFonts w:hint="eastAsia" w:ascii="Times New Roman" w:hAnsi="Times New Roman" w:eastAsia="宋体" w:cs="宋体"/>
                <w:color w:val="auto"/>
                <w:szCs w:val="21"/>
                <w:highlight w:val="none"/>
                <w:vertAlign w:val="subscript"/>
                <w:lang w:eastAsia="zh-CN" w:bidi="ar"/>
              </w:rPr>
              <w:t>第21(±1)天空腹状态</w:t>
            </w:r>
            <w:r>
              <w:rPr>
                <w:rFonts w:hint="eastAsia" w:ascii="Times New Roman" w:hAnsi="Times New Roman" w:eastAsia="宋体" w:cs="宋体"/>
                <w:color w:val="auto"/>
                <w:szCs w:val="21"/>
                <w:highlight w:val="none"/>
                <w:vertAlign w:val="subscript"/>
                <w:lang w:bidi="ar"/>
              </w:rPr>
              <w:t>）</w:t>
            </w:r>
            <w:r>
              <w:rPr>
                <w:rFonts w:hint="eastAsia" w:ascii="Times New Roman" w:hAnsi="Times New Roman" w:eastAsia="宋体" w:cs="宋体"/>
                <w:color w:val="auto"/>
                <w:szCs w:val="21"/>
                <w:highlight w:val="none"/>
                <w:lang w:bidi="ar"/>
              </w:rPr>
              <w:t>-前白蛋白</w:t>
            </w:r>
            <w:r>
              <w:rPr>
                <w:rFonts w:hint="eastAsia" w:ascii="Times New Roman" w:hAnsi="Times New Roman" w:eastAsia="宋体" w:cs="宋体"/>
                <w:color w:val="auto"/>
                <w:szCs w:val="21"/>
                <w:highlight w:val="none"/>
                <w:vertAlign w:val="subscript"/>
                <w:lang w:bidi="ar"/>
              </w:rPr>
              <w:t>（基线，第</w:t>
            </w:r>
            <w:r>
              <w:rPr>
                <w:rFonts w:hint="eastAsia" w:ascii="Times New Roman" w:hAnsi="Times New Roman" w:cs="宋体"/>
                <w:color w:val="auto"/>
                <w:szCs w:val="21"/>
                <w:highlight w:val="none"/>
                <w:vertAlign w:val="subscript"/>
                <w:lang w:eastAsia="zh-CN" w:bidi="ar"/>
              </w:rPr>
              <w:t>0(±1)</w:t>
            </w:r>
            <w:r>
              <w:rPr>
                <w:rFonts w:hint="eastAsia" w:ascii="Times New Roman" w:hAnsi="Times New Roman" w:eastAsia="宋体" w:cs="宋体"/>
                <w:color w:val="auto"/>
                <w:szCs w:val="21"/>
                <w:highlight w:val="none"/>
                <w:vertAlign w:val="subscript"/>
                <w:lang w:bidi="ar"/>
              </w:rPr>
              <w:t>天空腹状态）</w:t>
            </w:r>
          </w:p>
          <w:p w14:paraId="2C09CA20">
            <w:pPr>
              <w:spacing w:before="0" w:beforeLines="0"/>
              <w:rPr>
                <w:rFonts w:ascii="Times New Roman" w:hAnsi="Times New Roman" w:eastAsia="宋体" w:cs="宋体"/>
                <w:color w:val="auto"/>
                <w:szCs w:val="21"/>
                <w:highlight w:val="none"/>
              </w:rPr>
            </w:pPr>
          </w:p>
          <w:p w14:paraId="2B777214">
            <w:pPr>
              <w:spacing w:before="0" w:beforeLines="0"/>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lang w:bidi="ar"/>
              </w:rPr>
              <w:t>（二）次要目的</w:t>
            </w:r>
          </w:p>
          <w:p w14:paraId="302D6B64">
            <w:pPr>
              <w:spacing w:before="0" w:beforeLines="0"/>
              <w:ind w:firstLine="420" w:firstLineChars="200"/>
              <w:rPr>
                <w:rFonts w:hint="eastAsia" w:ascii="Times New Roman" w:hAnsi="Times New Roman" w:eastAsia="宋体" w:cs="宋体"/>
                <w:color w:val="auto"/>
                <w:szCs w:val="21"/>
                <w:highlight w:val="none"/>
                <w:lang w:bidi="ar"/>
              </w:rPr>
            </w:pPr>
            <w:r>
              <w:rPr>
                <w:rFonts w:hint="eastAsia" w:ascii="Times New Roman" w:hAnsi="Times New Roman" w:eastAsia="宋体" w:cs="宋体"/>
                <w:color w:val="auto"/>
                <w:szCs w:val="21"/>
                <w:highlight w:val="none"/>
                <w:lang w:bidi="ar"/>
              </w:rPr>
              <w:t>与</w:t>
            </w:r>
            <w:r>
              <w:rPr>
                <w:rFonts w:hint="eastAsia" w:ascii="Times New Roman" w:hAnsi="Times New Roman" w:eastAsia="宋体" w:cs="宋体"/>
                <w:color w:val="auto"/>
                <w:szCs w:val="21"/>
                <w:highlight w:val="none"/>
                <w:lang w:eastAsia="zh-CN" w:bidi="ar"/>
              </w:rPr>
              <w:t>等能量</w:t>
            </w:r>
            <w:r>
              <w:rPr>
                <w:rFonts w:hint="eastAsia" w:ascii="Times New Roman" w:hAnsi="Times New Roman" w:eastAsia="宋体" w:cs="宋体"/>
                <w:color w:val="auto"/>
                <w:szCs w:val="21"/>
                <w:highlight w:val="none"/>
                <w:lang w:bidi="ar"/>
              </w:rPr>
              <w:t>对照产品相比，评估君蓓力对</w:t>
            </w:r>
            <w:r>
              <w:rPr>
                <w:rFonts w:hint="eastAsia" w:ascii="Times New Roman" w:hAnsi="Times New Roman" w:eastAsia="宋体" w:cs="宋体"/>
                <w:color w:val="auto"/>
                <w:szCs w:val="21"/>
                <w:highlight w:val="none"/>
                <w:lang w:eastAsia="zh-CN" w:bidi="ar"/>
              </w:rPr>
              <w:t>结直肠癌患者</w:t>
            </w:r>
            <w:r>
              <w:rPr>
                <w:rFonts w:hint="eastAsia" w:ascii="Times New Roman" w:hAnsi="Times New Roman" w:eastAsia="宋体" w:cs="宋体"/>
                <w:color w:val="auto"/>
                <w:szCs w:val="21"/>
                <w:highlight w:val="none"/>
                <w:lang w:bidi="ar"/>
              </w:rPr>
              <w:t>的</w:t>
            </w:r>
            <w:r>
              <w:rPr>
                <w:rFonts w:hint="eastAsia" w:ascii="Times New Roman" w:hAnsi="Times New Roman" w:eastAsia="宋体" w:cs="宋体"/>
                <w:color w:val="auto"/>
                <w:szCs w:val="21"/>
                <w:highlight w:val="none"/>
              </w:rPr>
              <w:t>临床安全性、营养充足性及特殊医学用途临床效果</w:t>
            </w:r>
            <w:r>
              <w:rPr>
                <w:rFonts w:hint="eastAsia" w:ascii="Times New Roman" w:hAnsi="Times New Roman" w:eastAsia="宋体" w:cs="宋体"/>
                <w:color w:val="auto"/>
                <w:szCs w:val="21"/>
                <w:highlight w:val="none"/>
                <w:lang w:bidi="ar"/>
              </w:rPr>
              <w:t>，包括</w:t>
            </w:r>
            <w:r>
              <w:rPr>
                <w:rFonts w:hint="eastAsia" w:ascii="Times New Roman" w:hAnsi="Times New Roman" w:eastAsia="宋体" w:cs="宋体"/>
                <w:color w:val="auto"/>
                <w:szCs w:val="21"/>
                <w:highlight w:val="none"/>
                <w:lang w:val="en-US" w:eastAsia="zh-CN" w:bidi="ar"/>
              </w:rPr>
              <w:t>营养充足性指标、肌肉指标、炎症相关指标、免疫相关指标、代谢相关指标和临床结局指标</w:t>
            </w:r>
            <w:r>
              <w:rPr>
                <w:rFonts w:hint="eastAsia" w:ascii="Times New Roman" w:hAnsi="Times New Roman" w:eastAsia="宋体" w:cs="宋体"/>
                <w:color w:val="auto"/>
                <w:szCs w:val="21"/>
                <w:highlight w:val="none"/>
                <w:lang w:bidi="ar"/>
              </w:rPr>
              <w:t>等。</w:t>
            </w:r>
          </w:p>
          <w:p w14:paraId="060B98B3">
            <w:pPr>
              <w:spacing w:before="0" w:beforeLines="0"/>
              <w:rPr>
                <w:rFonts w:hint="eastAsia" w:ascii="Times New Roman" w:hAnsi="Times New Roman" w:eastAsia="宋体" w:cs="宋体"/>
                <w:color w:val="auto"/>
                <w:szCs w:val="21"/>
                <w:highlight w:val="none"/>
                <w:lang w:bidi="ar"/>
              </w:rPr>
            </w:pPr>
            <w:r>
              <w:rPr>
                <w:rFonts w:hint="eastAsia" w:ascii="Times New Roman" w:hAnsi="Times New Roman" w:eastAsia="宋体" w:cs="宋体"/>
                <w:color w:val="auto"/>
                <w:szCs w:val="21"/>
                <w:highlight w:val="none"/>
                <w:lang w:eastAsia="zh-CN" w:bidi="ar"/>
              </w:rPr>
              <w:t>（</w:t>
            </w:r>
            <w:r>
              <w:rPr>
                <w:rFonts w:hint="eastAsia" w:ascii="Times New Roman" w:hAnsi="Times New Roman" w:eastAsia="宋体" w:cs="宋体"/>
                <w:color w:val="auto"/>
                <w:szCs w:val="21"/>
                <w:highlight w:val="none"/>
                <w:lang w:val="en-US" w:eastAsia="zh-CN" w:bidi="ar"/>
              </w:rPr>
              <w:t>1）</w:t>
            </w:r>
            <w:r>
              <w:rPr>
                <w:rFonts w:hint="eastAsia" w:ascii="Times New Roman" w:hAnsi="Times New Roman" w:eastAsia="宋体" w:cs="宋体"/>
                <w:color w:val="auto"/>
                <w:szCs w:val="21"/>
                <w:highlight w:val="none"/>
                <w:lang w:bidi="ar"/>
              </w:rPr>
              <w:t>次要疗效指标</w:t>
            </w:r>
          </w:p>
          <w:p w14:paraId="1E6D9DDC">
            <w:pPr>
              <w:spacing w:before="0" w:beforeLines="0"/>
              <w:ind w:firstLine="420" w:firstLineChars="200"/>
              <w:rPr>
                <w:rFonts w:ascii="Times New Roman" w:hAnsi="Times New Roman" w:eastAsia="宋体"/>
                <w:color w:val="auto"/>
                <w:highlight w:val="none"/>
              </w:rPr>
            </w:pPr>
            <w:r>
              <w:rPr>
                <w:rFonts w:hint="eastAsia" w:ascii="Times New Roman" w:hAnsi="Times New Roman" w:eastAsia="宋体"/>
                <w:color w:val="auto"/>
                <w:highlight w:val="none"/>
              </w:rPr>
              <w:t>于</w:t>
            </w:r>
            <w:r>
              <w:rPr>
                <w:rFonts w:hint="eastAsia" w:ascii="Times New Roman" w:hAnsi="Times New Roman" w:eastAsia="宋体"/>
                <w:color w:val="auto"/>
                <w:highlight w:val="none"/>
                <w:lang w:val="en-US" w:eastAsia="zh-CN"/>
              </w:rPr>
              <w:t>基线（</w:t>
            </w:r>
            <w:r>
              <w:rPr>
                <w:rFonts w:hint="eastAsia" w:ascii="Times New Roman" w:hAnsi="Times New Roman" w:cs="宋体"/>
                <w:color w:val="auto"/>
                <w:szCs w:val="21"/>
                <w:highlight w:val="none"/>
                <w:lang w:val="en-US" w:eastAsia="zh-CN" w:bidi="ar"/>
              </w:rPr>
              <w:t>第0(±1)天</w:t>
            </w:r>
            <w:r>
              <w:rPr>
                <w:rFonts w:hint="eastAsia" w:ascii="Times New Roman" w:hAnsi="Times New Roman" w:eastAsia="宋体" w:cs="宋体"/>
                <w:color w:val="auto"/>
                <w:szCs w:val="21"/>
                <w:highlight w:val="none"/>
                <w:lang w:bidi="ar"/>
              </w:rPr>
              <w:t>空腹状态</w:t>
            </w:r>
            <w:r>
              <w:rPr>
                <w:rFonts w:hint="eastAsia" w:ascii="Times New Roman" w:hAnsi="Times New Roman" w:eastAsia="宋体"/>
                <w:color w:val="auto"/>
                <w:highlight w:val="none"/>
                <w:lang w:val="en-US" w:eastAsia="zh-CN"/>
              </w:rPr>
              <w:t>）、末次访视（</w:t>
            </w:r>
            <w:r>
              <w:rPr>
                <w:rFonts w:hint="eastAsia" w:ascii="Times New Roman" w:hAnsi="Times New Roman" w:eastAsia="宋体" w:cs="宋体"/>
                <w:color w:val="auto"/>
                <w:szCs w:val="21"/>
                <w:highlight w:val="none"/>
                <w:lang w:val="en-US" w:eastAsia="zh-CN" w:bidi="ar"/>
              </w:rPr>
              <w:t>第21(±1)天空腹</w:t>
            </w:r>
            <w:r>
              <w:rPr>
                <w:rFonts w:hint="eastAsia" w:ascii="Times New Roman" w:hAnsi="Times New Roman" w:eastAsia="宋体"/>
                <w:color w:val="auto"/>
                <w:highlight w:val="none"/>
                <w:lang w:eastAsia="zh-CN"/>
              </w:rPr>
              <w:t>状态</w:t>
            </w:r>
            <w:r>
              <w:rPr>
                <w:rFonts w:hint="eastAsia" w:ascii="Times New Roman" w:hAnsi="Times New Roman" w:eastAsia="宋体"/>
                <w:color w:val="auto"/>
                <w:highlight w:val="none"/>
                <w:lang w:val="en-US" w:eastAsia="zh-CN"/>
              </w:rPr>
              <w:t>）</w:t>
            </w:r>
            <w:r>
              <w:rPr>
                <w:rFonts w:hint="eastAsia" w:ascii="Times New Roman" w:hAnsi="Times New Roman" w:eastAsia="宋体" w:cs="宋体"/>
                <w:color w:val="auto"/>
                <w:szCs w:val="21"/>
                <w:highlight w:val="none"/>
                <w:lang w:val="en-US" w:eastAsia="zh-CN" w:bidi="ar"/>
              </w:rPr>
              <w:t>收集</w:t>
            </w:r>
            <w:r>
              <w:rPr>
                <w:rFonts w:hint="eastAsia" w:ascii="Times New Roman" w:hAnsi="Times New Roman" w:eastAsia="宋体"/>
                <w:color w:val="auto"/>
                <w:highlight w:val="none"/>
              </w:rPr>
              <w:t>以下数据，比较两组</w:t>
            </w:r>
            <w:r>
              <w:rPr>
                <w:rFonts w:hint="eastAsia" w:ascii="Times New Roman" w:hAnsi="Times New Roman" w:eastAsia="宋体"/>
                <w:color w:val="auto"/>
                <w:highlight w:val="none"/>
                <w:lang w:val="en-US" w:eastAsia="zh-CN"/>
              </w:rPr>
              <w:t>末次访视</w:t>
            </w:r>
            <w:r>
              <w:rPr>
                <w:rFonts w:hint="eastAsia" w:ascii="Times New Roman" w:hAnsi="Times New Roman" w:eastAsia="宋体"/>
                <w:color w:val="auto"/>
                <w:highlight w:val="none"/>
              </w:rPr>
              <w:t>与基线次要指标的水平变化</w:t>
            </w:r>
            <w:r>
              <w:rPr>
                <w:rFonts w:hint="eastAsia" w:ascii="Times New Roman" w:hAnsi="Times New Roman" w:eastAsia="宋体"/>
                <w:color w:val="auto"/>
                <w:highlight w:val="none"/>
                <w:lang w:eastAsia="zh-CN"/>
              </w:rPr>
              <w:t>。</w:t>
            </w:r>
          </w:p>
          <w:p w14:paraId="7A521572">
            <w:pPr>
              <w:pStyle w:val="36"/>
              <w:widowControl/>
              <w:numPr>
                <w:ilvl w:val="0"/>
                <w:numId w:val="2"/>
              </w:numPr>
              <w:spacing w:beforeLines="0"/>
              <w:ind w:firstLineChars="0"/>
              <w:rPr>
                <w:rFonts w:hint="eastAsia" w:ascii="Times New Roman" w:hAnsi="Times New Roman" w:eastAsia="宋体" w:cs="宋体"/>
                <w:color w:val="auto"/>
                <w:highlight w:val="none"/>
                <w:lang w:val="en-US" w:eastAsia="zh-CN"/>
              </w:rPr>
            </w:pPr>
            <w:r>
              <w:rPr>
                <w:rFonts w:hint="eastAsia" w:ascii="Times New Roman" w:hAnsi="Times New Roman" w:eastAsia="宋体" w:cs="宋体"/>
                <w:color w:val="auto"/>
                <w:highlight w:val="none"/>
                <w:lang w:val="en-US" w:eastAsia="zh-CN"/>
              </w:rPr>
              <w:t>营养充足性指标：体重、血清白蛋白、血红蛋白</w:t>
            </w:r>
          </w:p>
          <w:p w14:paraId="133AB0B9">
            <w:pPr>
              <w:pStyle w:val="36"/>
              <w:widowControl/>
              <w:numPr>
                <w:ilvl w:val="0"/>
                <w:numId w:val="2"/>
              </w:numPr>
              <w:spacing w:beforeLines="0"/>
              <w:ind w:firstLineChars="0"/>
              <w:rPr>
                <w:rFonts w:hint="eastAsia" w:ascii="Times New Roman" w:hAnsi="Times New Roman" w:eastAsia="宋体" w:cs="宋体"/>
                <w:color w:val="auto"/>
                <w:highlight w:val="none"/>
              </w:rPr>
            </w:pPr>
            <w:r>
              <w:rPr>
                <w:rFonts w:hint="eastAsia" w:ascii="Times New Roman" w:hAnsi="Times New Roman" w:eastAsia="宋体" w:cs="宋体"/>
                <w:color w:val="auto"/>
                <w:highlight w:val="none"/>
                <w:lang w:val="en-US" w:eastAsia="zh-CN"/>
              </w:rPr>
              <w:t>特殊医学用途临床效果指标：</w:t>
            </w:r>
          </w:p>
          <w:p w14:paraId="26EEA9DD">
            <w:pPr>
              <w:pStyle w:val="5"/>
              <w:keepNext/>
              <w:keepLines w:val="0"/>
              <w:pageBreakBefore w:val="0"/>
              <w:widowControl/>
              <w:numPr>
                <w:ilvl w:val="1"/>
                <w:numId w:val="3"/>
              </w:numPr>
              <w:tabs>
                <w:tab w:val="left" w:pos="420"/>
              </w:tabs>
              <w:kinsoku/>
              <w:wordWrap/>
              <w:overflowPunct/>
              <w:topLinePunct w:val="0"/>
              <w:autoSpaceDE/>
              <w:autoSpaceDN/>
              <w:bidi w:val="0"/>
              <w:adjustRightInd/>
              <w:snapToGrid/>
              <w:spacing w:line="240" w:lineRule="auto"/>
              <w:ind w:left="633" w:leftChars="104" w:hanging="415" w:hangingChars="198"/>
              <w:textAlignment w:val="auto"/>
              <w:rPr>
                <w:rFonts w:hint="eastAsia" w:ascii="Times New Roman" w:hAnsi="Times New Roman" w:eastAsia="宋体" w:cs="宋体"/>
                <w:color w:val="auto"/>
                <w:highlight w:val="none"/>
                <w:lang w:val="en-US" w:eastAsia="zh-CN"/>
              </w:rPr>
            </w:pPr>
            <w:r>
              <w:rPr>
                <w:rFonts w:hint="eastAsia" w:ascii="Times New Roman" w:hAnsi="Times New Roman" w:eastAsia="宋体" w:cs="宋体"/>
                <w:color w:val="auto"/>
                <w:highlight w:val="none"/>
                <w:lang w:val="en-US" w:eastAsia="zh-CN"/>
              </w:rPr>
              <w:t>肌肉指标：握力、肌肉量、骨骼肌、去脂体重指数</w:t>
            </w:r>
          </w:p>
          <w:p w14:paraId="66B6520A">
            <w:pPr>
              <w:pStyle w:val="5"/>
              <w:keepNext/>
              <w:keepLines w:val="0"/>
              <w:pageBreakBefore w:val="0"/>
              <w:widowControl/>
              <w:numPr>
                <w:ilvl w:val="1"/>
                <w:numId w:val="3"/>
              </w:numPr>
              <w:tabs>
                <w:tab w:val="left" w:pos="420"/>
              </w:tabs>
              <w:kinsoku/>
              <w:wordWrap/>
              <w:overflowPunct/>
              <w:topLinePunct w:val="0"/>
              <w:autoSpaceDE/>
              <w:autoSpaceDN/>
              <w:bidi w:val="0"/>
              <w:adjustRightInd/>
              <w:snapToGrid/>
              <w:spacing w:line="240" w:lineRule="auto"/>
              <w:ind w:left="633" w:leftChars="104" w:hanging="415" w:hangingChars="198"/>
              <w:textAlignment w:val="auto"/>
              <w:rPr>
                <w:rFonts w:hint="eastAsia" w:ascii="Times New Roman" w:hAnsi="Times New Roman" w:eastAsia="宋体" w:cs="宋体"/>
                <w:color w:val="auto"/>
                <w:highlight w:val="none"/>
                <w:lang w:val="en-US" w:eastAsia="zh-CN"/>
              </w:rPr>
            </w:pPr>
            <w:r>
              <w:rPr>
                <w:rFonts w:hint="eastAsia" w:ascii="Times New Roman" w:hAnsi="Times New Roman" w:eastAsia="宋体" w:cs="宋体"/>
                <w:color w:val="auto"/>
                <w:highlight w:val="none"/>
                <w:lang w:val="en-US" w:eastAsia="zh-CN"/>
              </w:rPr>
              <w:t>炎性相关指标：C反应蛋白</w:t>
            </w:r>
          </w:p>
          <w:p w14:paraId="1C3C20D9">
            <w:pPr>
              <w:pStyle w:val="5"/>
              <w:keepNext/>
              <w:keepLines w:val="0"/>
              <w:pageBreakBefore w:val="0"/>
              <w:widowControl/>
              <w:numPr>
                <w:ilvl w:val="1"/>
                <w:numId w:val="3"/>
              </w:numPr>
              <w:tabs>
                <w:tab w:val="left" w:pos="420"/>
              </w:tabs>
              <w:kinsoku/>
              <w:wordWrap/>
              <w:overflowPunct/>
              <w:topLinePunct w:val="0"/>
              <w:autoSpaceDE/>
              <w:autoSpaceDN/>
              <w:bidi w:val="0"/>
              <w:adjustRightInd/>
              <w:snapToGrid/>
              <w:spacing w:line="240" w:lineRule="auto"/>
              <w:ind w:left="409" w:leftChars="104" w:hanging="191" w:hangingChars="91"/>
              <w:textAlignment w:val="auto"/>
              <w:rPr>
                <w:rFonts w:hint="eastAsia" w:ascii="Times New Roman" w:hAnsi="Times New Roman" w:eastAsia="宋体" w:cs="宋体"/>
                <w:color w:val="auto"/>
                <w:highlight w:val="none"/>
                <w:lang w:val="en-US" w:eastAsia="zh-CN"/>
              </w:rPr>
            </w:pPr>
            <w:r>
              <w:rPr>
                <w:rFonts w:hint="eastAsia" w:ascii="Times New Roman" w:hAnsi="Times New Roman" w:eastAsia="宋体" w:cs="宋体"/>
                <w:color w:val="auto"/>
                <w:highlight w:val="none"/>
                <w:lang w:val="en-US" w:eastAsia="zh-CN"/>
              </w:rPr>
              <w:t>免疫相关指标：中性粒细胞/淋巴细胞比值</w:t>
            </w:r>
          </w:p>
          <w:p w14:paraId="4938B681">
            <w:pPr>
              <w:pStyle w:val="5"/>
              <w:keepNext/>
              <w:keepLines w:val="0"/>
              <w:pageBreakBefore w:val="0"/>
              <w:widowControl/>
              <w:numPr>
                <w:ilvl w:val="1"/>
                <w:numId w:val="3"/>
              </w:numPr>
              <w:tabs>
                <w:tab w:val="left" w:pos="420"/>
              </w:tabs>
              <w:kinsoku/>
              <w:wordWrap/>
              <w:overflowPunct/>
              <w:topLinePunct w:val="0"/>
              <w:autoSpaceDE/>
              <w:autoSpaceDN/>
              <w:bidi w:val="0"/>
              <w:adjustRightInd/>
              <w:snapToGrid/>
              <w:spacing w:line="240" w:lineRule="auto"/>
              <w:ind w:left="633" w:leftChars="104" w:hanging="415" w:hangingChars="198"/>
              <w:textAlignment w:val="auto"/>
              <w:rPr>
                <w:rFonts w:hint="eastAsia" w:ascii="Times New Roman" w:hAnsi="Times New Roman" w:eastAsia="宋体" w:cs="宋体"/>
                <w:color w:val="auto"/>
                <w:highlight w:val="none"/>
                <w:lang w:val="en-US" w:eastAsia="zh-CN"/>
              </w:rPr>
            </w:pPr>
            <w:r>
              <w:rPr>
                <w:rFonts w:hint="eastAsia" w:ascii="Times New Roman" w:hAnsi="Times New Roman" w:eastAsia="宋体" w:cs="宋体"/>
                <w:color w:val="auto"/>
                <w:highlight w:val="none"/>
                <w:lang w:val="en-US" w:eastAsia="zh-CN"/>
              </w:rPr>
              <w:t>代谢相关指标：空腹胰岛素、空腹血糖、空腹血脂</w:t>
            </w:r>
          </w:p>
          <w:p w14:paraId="7D0EC1AC">
            <w:pPr>
              <w:pStyle w:val="5"/>
              <w:keepNext/>
              <w:keepLines w:val="0"/>
              <w:pageBreakBefore w:val="0"/>
              <w:widowControl/>
              <w:numPr>
                <w:ilvl w:val="1"/>
                <w:numId w:val="3"/>
              </w:numPr>
              <w:tabs>
                <w:tab w:val="left" w:pos="420"/>
              </w:tabs>
              <w:kinsoku/>
              <w:wordWrap/>
              <w:overflowPunct/>
              <w:topLinePunct w:val="0"/>
              <w:autoSpaceDE/>
              <w:autoSpaceDN/>
              <w:bidi w:val="0"/>
              <w:adjustRightInd/>
              <w:snapToGrid/>
              <w:spacing w:line="240" w:lineRule="auto"/>
              <w:ind w:left="633" w:leftChars="104" w:hanging="415" w:hangingChars="198"/>
              <w:textAlignment w:val="auto"/>
              <w:rPr>
                <w:rFonts w:hint="eastAsia" w:ascii="Times New Roman" w:hAnsi="Times New Roman" w:eastAsia="宋体" w:cs="宋体"/>
                <w:color w:val="auto"/>
                <w:highlight w:val="none"/>
                <w:lang w:val="en-US" w:eastAsia="zh-CN"/>
              </w:rPr>
            </w:pPr>
            <w:r>
              <w:rPr>
                <w:rFonts w:hint="eastAsia" w:ascii="Times New Roman" w:hAnsi="Times New Roman" w:eastAsia="宋体" w:cs="宋体"/>
                <w:color w:val="auto"/>
                <w:highlight w:val="none"/>
                <w:lang w:val="en-US" w:eastAsia="zh-CN"/>
              </w:rPr>
              <w:t>临床结局指标：生活质量SF-12量表</w:t>
            </w:r>
          </w:p>
          <w:p w14:paraId="7356D21D">
            <w:pPr>
              <w:spacing w:before="0" w:beforeLines="0"/>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lang w:eastAsia="zh-CN" w:bidi="ar"/>
              </w:rPr>
              <w:t>（</w:t>
            </w:r>
            <w:r>
              <w:rPr>
                <w:rFonts w:hint="eastAsia" w:ascii="Times New Roman" w:hAnsi="Times New Roman" w:eastAsia="宋体" w:cs="宋体"/>
                <w:color w:val="auto"/>
                <w:szCs w:val="21"/>
                <w:highlight w:val="none"/>
                <w:lang w:val="en-US" w:eastAsia="zh-CN" w:bidi="ar"/>
              </w:rPr>
              <w:t>2）</w:t>
            </w:r>
            <w:r>
              <w:rPr>
                <w:rFonts w:hint="eastAsia" w:ascii="Times New Roman" w:hAnsi="Times New Roman" w:eastAsia="宋体" w:cs="宋体"/>
                <w:color w:val="auto"/>
                <w:szCs w:val="21"/>
                <w:highlight w:val="none"/>
                <w:lang w:eastAsia="zh-CN" w:bidi="ar"/>
              </w:rPr>
              <w:t>临床安全性</w:t>
            </w:r>
            <w:r>
              <w:rPr>
                <w:rFonts w:hint="eastAsia" w:ascii="Times New Roman" w:hAnsi="Times New Roman" w:eastAsia="宋体" w:cs="宋体"/>
                <w:color w:val="auto"/>
                <w:szCs w:val="21"/>
                <w:highlight w:val="none"/>
                <w:lang w:bidi="ar"/>
              </w:rPr>
              <w:t>指标</w:t>
            </w:r>
          </w:p>
          <w:p w14:paraId="5F1D1837">
            <w:pPr>
              <w:pStyle w:val="36"/>
              <w:widowControl/>
              <w:numPr>
                <w:ilvl w:val="0"/>
                <w:numId w:val="2"/>
              </w:numPr>
              <w:spacing w:beforeLines="0"/>
              <w:ind w:firstLineChars="0"/>
              <w:rPr>
                <w:rFonts w:ascii="Times New Roman" w:hAnsi="Times New Roman" w:eastAsia="宋体" w:cs="宋体"/>
                <w:color w:val="auto"/>
                <w:highlight w:val="none"/>
              </w:rPr>
            </w:pPr>
            <w:r>
              <w:rPr>
                <w:rFonts w:hint="eastAsia" w:ascii="Times New Roman" w:hAnsi="Times New Roman" w:eastAsia="宋体" w:cs="宋体"/>
                <w:color w:val="auto"/>
                <w:highlight w:val="none"/>
              </w:rPr>
              <w:t>生命体征</w:t>
            </w:r>
            <w:r>
              <w:rPr>
                <w:rFonts w:hint="eastAsia" w:ascii="Times New Roman" w:hAnsi="Times New Roman" w:eastAsia="宋体" w:cs="宋体"/>
                <w:color w:val="auto"/>
                <w:szCs w:val="21"/>
                <w:highlight w:val="none"/>
                <w:lang w:eastAsia="zh-CN"/>
              </w:rPr>
              <w:t>（</w:t>
            </w:r>
            <w:r>
              <w:rPr>
                <w:rFonts w:hint="eastAsia" w:ascii="Times New Roman" w:hAnsi="Times New Roman" w:eastAsia="宋体" w:cs="宋体"/>
                <w:color w:val="auto"/>
                <w:szCs w:val="21"/>
                <w:highlight w:val="none"/>
              </w:rPr>
              <w:t>体温</w:t>
            </w:r>
            <w:r>
              <w:rPr>
                <w:rFonts w:hint="eastAsia" w:ascii="Times New Roman" w:hAnsi="Times New Roman" w:eastAsia="宋体" w:cs="宋体"/>
                <w:color w:val="auto"/>
                <w:szCs w:val="21"/>
                <w:highlight w:val="none"/>
                <w:lang w:eastAsia="zh-CN"/>
              </w:rPr>
              <w:t>、脉搏</w:t>
            </w:r>
            <w:r>
              <w:rPr>
                <w:rFonts w:hint="eastAsia" w:ascii="Times New Roman" w:hAnsi="Times New Roman" w:eastAsia="宋体" w:cs="宋体"/>
                <w:color w:val="auto"/>
                <w:szCs w:val="21"/>
                <w:highlight w:val="none"/>
              </w:rPr>
              <w:t>、</w:t>
            </w:r>
            <w:r>
              <w:rPr>
                <w:rFonts w:hint="eastAsia" w:ascii="Times New Roman" w:hAnsi="Times New Roman" w:eastAsia="宋体" w:cs="宋体"/>
                <w:color w:val="auto"/>
                <w:szCs w:val="21"/>
                <w:highlight w:val="none"/>
                <w:lang w:val="en-US" w:eastAsia="zh-CN"/>
              </w:rPr>
              <w:t>呼吸</w:t>
            </w:r>
            <w:r>
              <w:rPr>
                <w:rFonts w:hint="eastAsia" w:ascii="Times New Roman" w:hAnsi="Times New Roman" w:eastAsia="宋体" w:cs="宋体"/>
                <w:color w:val="auto"/>
                <w:szCs w:val="21"/>
                <w:highlight w:val="none"/>
              </w:rPr>
              <w:t>、血压</w:t>
            </w:r>
            <w:r>
              <w:rPr>
                <w:rFonts w:hint="eastAsia" w:ascii="Times New Roman" w:hAnsi="Times New Roman" w:eastAsia="宋体" w:cs="宋体"/>
                <w:color w:val="auto"/>
                <w:szCs w:val="21"/>
                <w:highlight w:val="none"/>
                <w:lang w:eastAsia="zh-CN"/>
              </w:rPr>
              <w:t>）</w:t>
            </w:r>
          </w:p>
          <w:p w14:paraId="3243F6AB">
            <w:pPr>
              <w:pStyle w:val="36"/>
              <w:widowControl/>
              <w:numPr>
                <w:ilvl w:val="0"/>
                <w:numId w:val="2"/>
              </w:numPr>
              <w:spacing w:beforeLines="0"/>
              <w:ind w:firstLineChars="0"/>
              <w:rPr>
                <w:rFonts w:ascii="Times New Roman" w:hAnsi="Times New Roman" w:eastAsia="宋体" w:cs="宋体"/>
                <w:color w:val="auto"/>
                <w:highlight w:val="none"/>
              </w:rPr>
            </w:pPr>
            <w:r>
              <w:rPr>
                <w:rFonts w:hint="eastAsia" w:ascii="Times New Roman" w:hAnsi="Times New Roman" w:eastAsia="宋体" w:cs="宋体"/>
                <w:color w:val="auto"/>
                <w:highlight w:val="none"/>
              </w:rPr>
              <w:t>实验室指标（血常规、血生化、尿常规</w:t>
            </w:r>
            <w:r>
              <w:rPr>
                <w:rFonts w:hint="eastAsia" w:ascii="Times New Roman" w:hAnsi="Times New Roman" w:eastAsia="宋体" w:cs="宋体"/>
                <w:color w:val="auto"/>
                <w:highlight w:val="none"/>
                <w:lang w:eastAsia="zh-CN"/>
              </w:rPr>
              <w:t>、</w:t>
            </w:r>
            <w:r>
              <w:rPr>
                <w:rFonts w:hint="eastAsia" w:ascii="Times New Roman" w:hAnsi="Times New Roman" w:eastAsia="宋体" w:cs="宋体"/>
                <w:color w:val="auto"/>
                <w:highlight w:val="none"/>
                <w:lang w:val="en-US" w:eastAsia="zh-CN"/>
              </w:rPr>
              <w:t>空腹血糖</w:t>
            </w:r>
            <w:r>
              <w:rPr>
                <w:rFonts w:hint="eastAsia" w:ascii="Times New Roman" w:hAnsi="Times New Roman" w:eastAsia="宋体" w:cs="宋体"/>
                <w:color w:val="auto"/>
                <w:highlight w:val="none"/>
              </w:rPr>
              <w:t>）</w:t>
            </w:r>
          </w:p>
          <w:p w14:paraId="3DC7400F">
            <w:pPr>
              <w:pStyle w:val="36"/>
              <w:widowControl/>
              <w:numPr>
                <w:ilvl w:val="0"/>
                <w:numId w:val="2"/>
              </w:numPr>
              <w:spacing w:beforeLines="0"/>
              <w:ind w:firstLineChars="0"/>
              <w:rPr>
                <w:rFonts w:ascii="Times New Roman" w:hAnsi="Times New Roman" w:eastAsia="宋体" w:cs="宋体"/>
                <w:color w:val="auto"/>
                <w:highlight w:val="none"/>
              </w:rPr>
            </w:pPr>
            <w:r>
              <w:rPr>
                <w:rFonts w:hint="eastAsia" w:ascii="Times New Roman" w:hAnsi="Times New Roman" w:eastAsia="宋体" w:cs="宋体"/>
                <w:color w:val="auto"/>
                <w:highlight w:val="none"/>
              </w:rPr>
              <w:t>消化道不耐受反应的发生率（包括恶心、呕吐、腹泻、腹痛、腹胀、便秘）</w:t>
            </w:r>
          </w:p>
          <w:p w14:paraId="27D2D353">
            <w:pPr>
              <w:pStyle w:val="36"/>
              <w:widowControl/>
              <w:numPr>
                <w:ilvl w:val="0"/>
                <w:numId w:val="2"/>
              </w:numPr>
              <w:spacing w:beforeLines="0"/>
              <w:ind w:firstLineChars="0"/>
              <w:rPr>
                <w:rFonts w:hint="eastAsia" w:ascii="Times New Roman" w:hAnsi="Times New Roman" w:eastAsia="宋体" w:cs="宋体"/>
                <w:color w:val="auto"/>
                <w:highlight w:val="none"/>
              </w:rPr>
            </w:pPr>
            <w:r>
              <w:rPr>
                <w:rFonts w:hint="eastAsia" w:ascii="Times New Roman" w:hAnsi="Times New Roman" w:eastAsia="宋体" w:cs="宋体"/>
                <w:color w:val="auto"/>
                <w:highlight w:val="none"/>
              </w:rPr>
              <w:t>不良事件（AE）和严重不良事件（SAE）的类型和频率</w:t>
            </w:r>
          </w:p>
        </w:tc>
      </w:tr>
      <w:tr w14:paraId="0F510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645005B1">
            <w:pPr>
              <w:spacing w:before="0" w:beforeLines="0"/>
              <w:jc w:val="center"/>
              <w:rPr>
                <w:rFonts w:ascii="Times New Roman" w:hAnsi="Times New Roman" w:eastAsia="宋体" w:cs="宋体"/>
                <w:b/>
                <w:bCs/>
                <w:color w:val="auto"/>
                <w:szCs w:val="21"/>
                <w:highlight w:val="none"/>
              </w:rPr>
            </w:pPr>
            <w:r>
              <w:rPr>
                <w:rFonts w:hint="eastAsia" w:ascii="Times New Roman" w:hAnsi="Times New Roman" w:eastAsia="宋体" w:cs="宋体"/>
                <w:b/>
                <w:bCs/>
                <w:color w:val="auto"/>
                <w:szCs w:val="21"/>
                <w:highlight w:val="none"/>
                <w:lang w:eastAsia="zh-CN" w:bidi="ar"/>
              </w:rPr>
              <w:t>试验</w:t>
            </w:r>
            <w:r>
              <w:rPr>
                <w:rFonts w:hint="eastAsia" w:ascii="Times New Roman" w:hAnsi="Times New Roman" w:eastAsia="宋体" w:cs="宋体"/>
                <w:b/>
                <w:bCs/>
                <w:color w:val="auto"/>
                <w:szCs w:val="21"/>
                <w:highlight w:val="none"/>
                <w:lang w:bidi="ar"/>
              </w:rPr>
              <w:t>设计</w:t>
            </w:r>
          </w:p>
        </w:tc>
        <w:tc>
          <w:tcPr>
            <w:tcW w:w="6886" w:type="dxa"/>
            <w:tcBorders>
              <w:top w:val="single" w:color="auto" w:sz="4" w:space="0"/>
              <w:left w:val="nil"/>
              <w:bottom w:val="single" w:color="auto" w:sz="4" w:space="0"/>
              <w:right w:val="single" w:color="auto" w:sz="4" w:space="0"/>
            </w:tcBorders>
            <w:shd w:val="clear" w:color="auto" w:fill="auto"/>
          </w:tcPr>
          <w:p w14:paraId="613CCF9C">
            <w:pPr>
              <w:spacing w:before="0" w:beforeLines="0"/>
              <w:ind w:firstLine="420" w:firstLineChars="200"/>
              <w:rPr>
                <w:rFonts w:ascii="Times New Roman" w:hAnsi="Times New Roman" w:eastAsia="宋体"/>
                <w:color w:val="auto"/>
                <w:highlight w:val="none"/>
              </w:rPr>
            </w:pPr>
            <w:bookmarkStart w:id="9" w:name="OLE_LINK2"/>
            <w:r>
              <w:rPr>
                <w:rFonts w:hint="eastAsia" w:ascii="Times New Roman" w:hAnsi="Times New Roman" w:eastAsia="宋体"/>
                <w:color w:val="auto"/>
                <w:highlight w:val="none"/>
                <w:lang w:val="en-US" w:eastAsia="zh-CN"/>
              </w:rPr>
              <w:t>本</w:t>
            </w:r>
            <w:r>
              <w:rPr>
                <w:rFonts w:hint="eastAsia" w:ascii="Times New Roman" w:hAnsi="Times New Roman" w:eastAsia="宋体"/>
                <w:color w:val="auto"/>
                <w:highlight w:val="none"/>
                <w:lang w:eastAsia="zh-CN"/>
              </w:rPr>
              <w:t>试验</w:t>
            </w:r>
            <w:r>
              <w:rPr>
                <w:rFonts w:hint="eastAsia" w:ascii="Times New Roman" w:hAnsi="Times New Roman" w:eastAsia="宋体"/>
                <w:color w:val="auto"/>
                <w:highlight w:val="none"/>
              </w:rPr>
              <w:t>为随机、平行对照、多中心的开放性临床试验</w:t>
            </w:r>
            <w:bookmarkEnd w:id="9"/>
            <w:r>
              <w:rPr>
                <w:rFonts w:hint="eastAsia" w:ascii="Times New Roman" w:hAnsi="Times New Roman" w:eastAsia="宋体"/>
                <w:color w:val="auto"/>
                <w:highlight w:val="none"/>
              </w:rPr>
              <w:t>。</w:t>
            </w:r>
          </w:p>
          <w:p w14:paraId="24CADD57">
            <w:pPr>
              <w:spacing w:before="0" w:beforeLines="0"/>
              <w:ind w:firstLine="420" w:firstLineChars="200"/>
              <w:rPr>
                <w:rFonts w:hint="eastAsia" w:ascii="Times New Roman" w:hAnsi="Times New Roman" w:eastAsia="宋体"/>
                <w:color w:val="auto"/>
                <w:highlight w:val="none"/>
              </w:rPr>
            </w:pPr>
            <w:r>
              <w:rPr>
                <w:rFonts w:hint="eastAsia" w:ascii="Times New Roman" w:hAnsi="Times New Roman" w:eastAsia="宋体"/>
                <w:color w:val="auto"/>
                <w:highlight w:val="none"/>
              </w:rPr>
              <w:t>本试验计划FAS人群共招募200名受试者，每组100名</w:t>
            </w:r>
            <w:r>
              <w:rPr>
                <w:rFonts w:hint="eastAsia" w:ascii="Times New Roman" w:hAnsi="Times New Roman" w:eastAsia="宋体"/>
                <w:color w:val="auto"/>
                <w:highlight w:val="none"/>
                <w:lang w:eastAsia="zh-CN"/>
              </w:rPr>
              <w:t>，考虑脱落率为20%，则每组应入组120例受试者，</w:t>
            </w:r>
            <w:r>
              <w:rPr>
                <w:rFonts w:hint="eastAsia" w:ascii="Times New Roman" w:hAnsi="Times New Roman" w:eastAsia="宋体"/>
                <w:color w:val="auto"/>
                <w:highlight w:val="none"/>
              </w:rPr>
              <w:t>共入组240名</w:t>
            </w:r>
            <w:r>
              <w:rPr>
                <w:rFonts w:hint="eastAsia" w:ascii="Times New Roman" w:hAnsi="Times New Roman" w:eastAsia="宋体"/>
                <w:color w:val="auto"/>
                <w:highlight w:val="none"/>
                <w:lang w:eastAsia="zh-CN"/>
              </w:rPr>
              <w:t>受试者</w:t>
            </w:r>
            <w:r>
              <w:rPr>
                <w:rFonts w:hint="eastAsia" w:ascii="Times New Roman" w:hAnsi="Times New Roman" w:eastAsia="宋体"/>
                <w:color w:val="auto"/>
                <w:highlight w:val="none"/>
              </w:rPr>
              <w:t>。评估君蓓力与对照产品</w:t>
            </w:r>
            <w:r>
              <w:rPr>
                <w:rFonts w:hint="eastAsia" w:ascii="Times New Roman" w:hAnsi="Times New Roman" w:eastAsia="宋体"/>
                <w:color w:val="auto"/>
                <w:highlight w:val="none"/>
                <w:lang w:eastAsia="zh-CN"/>
              </w:rPr>
              <w:t>速熠素</w:t>
            </w:r>
            <w:r>
              <w:rPr>
                <w:rFonts w:hint="eastAsia" w:ascii="Times New Roman" w:hAnsi="Times New Roman" w:eastAsia="宋体"/>
                <w:color w:val="auto"/>
                <w:highlight w:val="none"/>
              </w:rPr>
              <w:t>相比的</w:t>
            </w:r>
            <w:r>
              <w:rPr>
                <w:rFonts w:hint="eastAsia" w:ascii="Times New Roman" w:hAnsi="Times New Roman" w:eastAsia="宋体"/>
                <w:color w:val="auto"/>
                <w:highlight w:val="none"/>
                <w:lang w:eastAsia="zh-CN"/>
              </w:rPr>
              <w:t>营养充足性</w:t>
            </w:r>
            <w:r>
              <w:rPr>
                <w:rFonts w:hint="eastAsia" w:ascii="Times New Roman" w:hAnsi="Times New Roman" w:eastAsia="宋体"/>
                <w:color w:val="auto"/>
                <w:highlight w:val="none"/>
              </w:rPr>
              <w:t>、</w:t>
            </w:r>
            <w:r>
              <w:rPr>
                <w:rFonts w:hint="eastAsia" w:ascii="Times New Roman" w:hAnsi="Times New Roman" w:eastAsia="宋体"/>
                <w:color w:val="auto"/>
                <w:highlight w:val="none"/>
                <w:lang w:eastAsia="zh-CN"/>
              </w:rPr>
              <w:t>临床安全性</w:t>
            </w:r>
            <w:r>
              <w:rPr>
                <w:rFonts w:hint="eastAsia" w:ascii="Times New Roman" w:hAnsi="Times New Roman" w:eastAsia="宋体"/>
                <w:color w:val="auto"/>
                <w:highlight w:val="none"/>
              </w:rPr>
              <w:t>及</w:t>
            </w:r>
            <w:r>
              <w:rPr>
                <w:rFonts w:hint="eastAsia" w:ascii="Times New Roman" w:hAnsi="Times New Roman" w:eastAsia="宋体"/>
                <w:color w:val="auto"/>
                <w:highlight w:val="none"/>
                <w:lang w:eastAsia="zh-CN"/>
              </w:rPr>
              <w:t>特殊医学用途临床效果</w:t>
            </w:r>
            <w:r>
              <w:rPr>
                <w:rFonts w:hint="eastAsia" w:ascii="Times New Roman" w:hAnsi="Times New Roman" w:eastAsia="宋体"/>
                <w:color w:val="auto"/>
                <w:highlight w:val="none"/>
              </w:rPr>
              <w:t>。</w:t>
            </w:r>
          </w:p>
          <w:p w14:paraId="3EA44043">
            <w:pPr>
              <w:spacing w:before="0" w:beforeLines="0"/>
              <w:ind w:firstLine="420" w:firstLineChars="200"/>
              <w:rPr>
                <w:rFonts w:hint="eastAsia" w:ascii="Times New Roman" w:hAnsi="Times New Roman" w:eastAsia="宋体"/>
                <w:color w:val="auto"/>
                <w:highlight w:val="none"/>
              </w:rPr>
            </w:pPr>
            <w:r>
              <w:rPr>
                <w:rFonts w:hint="eastAsia" w:ascii="Times New Roman" w:hAnsi="Times New Roman" w:eastAsia="宋体"/>
                <w:color w:val="auto"/>
                <w:highlight w:val="none"/>
              </w:rPr>
              <w:t>受试者于试验周期内连续服用试验产品或对照产品，试验周期为21(±1)天。</w:t>
            </w:r>
          </w:p>
          <w:p w14:paraId="3E68C6EC">
            <w:pPr>
              <w:pStyle w:val="2"/>
              <w:ind w:firstLine="420" w:firstLineChars="200"/>
              <w:rPr>
                <w:rFonts w:hint="default" w:ascii="Times New Roman" w:hAnsi="Times New Roman" w:eastAsia="宋体"/>
                <w:color w:val="auto"/>
                <w:highlight w:val="none"/>
                <w:lang w:val="en-US" w:eastAsia="zh-CN"/>
              </w:rPr>
            </w:pPr>
            <w:r>
              <w:rPr>
                <w:rFonts w:hint="eastAsia" w:ascii="Times New Roman" w:hAnsi="Times New Roman" w:eastAsia="宋体" w:cs="宋体"/>
                <w:color w:val="auto"/>
                <w:sz w:val="21"/>
                <w:szCs w:val="21"/>
                <w:highlight w:val="none"/>
                <w:lang w:val="en-US" w:eastAsia="zh-CN" w:bidi="ar"/>
              </w:rPr>
              <w:t>通过口服摄入试验产品或对照产品</w:t>
            </w:r>
            <w:r>
              <w:rPr>
                <w:rFonts w:hint="eastAsia" w:ascii="Times New Roman" w:hAnsi="Times New Roman" w:eastAsia="宋体" w:cs="宋体"/>
                <w:color w:val="auto"/>
                <w:szCs w:val="21"/>
                <w:highlight w:val="none"/>
                <w:lang w:val="en-US" w:eastAsia="zh-CN" w:bidi="ar"/>
              </w:rPr>
              <w:t>。</w:t>
            </w:r>
          </w:p>
        </w:tc>
      </w:tr>
      <w:tr w14:paraId="0E384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4632D265">
            <w:pPr>
              <w:spacing w:before="0" w:beforeLines="0"/>
              <w:jc w:val="center"/>
              <w:rPr>
                <w:rFonts w:ascii="Times New Roman" w:hAnsi="Times New Roman" w:eastAsia="宋体" w:cs="宋体"/>
                <w:b/>
                <w:bCs/>
                <w:color w:val="auto"/>
                <w:szCs w:val="21"/>
                <w:highlight w:val="none"/>
              </w:rPr>
            </w:pPr>
            <w:r>
              <w:rPr>
                <w:rFonts w:hint="eastAsia" w:ascii="Times New Roman" w:hAnsi="Times New Roman" w:eastAsia="宋体" w:cs="宋体"/>
                <w:b/>
                <w:bCs/>
                <w:color w:val="auto"/>
                <w:szCs w:val="21"/>
                <w:highlight w:val="none"/>
                <w:lang w:eastAsia="zh-CN" w:bidi="ar"/>
              </w:rPr>
              <w:t>试验</w:t>
            </w:r>
            <w:r>
              <w:rPr>
                <w:rFonts w:hint="eastAsia" w:ascii="Times New Roman" w:hAnsi="Times New Roman" w:eastAsia="宋体" w:cs="宋体"/>
                <w:b/>
                <w:bCs/>
                <w:color w:val="auto"/>
                <w:szCs w:val="21"/>
                <w:highlight w:val="none"/>
                <w:lang w:bidi="ar"/>
              </w:rPr>
              <w:t>人群</w:t>
            </w:r>
          </w:p>
        </w:tc>
        <w:tc>
          <w:tcPr>
            <w:tcW w:w="6886" w:type="dxa"/>
            <w:tcBorders>
              <w:top w:val="single" w:color="auto" w:sz="4" w:space="0"/>
              <w:left w:val="nil"/>
              <w:bottom w:val="single" w:color="auto" w:sz="4" w:space="0"/>
              <w:right w:val="single" w:color="auto" w:sz="4" w:space="0"/>
            </w:tcBorders>
            <w:shd w:val="clear" w:color="auto" w:fill="auto"/>
          </w:tcPr>
          <w:p w14:paraId="55BB99FE">
            <w:pPr>
              <w:spacing w:before="0" w:beforeLines="0"/>
              <w:ind w:firstLine="420" w:firstLineChars="200"/>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lang w:bidi="ar"/>
              </w:rPr>
              <w:t>10岁以上行肿瘤根治术的结直肠癌患者，术后具有医学营养需求，能够接受口服营养补充。</w:t>
            </w:r>
          </w:p>
        </w:tc>
      </w:tr>
      <w:tr w14:paraId="77AB0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7007C4CF">
            <w:pPr>
              <w:spacing w:before="0" w:beforeLines="0"/>
              <w:jc w:val="center"/>
              <w:rPr>
                <w:rFonts w:ascii="Times New Roman" w:hAnsi="Times New Roman" w:eastAsia="宋体" w:cs="宋体"/>
                <w:b/>
                <w:bCs/>
                <w:color w:val="auto"/>
                <w:szCs w:val="21"/>
                <w:highlight w:val="none"/>
              </w:rPr>
            </w:pPr>
            <w:r>
              <w:rPr>
                <w:rFonts w:hint="eastAsia" w:ascii="Times New Roman" w:hAnsi="Times New Roman" w:eastAsia="宋体" w:cs="宋体"/>
                <w:b/>
                <w:bCs/>
                <w:color w:val="auto"/>
                <w:szCs w:val="21"/>
                <w:highlight w:val="none"/>
                <w:lang w:bidi="ar"/>
              </w:rPr>
              <w:t>纳入标准</w:t>
            </w:r>
          </w:p>
        </w:tc>
        <w:tc>
          <w:tcPr>
            <w:tcW w:w="6886" w:type="dxa"/>
            <w:tcBorders>
              <w:top w:val="single" w:color="auto" w:sz="4" w:space="0"/>
              <w:left w:val="nil"/>
              <w:bottom w:val="single" w:color="auto" w:sz="4" w:space="0"/>
              <w:right w:val="single" w:color="auto" w:sz="4" w:space="0"/>
            </w:tcBorders>
            <w:shd w:val="clear" w:color="auto" w:fill="auto"/>
            <w:vAlign w:val="center"/>
          </w:tcPr>
          <w:p w14:paraId="07F93A52">
            <w:pPr>
              <w:pStyle w:val="22"/>
              <w:widowControl/>
              <w:numPr>
                <w:ilvl w:val="0"/>
                <w:numId w:val="4"/>
              </w:numPr>
              <w:spacing w:before="0" w:beforeLines="0"/>
              <w:ind w:firstLineChars="0"/>
              <w:rPr>
                <w:rFonts w:hint="eastAsia"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lang w:val="en-US" w:eastAsia="zh-CN"/>
              </w:rPr>
              <w:t>10周岁≤</w:t>
            </w:r>
            <w:r>
              <w:rPr>
                <w:rFonts w:hint="eastAsia" w:ascii="Times New Roman" w:hAnsi="Times New Roman" w:eastAsia="宋体"/>
                <w:color w:val="auto"/>
                <w:sz w:val="21"/>
                <w:szCs w:val="21"/>
                <w:highlight w:val="none"/>
              </w:rPr>
              <w:t>年龄</w:t>
            </w:r>
            <w:r>
              <w:rPr>
                <w:rFonts w:hint="eastAsia" w:ascii="Times New Roman" w:hAnsi="Times New Roman" w:eastAsia="宋体"/>
                <w:color w:val="auto"/>
                <w:sz w:val="21"/>
                <w:szCs w:val="21"/>
                <w:highlight w:val="none"/>
                <w:lang w:val="en-US" w:eastAsia="zh-CN"/>
              </w:rPr>
              <w:t>≤80周岁</w:t>
            </w:r>
            <w:r>
              <w:rPr>
                <w:rFonts w:hint="eastAsia" w:ascii="Times New Roman" w:hAnsi="Times New Roman" w:eastAsia="宋体"/>
                <w:color w:val="auto"/>
                <w:sz w:val="21"/>
                <w:szCs w:val="21"/>
                <w:highlight w:val="none"/>
              </w:rPr>
              <w:t>，</w:t>
            </w:r>
            <w:r>
              <w:rPr>
                <w:rFonts w:hint="eastAsia" w:ascii="Times New Roman" w:hAnsi="Times New Roman" w:eastAsia="宋体"/>
                <w:color w:val="auto"/>
                <w:sz w:val="21"/>
                <w:szCs w:val="21"/>
                <w:highlight w:val="none"/>
                <w:lang w:val="en-US" w:eastAsia="zh-CN"/>
              </w:rPr>
              <w:t>性别</w:t>
            </w:r>
            <w:r>
              <w:rPr>
                <w:rFonts w:hint="eastAsia" w:ascii="Times New Roman" w:hAnsi="Times New Roman" w:eastAsia="宋体"/>
                <w:color w:val="auto"/>
                <w:sz w:val="21"/>
                <w:szCs w:val="21"/>
                <w:highlight w:val="none"/>
              </w:rPr>
              <w:t>不限；</w:t>
            </w:r>
          </w:p>
          <w:p w14:paraId="30336B6A">
            <w:pPr>
              <w:pStyle w:val="22"/>
              <w:widowControl/>
              <w:numPr>
                <w:ilvl w:val="0"/>
                <w:numId w:val="4"/>
              </w:numPr>
              <w:spacing w:before="0" w:beforeLines="0"/>
              <w:ind w:firstLineChars="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lang w:eastAsia="zh-CN"/>
              </w:rPr>
              <w:t>受试者经组织学或细胞学诊断为结直肠癌</w:t>
            </w:r>
            <w:r>
              <w:rPr>
                <w:rFonts w:hint="eastAsia" w:ascii="Times New Roman" w:hAnsi="Times New Roman" w:eastAsia="宋体"/>
                <w:color w:val="auto"/>
                <w:sz w:val="21"/>
                <w:szCs w:val="21"/>
                <w:highlight w:val="none"/>
                <w:lang w:val="en-US" w:eastAsia="zh-CN"/>
              </w:rPr>
              <w:t>的患者</w:t>
            </w:r>
            <w:r>
              <w:rPr>
                <w:rFonts w:hint="eastAsia" w:ascii="Times New Roman" w:hAnsi="Times New Roman" w:eastAsia="宋体"/>
                <w:color w:val="auto"/>
                <w:sz w:val="21"/>
                <w:szCs w:val="21"/>
                <w:highlight w:val="none"/>
                <w:lang w:eastAsia="zh-CN"/>
              </w:rPr>
              <w:t>，行根治切除术，术后病情稳定，具有医学营养需求，且能够接受口服营养补充者；</w:t>
            </w:r>
          </w:p>
          <w:p w14:paraId="1E8D42E3">
            <w:pPr>
              <w:pStyle w:val="22"/>
              <w:widowControl/>
              <w:numPr>
                <w:ilvl w:val="0"/>
                <w:numId w:val="4"/>
              </w:numPr>
              <w:spacing w:before="0" w:beforeLines="0"/>
              <w:ind w:firstLineChars="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NRS2002量表营养风险评分总分≥3分，或预计无法经口进食达到能量推荐摄入量；</w:t>
            </w:r>
          </w:p>
          <w:p w14:paraId="74BB0E09">
            <w:pPr>
              <w:pStyle w:val="22"/>
              <w:widowControl/>
              <w:numPr>
                <w:ilvl w:val="0"/>
                <w:numId w:val="4"/>
              </w:numPr>
              <w:spacing w:before="0" w:beforeLines="0"/>
              <w:ind w:firstLineChars="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受试者经实验室检查，符合下列标准：</w:t>
            </w:r>
          </w:p>
          <w:p w14:paraId="1727FD19">
            <w:pPr>
              <w:pStyle w:val="22"/>
              <w:widowControl/>
              <w:spacing w:before="0" w:beforeLines="0"/>
              <w:ind w:left="0" w:firstLine="420" w:firstLineChars="20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① 血常规：血红蛋白≥</w:t>
            </w:r>
            <w:r>
              <w:rPr>
                <w:rFonts w:hint="eastAsia" w:ascii="Times New Roman" w:hAnsi="Times New Roman" w:eastAsia="宋体"/>
                <w:color w:val="auto"/>
                <w:sz w:val="21"/>
                <w:szCs w:val="21"/>
                <w:highlight w:val="none"/>
                <w:lang w:val="en-US" w:eastAsia="zh-CN"/>
              </w:rPr>
              <w:t>8</w:t>
            </w:r>
            <w:r>
              <w:rPr>
                <w:rFonts w:hint="eastAsia" w:ascii="Times New Roman" w:hAnsi="Times New Roman" w:eastAsia="宋体"/>
                <w:color w:val="auto"/>
                <w:sz w:val="21"/>
                <w:szCs w:val="21"/>
                <w:highlight w:val="none"/>
              </w:rPr>
              <w:t>0g/L；</w:t>
            </w:r>
          </w:p>
          <w:p w14:paraId="1C7A0A81">
            <w:pPr>
              <w:pStyle w:val="22"/>
              <w:widowControl/>
              <w:spacing w:before="0" w:beforeLines="0"/>
              <w:ind w:left="0" w:firstLine="420" w:firstLineChars="20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② 白蛋白≥2.5g/dL；</w:t>
            </w:r>
          </w:p>
          <w:p w14:paraId="60F69843">
            <w:pPr>
              <w:pStyle w:val="22"/>
              <w:widowControl/>
              <w:numPr>
                <w:ilvl w:val="0"/>
                <w:numId w:val="4"/>
              </w:numPr>
              <w:spacing w:before="0" w:beforeLines="0"/>
              <w:ind w:firstLineChars="0"/>
              <w:rPr>
                <w:rFonts w:ascii="Times New Roman" w:hAnsi="Times New Roman" w:eastAsia="宋体"/>
                <w:color w:val="auto"/>
                <w:sz w:val="21"/>
                <w:szCs w:val="21"/>
                <w:highlight w:val="none"/>
              </w:rPr>
            </w:pPr>
            <w:r>
              <w:rPr>
                <w:rFonts w:hint="eastAsia" w:ascii="Times New Roman" w:hAnsi="Times New Roman" w:eastAsia="宋体" w:cs="宋体"/>
                <w:color w:val="auto"/>
                <w:kern w:val="2"/>
                <w:sz w:val="21"/>
                <w:szCs w:val="21"/>
                <w:highlight w:val="none"/>
                <w:lang w:val="en-US" w:eastAsia="zh-CN" w:bidi="ar-SA"/>
              </w:rPr>
              <w:t>体质指数（BMI）≤</w:t>
            </w:r>
            <w:r>
              <w:rPr>
                <w:rFonts w:hint="eastAsia" w:ascii="Times New Roman" w:hAnsi="Times New Roman" w:eastAsia="宋体" w:cs="宋体"/>
                <w:color w:val="0000FF"/>
                <w:kern w:val="2"/>
                <w:sz w:val="21"/>
                <w:szCs w:val="21"/>
                <w:highlight w:val="yellow"/>
                <w:lang w:val="en-US" w:eastAsia="zh-CN" w:bidi="ar-SA"/>
              </w:rPr>
              <w:t>28.0</w:t>
            </w:r>
            <w:r>
              <w:rPr>
                <w:rFonts w:hint="eastAsia" w:ascii="Times New Roman" w:hAnsi="Times New Roman" w:eastAsia="宋体" w:cs="宋体"/>
                <w:color w:val="auto"/>
                <w:kern w:val="2"/>
                <w:sz w:val="21"/>
                <w:szCs w:val="21"/>
                <w:highlight w:val="none"/>
                <w:lang w:val="en-US" w:eastAsia="zh-CN" w:bidi="ar-SA"/>
              </w:rPr>
              <w:t>kg/m</w:t>
            </w:r>
            <w:r>
              <w:rPr>
                <w:rFonts w:hint="eastAsia" w:ascii="Times New Roman" w:hAnsi="Times New Roman" w:eastAsia="宋体" w:cs="宋体"/>
                <w:color w:val="auto"/>
                <w:kern w:val="2"/>
                <w:sz w:val="21"/>
                <w:szCs w:val="21"/>
                <w:highlight w:val="none"/>
                <w:vertAlign w:val="superscript"/>
                <w:lang w:val="en-US" w:eastAsia="zh-CN" w:bidi="ar-SA"/>
              </w:rPr>
              <w:t>2</w:t>
            </w:r>
            <w:r>
              <w:rPr>
                <w:rFonts w:hint="eastAsia" w:ascii="Times New Roman" w:hAnsi="Times New Roman" w:eastAsia="宋体"/>
                <w:color w:val="auto"/>
                <w:sz w:val="21"/>
                <w:szCs w:val="21"/>
                <w:highlight w:val="none"/>
              </w:rPr>
              <w:t>；</w:t>
            </w:r>
          </w:p>
          <w:p w14:paraId="07543D5A">
            <w:pPr>
              <w:pStyle w:val="22"/>
              <w:widowControl/>
              <w:numPr>
                <w:ilvl w:val="0"/>
                <w:numId w:val="4"/>
              </w:numPr>
              <w:spacing w:before="0" w:beforeLines="0"/>
              <w:ind w:firstLineChars="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筛选前1周内未输过白蛋白、球蛋白等血液制品；</w:t>
            </w:r>
          </w:p>
          <w:p w14:paraId="3DC2B594">
            <w:pPr>
              <w:pStyle w:val="22"/>
              <w:widowControl/>
              <w:numPr>
                <w:ilvl w:val="0"/>
                <w:numId w:val="4"/>
              </w:numPr>
              <w:spacing w:before="0" w:beforeLines="0"/>
              <w:ind w:firstLineChars="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预期生存期≥3个月；</w:t>
            </w:r>
          </w:p>
          <w:p w14:paraId="0446887A">
            <w:pPr>
              <w:pStyle w:val="22"/>
              <w:widowControl/>
              <w:numPr>
                <w:ilvl w:val="0"/>
                <w:numId w:val="4"/>
              </w:numPr>
              <w:spacing w:before="0" w:beforeLines="0"/>
              <w:ind w:firstLineChars="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自愿参加</w:t>
            </w:r>
            <w:r>
              <w:rPr>
                <w:rFonts w:hint="eastAsia" w:ascii="Times New Roman" w:hAnsi="Times New Roman" w:eastAsia="宋体"/>
                <w:color w:val="auto"/>
                <w:sz w:val="21"/>
                <w:szCs w:val="21"/>
                <w:highlight w:val="none"/>
                <w:lang w:eastAsia="zh-CN"/>
              </w:rPr>
              <w:t>临床试验</w:t>
            </w:r>
            <w:r>
              <w:rPr>
                <w:rFonts w:hint="eastAsia" w:ascii="Times New Roman" w:hAnsi="Times New Roman" w:eastAsia="宋体"/>
                <w:color w:val="auto"/>
                <w:sz w:val="21"/>
                <w:szCs w:val="21"/>
                <w:highlight w:val="none"/>
              </w:rPr>
              <w:t>，并签署知情同意书者；</w:t>
            </w:r>
          </w:p>
          <w:p w14:paraId="3A138434">
            <w:pPr>
              <w:pStyle w:val="22"/>
              <w:widowControl/>
              <w:spacing w:before="0" w:beforeLines="0"/>
              <w:ind w:left="0" w:firstLine="420" w:firstLineChars="200"/>
              <w:rPr>
                <w:rFonts w:ascii="Times New Roman" w:hAnsi="Times New Roman" w:eastAsia="宋体"/>
                <w:color w:val="auto"/>
                <w:kern w:val="2"/>
                <w:sz w:val="21"/>
                <w:szCs w:val="21"/>
                <w:highlight w:val="none"/>
              </w:rPr>
            </w:pPr>
            <w:r>
              <w:rPr>
                <w:rFonts w:hint="eastAsia" w:ascii="Times New Roman" w:hAnsi="Times New Roman" w:eastAsia="宋体"/>
                <w:color w:val="auto"/>
                <w:sz w:val="21"/>
                <w:szCs w:val="21"/>
                <w:highlight w:val="none"/>
              </w:rPr>
              <w:t>需同时满足以上全部条件方可入选。</w:t>
            </w:r>
          </w:p>
        </w:tc>
      </w:tr>
      <w:tr w14:paraId="1A90B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6317E1AC">
            <w:pPr>
              <w:spacing w:before="0" w:beforeLines="0"/>
              <w:jc w:val="center"/>
              <w:rPr>
                <w:rFonts w:ascii="Times New Roman" w:hAnsi="Times New Roman" w:eastAsia="宋体" w:cs="宋体"/>
                <w:b/>
                <w:bCs/>
                <w:color w:val="auto"/>
                <w:szCs w:val="21"/>
                <w:highlight w:val="none"/>
              </w:rPr>
            </w:pPr>
            <w:r>
              <w:rPr>
                <w:rFonts w:hint="eastAsia" w:ascii="Times New Roman" w:hAnsi="Times New Roman" w:eastAsia="宋体" w:cs="宋体"/>
                <w:b/>
                <w:bCs/>
                <w:color w:val="auto"/>
                <w:szCs w:val="21"/>
                <w:highlight w:val="none"/>
                <w:lang w:bidi="ar"/>
              </w:rPr>
              <w:t>排除标准</w:t>
            </w:r>
          </w:p>
        </w:tc>
        <w:tc>
          <w:tcPr>
            <w:tcW w:w="6886" w:type="dxa"/>
            <w:tcBorders>
              <w:top w:val="single" w:color="auto" w:sz="4" w:space="0"/>
              <w:left w:val="nil"/>
              <w:bottom w:val="single" w:color="auto" w:sz="4" w:space="0"/>
              <w:right w:val="single" w:color="auto" w:sz="4" w:space="0"/>
            </w:tcBorders>
            <w:shd w:val="clear" w:color="auto" w:fill="auto"/>
          </w:tcPr>
          <w:p w14:paraId="5DDABE49">
            <w:pPr>
              <w:pStyle w:val="22"/>
              <w:widowControl/>
              <w:numPr>
                <w:ilvl w:val="0"/>
                <w:numId w:val="5"/>
              </w:numPr>
              <w:spacing w:before="0" w:beforeLines="0"/>
              <w:ind w:firstLineChars="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不需要人工营养支持；</w:t>
            </w:r>
          </w:p>
          <w:p w14:paraId="45C419C4">
            <w:pPr>
              <w:pStyle w:val="22"/>
              <w:widowControl/>
              <w:numPr>
                <w:ilvl w:val="0"/>
                <w:numId w:val="5"/>
              </w:numPr>
              <w:spacing w:before="0" w:beforeLines="0"/>
              <w:ind w:firstLineChars="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同时进行肠外营养；</w:t>
            </w:r>
          </w:p>
          <w:p w14:paraId="247AEE54">
            <w:pPr>
              <w:pStyle w:val="22"/>
              <w:widowControl/>
              <w:numPr>
                <w:ilvl w:val="0"/>
                <w:numId w:val="5"/>
              </w:numPr>
              <w:spacing w:before="0" w:beforeLines="0"/>
              <w:ind w:firstLineChars="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所有不适于用肠内营养的患者，如有消化道瘘、消化道活</w:t>
            </w:r>
            <w:r>
              <w:rPr>
                <w:rFonts w:hint="eastAsia" w:ascii="Times New Roman" w:hAnsi="Times New Roman" w:eastAsia="宋体"/>
                <w:color w:val="auto"/>
                <w:sz w:val="21"/>
                <w:szCs w:val="21"/>
                <w:highlight w:val="none"/>
                <w:lang w:val="en-US" w:eastAsia="zh-CN"/>
              </w:rPr>
              <w:t>动</w:t>
            </w:r>
            <w:r>
              <w:rPr>
                <w:rFonts w:hint="eastAsia" w:ascii="Times New Roman" w:hAnsi="Times New Roman" w:eastAsia="宋体"/>
                <w:color w:val="auto"/>
                <w:sz w:val="21"/>
                <w:szCs w:val="21"/>
                <w:highlight w:val="none"/>
              </w:rPr>
              <w:t>性出血、完全肠梗阻、严重腹泻等严重消化吸收功能障碍；</w:t>
            </w:r>
          </w:p>
          <w:p w14:paraId="63297008">
            <w:pPr>
              <w:pStyle w:val="22"/>
              <w:widowControl/>
              <w:numPr>
                <w:ilvl w:val="0"/>
                <w:numId w:val="5"/>
              </w:numPr>
              <w:spacing w:before="0" w:beforeLines="0"/>
              <w:ind w:firstLineChars="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严重肝肾功能不全者（</w:t>
            </w:r>
            <w:r>
              <w:rPr>
                <w:rFonts w:hint="eastAsia" w:ascii="Times New Roman" w:hAnsi="Times New Roman" w:eastAsia="宋体"/>
                <w:color w:val="auto"/>
                <w:sz w:val="21"/>
                <w:szCs w:val="21"/>
                <w:highlight w:val="none"/>
                <w:lang w:eastAsia="zh-CN"/>
              </w:rPr>
              <w:t>谷丙转氨酶</w:t>
            </w:r>
            <w:r>
              <w:rPr>
                <w:rFonts w:hint="eastAsia" w:ascii="Times New Roman" w:hAnsi="Times New Roman" w:eastAsia="宋体"/>
                <w:color w:val="auto"/>
                <w:sz w:val="21"/>
                <w:szCs w:val="21"/>
                <w:highlight w:val="none"/>
              </w:rPr>
              <w:t>≥2</w:t>
            </w:r>
            <w:r>
              <w:rPr>
                <w:rFonts w:hint="eastAsia" w:ascii="Times New Roman" w:hAnsi="Times New Roman" w:eastAsia="宋体"/>
                <w:color w:val="auto"/>
                <w:sz w:val="21"/>
                <w:szCs w:val="21"/>
                <w:highlight w:val="none"/>
                <w:lang w:val="en-US" w:eastAsia="zh-CN"/>
              </w:rPr>
              <w:t>.5</w:t>
            </w:r>
            <w:r>
              <w:rPr>
                <w:rFonts w:hint="eastAsia" w:ascii="Times New Roman" w:hAnsi="Times New Roman" w:eastAsia="宋体"/>
                <w:color w:val="auto"/>
                <w:sz w:val="21"/>
                <w:szCs w:val="21"/>
                <w:highlight w:val="none"/>
              </w:rPr>
              <w:t>倍正常值上限；总胆红素≥</w:t>
            </w:r>
            <w:r>
              <w:rPr>
                <w:rFonts w:hint="eastAsia" w:ascii="Times New Roman" w:hAnsi="Times New Roman" w:eastAsia="宋体"/>
                <w:color w:val="auto"/>
                <w:sz w:val="21"/>
                <w:szCs w:val="21"/>
                <w:highlight w:val="none"/>
                <w:lang w:val="en-US" w:eastAsia="zh-CN"/>
              </w:rPr>
              <w:t>1.5</w:t>
            </w:r>
            <w:r>
              <w:rPr>
                <w:rFonts w:hint="eastAsia" w:ascii="Times New Roman" w:hAnsi="Times New Roman" w:eastAsia="宋体"/>
                <w:color w:val="auto"/>
                <w:sz w:val="21"/>
                <w:szCs w:val="21"/>
                <w:highlight w:val="none"/>
              </w:rPr>
              <w:t>倍正常值上限；肌酐≥</w:t>
            </w:r>
            <w:r>
              <w:rPr>
                <w:rFonts w:hint="eastAsia" w:ascii="Times New Roman" w:hAnsi="Times New Roman" w:eastAsia="宋体"/>
                <w:color w:val="auto"/>
                <w:sz w:val="21"/>
                <w:szCs w:val="21"/>
                <w:highlight w:val="none"/>
                <w:lang w:val="en-US" w:eastAsia="zh-CN"/>
              </w:rPr>
              <w:t>1.5</w:t>
            </w:r>
            <w:r>
              <w:rPr>
                <w:rFonts w:hint="eastAsia" w:ascii="Times New Roman" w:hAnsi="Times New Roman" w:eastAsia="宋体"/>
                <w:color w:val="auto"/>
                <w:sz w:val="21"/>
                <w:szCs w:val="21"/>
                <w:highlight w:val="none"/>
              </w:rPr>
              <w:t>倍正常值上限）；</w:t>
            </w:r>
          </w:p>
          <w:p w14:paraId="27F61897">
            <w:pPr>
              <w:pStyle w:val="22"/>
              <w:widowControl/>
              <w:numPr>
                <w:ilvl w:val="0"/>
                <w:numId w:val="5"/>
              </w:numPr>
              <w:spacing w:before="0" w:beforeLines="0"/>
              <w:ind w:firstLineChars="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lang w:val="en-US" w:eastAsia="zh-CN"/>
              </w:rPr>
              <w:t>确诊糖尿病的患者</w:t>
            </w:r>
            <w:r>
              <w:rPr>
                <w:rFonts w:hint="eastAsia" w:ascii="Times New Roman" w:hAnsi="Times New Roman" w:eastAsia="宋体"/>
                <w:color w:val="auto"/>
                <w:sz w:val="21"/>
                <w:szCs w:val="21"/>
                <w:highlight w:val="none"/>
              </w:rPr>
              <w:t>；</w:t>
            </w:r>
          </w:p>
          <w:p w14:paraId="5CB8D624">
            <w:pPr>
              <w:pStyle w:val="22"/>
              <w:widowControl/>
              <w:numPr>
                <w:ilvl w:val="0"/>
                <w:numId w:val="5"/>
              </w:numPr>
              <w:spacing w:before="0" w:beforeLines="0"/>
              <w:ind w:firstLineChars="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lang w:eastAsia="zh-CN"/>
              </w:rPr>
              <w:t>受试者</w:t>
            </w:r>
            <w:r>
              <w:rPr>
                <w:rFonts w:hint="eastAsia" w:ascii="Times New Roman" w:hAnsi="Times New Roman" w:eastAsia="宋体"/>
                <w:color w:val="auto"/>
                <w:sz w:val="21"/>
                <w:szCs w:val="21"/>
                <w:highlight w:val="none"/>
              </w:rPr>
              <w:t>正在使用含Omega-3脂肪酸的脂肪乳，谷氨酰胺、糖皮质激素、甲状腺素</w:t>
            </w:r>
            <w:r>
              <w:rPr>
                <w:rFonts w:hint="eastAsia" w:ascii="Times New Roman" w:hAnsi="Times New Roman" w:eastAsia="宋体"/>
                <w:color w:val="auto"/>
                <w:sz w:val="21"/>
                <w:szCs w:val="21"/>
                <w:highlight w:val="none"/>
                <w:lang w:eastAsia="zh-CN"/>
              </w:rPr>
              <w:t>（</w:t>
            </w:r>
            <w:r>
              <w:rPr>
                <w:rFonts w:hint="eastAsia" w:ascii="Times New Roman" w:hAnsi="Times New Roman" w:eastAsia="宋体"/>
                <w:color w:val="auto"/>
                <w:sz w:val="21"/>
                <w:szCs w:val="21"/>
                <w:highlight w:val="none"/>
                <w:lang w:val="en-US" w:eastAsia="zh-CN"/>
              </w:rPr>
              <w:t>服用时间超过3个月者除外</w:t>
            </w:r>
            <w:r>
              <w:rPr>
                <w:rFonts w:hint="eastAsia" w:ascii="Times New Roman" w:hAnsi="Times New Roman" w:eastAsia="宋体"/>
                <w:color w:val="auto"/>
                <w:sz w:val="21"/>
                <w:szCs w:val="21"/>
                <w:highlight w:val="none"/>
                <w:lang w:eastAsia="zh-CN"/>
              </w:rPr>
              <w:t>）</w:t>
            </w:r>
            <w:r>
              <w:rPr>
                <w:rFonts w:hint="eastAsia" w:ascii="Times New Roman" w:hAnsi="Times New Roman" w:eastAsia="宋体"/>
                <w:color w:val="auto"/>
                <w:sz w:val="21"/>
                <w:szCs w:val="21"/>
                <w:highlight w:val="none"/>
              </w:rPr>
              <w:t>、生长激素、抗肿瘤坏死因子生物制剂；</w:t>
            </w:r>
          </w:p>
          <w:p w14:paraId="71C410C9">
            <w:pPr>
              <w:pStyle w:val="22"/>
              <w:widowControl/>
              <w:numPr>
                <w:ilvl w:val="0"/>
                <w:numId w:val="5"/>
              </w:numPr>
              <w:spacing w:before="0" w:beforeLines="0"/>
              <w:ind w:firstLineChars="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曾长期接受全身类固醇治疗者（注：短期使用者停药&gt;2周可入选）；</w:t>
            </w:r>
          </w:p>
          <w:p w14:paraId="14E95DF8">
            <w:pPr>
              <w:pStyle w:val="22"/>
              <w:widowControl/>
              <w:numPr>
                <w:ilvl w:val="0"/>
                <w:numId w:val="5"/>
              </w:numPr>
              <w:spacing w:before="0" w:beforeLines="0"/>
              <w:ind w:firstLineChars="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入组前4周内参加其它干预性</w:t>
            </w:r>
            <w:r>
              <w:rPr>
                <w:rFonts w:hint="eastAsia" w:ascii="Times New Roman" w:hAnsi="Times New Roman" w:eastAsia="宋体"/>
                <w:color w:val="auto"/>
                <w:sz w:val="21"/>
                <w:szCs w:val="21"/>
                <w:highlight w:val="none"/>
                <w:lang w:eastAsia="zh-CN"/>
              </w:rPr>
              <w:t>临床试验</w:t>
            </w:r>
            <w:r>
              <w:rPr>
                <w:rFonts w:hint="eastAsia" w:ascii="Times New Roman" w:hAnsi="Times New Roman" w:eastAsia="宋体"/>
                <w:color w:val="auto"/>
                <w:sz w:val="21"/>
                <w:szCs w:val="21"/>
                <w:highlight w:val="none"/>
              </w:rPr>
              <w:t>（含药品、营养制剂、医疗器械等）；</w:t>
            </w:r>
          </w:p>
          <w:p w14:paraId="5F7F4B86">
            <w:pPr>
              <w:pStyle w:val="22"/>
              <w:widowControl/>
              <w:numPr>
                <w:ilvl w:val="0"/>
                <w:numId w:val="5"/>
              </w:numPr>
              <w:spacing w:before="0" w:beforeLines="0"/>
              <w:ind w:firstLineChars="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入组</w:t>
            </w:r>
            <w:r>
              <w:rPr>
                <w:rFonts w:ascii="Times New Roman" w:hAnsi="Times New Roman" w:eastAsia="宋体"/>
                <w:color w:val="auto"/>
                <w:sz w:val="21"/>
                <w:szCs w:val="21"/>
                <w:highlight w:val="none"/>
              </w:rPr>
              <w:t>前</w:t>
            </w:r>
            <w:r>
              <w:rPr>
                <w:rFonts w:hint="eastAsia" w:ascii="Times New Roman" w:hAnsi="Times New Roman" w:eastAsia="宋体"/>
                <w:color w:val="auto"/>
                <w:sz w:val="21"/>
                <w:szCs w:val="21"/>
                <w:highlight w:val="none"/>
                <w:lang w:val="en-US" w:eastAsia="zh-CN"/>
              </w:rPr>
              <w:t>3</w:t>
            </w:r>
            <w:r>
              <w:rPr>
                <w:rFonts w:hint="eastAsia" w:ascii="Times New Roman" w:hAnsi="Times New Roman" w:eastAsia="宋体"/>
                <w:color w:val="auto"/>
                <w:sz w:val="21"/>
                <w:szCs w:val="21"/>
                <w:highlight w:val="none"/>
              </w:rPr>
              <w:t>天</w:t>
            </w:r>
            <w:r>
              <w:rPr>
                <w:rFonts w:ascii="Times New Roman" w:hAnsi="Times New Roman" w:eastAsia="宋体"/>
                <w:color w:val="auto"/>
                <w:sz w:val="21"/>
                <w:szCs w:val="21"/>
                <w:highlight w:val="none"/>
              </w:rPr>
              <w:t>服用其他肠内营养制剂；</w:t>
            </w:r>
          </w:p>
          <w:p w14:paraId="1BBE23E8">
            <w:pPr>
              <w:pStyle w:val="22"/>
              <w:widowControl/>
              <w:numPr>
                <w:ilvl w:val="0"/>
                <w:numId w:val="5"/>
              </w:numPr>
              <w:spacing w:before="0" w:beforeLines="0"/>
              <w:ind w:firstLineChars="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合并其他严重临床症状或合并症，可能危及</w:t>
            </w:r>
            <w:r>
              <w:rPr>
                <w:rFonts w:hint="eastAsia" w:ascii="Times New Roman" w:hAnsi="Times New Roman" w:eastAsia="宋体"/>
                <w:color w:val="auto"/>
                <w:sz w:val="21"/>
                <w:szCs w:val="21"/>
                <w:highlight w:val="none"/>
                <w:lang w:eastAsia="zh-CN"/>
              </w:rPr>
              <w:t>试验</w:t>
            </w:r>
            <w:r>
              <w:rPr>
                <w:rFonts w:hint="eastAsia" w:ascii="Times New Roman" w:hAnsi="Times New Roman" w:eastAsia="宋体"/>
                <w:color w:val="auto"/>
                <w:sz w:val="21"/>
                <w:szCs w:val="21"/>
                <w:highlight w:val="none"/>
              </w:rPr>
              <w:t>的开展及随访；</w:t>
            </w:r>
          </w:p>
          <w:p w14:paraId="06452319">
            <w:pPr>
              <w:pStyle w:val="22"/>
              <w:widowControl/>
              <w:numPr>
                <w:ilvl w:val="0"/>
                <w:numId w:val="5"/>
              </w:numPr>
              <w:spacing w:before="0" w:beforeLines="0"/>
              <w:ind w:firstLineChars="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未受控制的心理疾病；</w:t>
            </w:r>
          </w:p>
          <w:p w14:paraId="07F34016">
            <w:pPr>
              <w:pStyle w:val="22"/>
              <w:widowControl/>
              <w:numPr>
                <w:ilvl w:val="0"/>
                <w:numId w:val="5"/>
              </w:numPr>
              <w:spacing w:before="0" w:beforeLines="0"/>
              <w:ind w:firstLineChars="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妊娠妇女、准备妊娠的妇女及其伴侣、哺乳期妇女；</w:t>
            </w:r>
          </w:p>
          <w:p w14:paraId="2EE3E7B1">
            <w:pPr>
              <w:pStyle w:val="22"/>
              <w:widowControl/>
              <w:numPr>
                <w:ilvl w:val="0"/>
                <w:numId w:val="5"/>
              </w:numPr>
              <w:spacing w:before="0" w:beforeLines="0"/>
              <w:ind w:firstLineChars="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依从性差或者</w:t>
            </w:r>
            <w:r>
              <w:rPr>
                <w:rFonts w:hint="eastAsia" w:ascii="Times New Roman" w:hAnsi="Times New Roman" w:eastAsia="宋体"/>
                <w:color w:val="auto"/>
                <w:sz w:val="21"/>
                <w:szCs w:val="21"/>
                <w:highlight w:val="none"/>
                <w:lang w:eastAsia="zh-CN"/>
              </w:rPr>
              <w:t>研究者</w:t>
            </w:r>
            <w:r>
              <w:rPr>
                <w:rFonts w:hint="eastAsia" w:ascii="Times New Roman" w:hAnsi="Times New Roman" w:eastAsia="宋体"/>
                <w:color w:val="auto"/>
                <w:sz w:val="21"/>
                <w:szCs w:val="21"/>
                <w:highlight w:val="none"/>
              </w:rPr>
              <w:t>认为不适合参加本</w:t>
            </w:r>
            <w:r>
              <w:rPr>
                <w:rFonts w:hint="eastAsia" w:ascii="Times New Roman" w:hAnsi="Times New Roman" w:eastAsia="宋体"/>
                <w:color w:val="auto"/>
                <w:sz w:val="21"/>
                <w:szCs w:val="21"/>
                <w:highlight w:val="none"/>
                <w:lang w:eastAsia="zh-CN"/>
              </w:rPr>
              <w:t>试验</w:t>
            </w:r>
            <w:r>
              <w:rPr>
                <w:rFonts w:hint="eastAsia" w:ascii="Times New Roman" w:hAnsi="Times New Roman" w:eastAsia="宋体"/>
                <w:color w:val="auto"/>
                <w:sz w:val="21"/>
                <w:szCs w:val="21"/>
                <w:highlight w:val="none"/>
              </w:rPr>
              <w:t>的</w:t>
            </w:r>
            <w:r>
              <w:rPr>
                <w:rFonts w:hint="eastAsia" w:ascii="Times New Roman" w:hAnsi="Times New Roman" w:eastAsia="宋体"/>
                <w:color w:val="auto"/>
                <w:sz w:val="21"/>
                <w:szCs w:val="21"/>
                <w:highlight w:val="none"/>
                <w:lang w:eastAsia="zh-CN"/>
              </w:rPr>
              <w:t>受试者</w:t>
            </w:r>
            <w:r>
              <w:rPr>
                <w:rFonts w:hint="eastAsia" w:ascii="Times New Roman" w:hAnsi="Times New Roman" w:eastAsia="宋体"/>
                <w:color w:val="auto"/>
                <w:sz w:val="21"/>
                <w:szCs w:val="21"/>
                <w:highlight w:val="none"/>
              </w:rPr>
              <w:t>；</w:t>
            </w:r>
          </w:p>
          <w:p w14:paraId="38BC2430">
            <w:pPr>
              <w:pStyle w:val="22"/>
              <w:widowControl/>
              <w:spacing w:before="0" w:beforeLines="0"/>
              <w:ind w:left="105" w:leftChars="50" w:firstLine="315" w:firstLineChars="150"/>
              <w:rPr>
                <w:rFonts w:ascii="Times New Roman" w:hAnsi="Times New Roman" w:eastAsia="宋体"/>
                <w:color w:val="auto"/>
                <w:kern w:val="2"/>
                <w:sz w:val="21"/>
                <w:szCs w:val="21"/>
                <w:highlight w:val="none"/>
              </w:rPr>
            </w:pPr>
            <w:r>
              <w:rPr>
                <w:rFonts w:hint="eastAsia" w:ascii="Times New Roman" w:hAnsi="Times New Roman" w:eastAsia="宋体"/>
                <w:color w:val="auto"/>
                <w:sz w:val="21"/>
                <w:szCs w:val="21"/>
                <w:highlight w:val="none"/>
              </w:rPr>
              <w:t>若符合以上任意一条，则不能入选。</w:t>
            </w:r>
          </w:p>
        </w:tc>
      </w:tr>
      <w:tr w14:paraId="6F5AA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trPr>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7922873E">
            <w:pPr>
              <w:spacing w:before="0" w:beforeLines="0"/>
              <w:jc w:val="center"/>
              <w:rPr>
                <w:rFonts w:hint="eastAsia" w:ascii="Times New Roman" w:hAnsi="Times New Roman" w:eastAsia="宋体" w:cs="宋体"/>
                <w:b/>
                <w:bCs/>
                <w:color w:val="auto"/>
                <w:szCs w:val="21"/>
                <w:highlight w:val="none"/>
                <w:lang w:eastAsia="zh-CN"/>
              </w:rPr>
            </w:pPr>
            <w:r>
              <w:rPr>
                <w:rFonts w:hint="eastAsia" w:ascii="Times New Roman" w:hAnsi="Times New Roman" w:eastAsia="宋体" w:cs="宋体"/>
                <w:b/>
                <w:bCs/>
                <w:color w:val="auto"/>
                <w:szCs w:val="21"/>
                <w:highlight w:val="none"/>
                <w:lang w:eastAsia="zh-CN" w:bidi="ar"/>
              </w:rPr>
              <w:t>试验用产品</w:t>
            </w:r>
          </w:p>
        </w:tc>
        <w:tc>
          <w:tcPr>
            <w:tcW w:w="6886" w:type="dxa"/>
            <w:tcBorders>
              <w:top w:val="single" w:color="auto" w:sz="4" w:space="0"/>
              <w:left w:val="nil"/>
              <w:bottom w:val="single" w:color="auto" w:sz="4" w:space="0"/>
              <w:right w:val="single" w:color="auto" w:sz="4" w:space="0"/>
            </w:tcBorders>
            <w:shd w:val="clear" w:color="auto" w:fill="auto"/>
          </w:tcPr>
          <w:p w14:paraId="5C6EFB0F">
            <w:pPr>
              <w:spacing w:before="0" w:beforeLines="0"/>
              <w:ind w:firstLine="420" w:firstLineChars="200"/>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lang w:eastAsia="zh-CN" w:bidi="ar"/>
              </w:rPr>
              <w:t>试验</w:t>
            </w:r>
            <w:r>
              <w:rPr>
                <w:rFonts w:hint="eastAsia" w:ascii="Times New Roman" w:hAnsi="Times New Roman" w:eastAsia="宋体" w:cs="宋体"/>
                <w:color w:val="auto"/>
                <w:szCs w:val="21"/>
                <w:highlight w:val="none"/>
              </w:rPr>
              <w:t>组：君蓓力，广东君悦营养医学有限公司，广东惠州</w:t>
            </w:r>
          </w:p>
          <w:p w14:paraId="1D006196">
            <w:pPr>
              <w:spacing w:before="0" w:beforeLines="0"/>
              <w:ind w:firstLine="420" w:firstLineChars="200"/>
              <w:rPr>
                <w:rFonts w:hint="eastAsia"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对照</w:t>
            </w:r>
            <w:r>
              <w:rPr>
                <w:rFonts w:hint="eastAsia" w:ascii="Times New Roman" w:hAnsi="Times New Roman" w:eastAsia="宋体" w:cs="宋体"/>
                <w:color w:val="auto"/>
                <w:szCs w:val="21"/>
                <w:highlight w:val="none"/>
                <w:lang w:bidi="ar"/>
              </w:rPr>
              <w:t>组：</w:t>
            </w:r>
            <w:r>
              <w:rPr>
                <w:rFonts w:hint="eastAsia" w:ascii="Times New Roman" w:hAnsi="Times New Roman" w:eastAsia="宋体"/>
                <w:color w:val="auto"/>
                <w:highlight w:val="none"/>
                <w:lang w:eastAsia="zh-CN"/>
              </w:rPr>
              <w:t>速熠素</w:t>
            </w:r>
            <w:r>
              <w:rPr>
                <w:rFonts w:hint="eastAsia" w:ascii="Times New Roman" w:hAnsi="Times New Roman" w:eastAsia="宋体" w:cs="宋体"/>
                <w:color w:val="auto"/>
                <w:szCs w:val="21"/>
                <w:highlight w:val="none"/>
                <w:lang w:bidi="ar"/>
              </w:rPr>
              <w:t>，特殊医学用途肿瘤全营养配方食品，雀巢健康科学（中国）有限公司，江苏泰州</w:t>
            </w:r>
          </w:p>
        </w:tc>
      </w:tr>
      <w:tr w14:paraId="4297D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7305D2EA">
            <w:pPr>
              <w:spacing w:before="0" w:beforeLines="0"/>
              <w:jc w:val="center"/>
              <w:rPr>
                <w:rFonts w:ascii="Times New Roman" w:hAnsi="Times New Roman" w:eastAsia="宋体" w:cs="宋体"/>
                <w:b/>
                <w:bCs/>
                <w:color w:val="auto"/>
                <w:szCs w:val="21"/>
                <w:highlight w:val="none"/>
              </w:rPr>
            </w:pPr>
            <w:r>
              <w:rPr>
                <w:rFonts w:hint="eastAsia" w:ascii="Times New Roman" w:hAnsi="Times New Roman" w:eastAsia="宋体" w:cs="宋体"/>
                <w:b/>
                <w:bCs/>
                <w:color w:val="auto"/>
                <w:szCs w:val="21"/>
                <w:highlight w:val="none"/>
                <w:lang w:bidi="ar"/>
              </w:rPr>
              <w:t>服用方法</w:t>
            </w:r>
          </w:p>
        </w:tc>
        <w:tc>
          <w:tcPr>
            <w:tcW w:w="6886" w:type="dxa"/>
            <w:tcBorders>
              <w:top w:val="single" w:color="auto" w:sz="4" w:space="0"/>
              <w:left w:val="nil"/>
              <w:bottom w:val="single" w:color="auto" w:sz="4" w:space="0"/>
              <w:right w:val="single" w:color="auto" w:sz="4" w:space="0"/>
            </w:tcBorders>
            <w:shd w:val="clear" w:color="auto" w:fill="auto"/>
          </w:tcPr>
          <w:p w14:paraId="1FB9C0F5">
            <w:pPr>
              <w:spacing w:before="0" w:beforeLines="0"/>
              <w:ind w:firstLine="420" w:firstLineChars="200"/>
              <w:rPr>
                <w:rFonts w:hint="eastAsia"/>
                <w:color w:val="auto"/>
                <w:highlight w:val="none"/>
                <w:lang w:eastAsia="zh-CN"/>
              </w:rPr>
            </w:pPr>
            <w:r>
              <w:rPr>
                <w:rFonts w:hint="eastAsia"/>
                <w:color w:val="auto"/>
                <w:highlight w:val="none"/>
              </w:rPr>
              <w:t>经口服服用</w:t>
            </w:r>
            <w:r>
              <w:rPr>
                <w:rFonts w:hint="eastAsia"/>
                <w:color w:val="auto"/>
                <w:highlight w:val="none"/>
                <w:lang w:eastAsia="zh-CN"/>
              </w:rPr>
              <w:t>。</w:t>
            </w:r>
          </w:p>
          <w:p w14:paraId="46CD5B84">
            <w:pPr>
              <w:spacing w:before="0" w:beforeLines="0"/>
              <w:ind w:firstLine="420" w:firstLineChars="200"/>
              <w:rPr>
                <w:rFonts w:hint="eastAsia"/>
                <w:color w:val="auto"/>
                <w:highlight w:val="none"/>
                <w:lang w:eastAsia="zh-CN"/>
              </w:rPr>
            </w:pPr>
            <w:r>
              <w:rPr>
                <w:rFonts w:hint="eastAsia"/>
                <w:color w:val="auto"/>
                <w:highlight w:val="none"/>
                <w:lang w:eastAsia="zh-CN"/>
              </w:rPr>
              <w:t>参考《特定全营养配方食品临床试验技术指导原则  肿瘤》，试验期间受试者每日摄入总能量</w:t>
            </w:r>
            <w:r>
              <w:rPr>
                <w:rFonts w:hint="eastAsia"/>
                <w:color w:val="auto"/>
                <w:highlight w:val="none"/>
                <w:lang w:val="en-US" w:eastAsia="zh-CN"/>
              </w:rPr>
              <w:t>根据基线体重、</w:t>
            </w:r>
            <w:r>
              <w:rPr>
                <w:rFonts w:hint="eastAsia"/>
                <w:color w:val="auto"/>
                <w:highlight w:val="none"/>
                <w:lang w:eastAsia="zh-CN"/>
              </w:rPr>
              <w:t>以</w:t>
            </w:r>
            <w:r>
              <w:rPr>
                <w:rFonts w:hint="eastAsia"/>
                <w:color w:val="auto"/>
                <w:highlight w:val="none"/>
                <w:lang w:val="en-US" w:eastAsia="zh-CN"/>
              </w:rPr>
              <w:t>27.5</w:t>
            </w:r>
            <w:r>
              <w:rPr>
                <w:rFonts w:hint="eastAsia"/>
                <w:color w:val="auto"/>
                <w:highlight w:val="none"/>
                <w:lang w:eastAsia="zh-CN"/>
              </w:rPr>
              <w:t>kcal/kg.d</w:t>
            </w:r>
            <w:r>
              <w:rPr>
                <w:rFonts w:hint="eastAsia"/>
                <w:color w:val="auto"/>
                <w:highlight w:val="none"/>
                <w:lang w:val="en-US" w:eastAsia="zh-CN"/>
              </w:rPr>
              <w:t>标准进行计算</w:t>
            </w:r>
            <w:r>
              <w:rPr>
                <w:rFonts w:hint="eastAsia"/>
                <w:color w:val="auto"/>
                <w:highlight w:val="none"/>
                <w:lang w:eastAsia="zh-CN"/>
              </w:rPr>
              <w:t>。</w:t>
            </w:r>
          </w:p>
          <w:p w14:paraId="18AABF23">
            <w:pPr>
              <w:spacing w:before="0" w:beforeLines="0"/>
              <w:ind w:firstLine="420" w:firstLineChars="200"/>
              <w:rPr>
                <w:rFonts w:hint="default"/>
                <w:color w:val="auto"/>
                <w:highlight w:val="none"/>
                <w:lang w:val="en-US" w:eastAsia="zh-CN"/>
              </w:rPr>
            </w:pPr>
            <w:r>
              <w:rPr>
                <w:rFonts w:hint="eastAsia"/>
                <w:color w:val="auto"/>
                <w:highlight w:val="none"/>
                <w:lang w:val="en-US" w:eastAsia="zh-CN"/>
              </w:rPr>
              <w:t>受试者每日服用试验产品或对照产品400kcal，剩余能量参照膳食食谱通过普通膳食摄入，摄入情况将由受试者进行拍照，经授权人员进行记录。产品服用第1、2天作为适应期，产品摄入量和总能量摄入量可以不达上述标准。</w:t>
            </w:r>
          </w:p>
        </w:tc>
      </w:tr>
      <w:tr w14:paraId="6E66E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7" w:hRule="atLeast"/>
        </w:trPr>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199FB94C">
            <w:pPr>
              <w:spacing w:before="0" w:beforeLines="0"/>
              <w:jc w:val="center"/>
              <w:rPr>
                <w:rFonts w:ascii="Times New Roman" w:hAnsi="Times New Roman" w:eastAsia="宋体" w:cs="宋体"/>
                <w:b/>
                <w:bCs/>
                <w:color w:val="auto"/>
                <w:szCs w:val="21"/>
                <w:highlight w:val="none"/>
              </w:rPr>
            </w:pPr>
            <w:r>
              <w:rPr>
                <w:rFonts w:hint="eastAsia" w:ascii="Times New Roman" w:hAnsi="Times New Roman" w:eastAsia="宋体" w:cs="宋体"/>
                <w:b/>
                <w:bCs/>
                <w:color w:val="auto"/>
                <w:szCs w:val="21"/>
                <w:highlight w:val="none"/>
                <w:lang w:eastAsia="zh-CN" w:bidi="ar"/>
              </w:rPr>
              <w:t>试验</w:t>
            </w:r>
            <w:r>
              <w:rPr>
                <w:rFonts w:hint="eastAsia" w:ascii="Times New Roman" w:hAnsi="Times New Roman" w:eastAsia="宋体" w:cs="宋体"/>
                <w:b/>
                <w:bCs/>
                <w:color w:val="auto"/>
                <w:szCs w:val="21"/>
                <w:highlight w:val="none"/>
                <w:lang w:bidi="ar"/>
              </w:rPr>
              <w:t>周期</w:t>
            </w:r>
          </w:p>
        </w:tc>
        <w:tc>
          <w:tcPr>
            <w:tcW w:w="6886" w:type="dxa"/>
            <w:tcBorders>
              <w:top w:val="single" w:color="auto" w:sz="4" w:space="0"/>
              <w:left w:val="nil"/>
              <w:bottom w:val="single" w:color="auto" w:sz="4" w:space="0"/>
              <w:right w:val="single" w:color="auto" w:sz="4" w:space="0"/>
            </w:tcBorders>
            <w:shd w:val="clear" w:color="auto" w:fill="auto"/>
          </w:tcPr>
          <w:p w14:paraId="78A89632">
            <w:pPr>
              <w:spacing w:before="0" w:beforeLines="0"/>
              <w:ind w:firstLine="420" w:firstLineChars="200"/>
              <w:rPr>
                <w:rFonts w:hint="eastAsia" w:ascii="Times New Roman" w:hAnsi="Times New Roman" w:eastAsia="宋体" w:cs="宋体"/>
                <w:color w:val="auto"/>
                <w:szCs w:val="21"/>
                <w:highlight w:val="none"/>
                <w:lang w:val="en-US" w:eastAsia="zh-CN" w:bidi="ar"/>
              </w:rPr>
            </w:pPr>
            <w:r>
              <w:rPr>
                <w:rFonts w:hint="eastAsia" w:ascii="Times New Roman" w:hAnsi="Times New Roman" w:eastAsia="宋体" w:cs="宋体"/>
                <w:color w:val="auto"/>
                <w:szCs w:val="21"/>
                <w:highlight w:val="none"/>
                <w:lang w:val="en-US" w:eastAsia="zh-CN" w:bidi="ar"/>
              </w:rPr>
              <w:t>试验周期为21(±1)天。</w:t>
            </w:r>
          </w:p>
          <w:p w14:paraId="43595CC4">
            <w:pPr>
              <w:spacing w:before="0" w:beforeLines="0"/>
              <w:ind w:firstLine="420" w:firstLineChars="200"/>
              <w:rPr>
                <w:rFonts w:hint="default" w:ascii="Times New Roman" w:hAnsi="Times New Roman" w:eastAsia="宋体" w:cs="宋体"/>
                <w:color w:val="auto"/>
                <w:szCs w:val="21"/>
                <w:highlight w:val="none"/>
                <w:lang w:val="en-US" w:eastAsia="zh-CN" w:bidi="ar"/>
              </w:rPr>
            </w:pPr>
            <w:r>
              <w:rPr>
                <w:rFonts w:hint="eastAsia" w:ascii="Times New Roman" w:hAnsi="Times New Roman" w:eastAsia="宋体" w:cs="宋体"/>
                <w:color w:val="auto"/>
                <w:szCs w:val="21"/>
                <w:highlight w:val="none"/>
                <w:lang w:val="en-US" w:eastAsia="zh-CN" w:bidi="ar"/>
              </w:rPr>
              <w:t>每位受试者自签署知情同意书并筛选合格起，于试验周期内连续服用试验产品或对照产品，并于第21(±1)天进行末次访视（完成服用后次日空腹状态下进行）。且每天对受试者进行产品、</w:t>
            </w:r>
            <w:r>
              <w:rPr>
                <w:rFonts w:hint="eastAsia" w:ascii="Times New Roman" w:hAnsi="Times New Roman" w:cs="宋体"/>
                <w:color w:val="auto"/>
                <w:szCs w:val="21"/>
                <w:highlight w:val="none"/>
                <w:lang w:val="en-US" w:eastAsia="zh-CN" w:bidi="ar"/>
              </w:rPr>
              <w:t>普通膳食</w:t>
            </w:r>
            <w:r>
              <w:rPr>
                <w:rFonts w:hint="eastAsia" w:ascii="Times New Roman" w:hAnsi="Times New Roman" w:eastAsia="宋体" w:cs="宋体"/>
                <w:color w:val="auto"/>
                <w:szCs w:val="21"/>
                <w:highlight w:val="none"/>
                <w:lang w:val="en-US" w:eastAsia="zh-CN" w:bidi="ar"/>
              </w:rPr>
              <w:t>摄入的跟踪记录。</w:t>
            </w:r>
          </w:p>
          <w:p w14:paraId="7C9F9103">
            <w:pPr>
              <w:pStyle w:val="36"/>
              <w:widowControl/>
              <w:numPr>
                <w:ilvl w:val="0"/>
                <w:numId w:val="2"/>
              </w:numPr>
              <w:spacing w:beforeLines="0"/>
              <w:ind w:firstLineChars="0"/>
              <w:rPr>
                <w:rFonts w:ascii="Times New Roman" w:hAnsi="Times New Roman" w:eastAsia="宋体" w:cs="宋体"/>
                <w:color w:val="auto"/>
                <w:highlight w:val="none"/>
              </w:rPr>
            </w:pPr>
            <w:r>
              <w:rPr>
                <w:rFonts w:hint="eastAsia" w:ascii="Times New Roman" w:hAnsi="Times New Roman" w:eastAsia="宋体" w:cs="宋体"/>
                <w:color w:val="auto"/>
                <w:highlight w:val="none"/>
              </w:rPr>
              <w:t>筛选期</w:t>
            </w:r>
            <w:r>
              <w:rPr>
                <w:rFonts w:hint="eastAsia" w:cs="宋体"/>
                <w:color w:val="auto"/>
                <w:highlight w:val="none"/>
                <w:lang w:val="en-US" w:eastAsia="zh-CN"/>
              </w:rPr>
              <w:t>/基线</w:t>
            </w:r>
            <w:r>
              <w:rPr>
                <w:rFonts w:hint="eastAsia" w:ascii="Times New Roman" w:hAnsi="Times New Roman" w:eastAsia="宋体" w:cs="宋体"/>
                <w:color w:val="auto"/>
                <w:highlight w:val="none"/>
              </w:rPr>
              <w:t>：</w:t>
            </w:r>
            <w:r>
              <w:rPr>
                <w:rFonts w:hint="eastAsia" w:ascii="Times New Roman" w:hAnsi="Times New Roman" w:cs="宋体"/>
                <w:color w:val="auto"/>
                <w:szCs w:val="21"/>
                <w:highlight w:val="none"/>
                <w:lang w:val="en-US" w:eastAsia="zh-CN" w:bidi="ar"/>
              </w:rPr>
              <w:t>第</w:t>
            </w:r>
            <w:r>
              <w:rPr>
                <w:rFonts w:hint="eastAsia" w:cs="宋体"/>
                <w:color w:val="auto"/>
                <w:szCs w:val="21"/>
                <w:highlight w:val="none"/>
                <w:lang w:val="en-US" w:eastAsia="zh-CN" w:bidi="ar"/>
              </w:rPr>
              <w:t>0(±1)</w:t>
            </w:r>
            <w:r>
              <w:rPr>
                <w:rFonts w:hint="eastAsia" w:ascii="Times New Roman" w:hAnsi="Times New Roman" w:cs="宋体"/>
                <w:color w:val="auto"/>
                <w:szCs w:val="21"/>
                <w:highlight w:val="none"/>
                <w:lang w:val="en-US" w:eastAsia="zh-CN" w:bidi="ar"/>
              </w:rPr>
              <w:t>天</w:t>
            </w:r>
            <w:r>
              <w:rPr>
                <w:rFonts w:hint="eastAsia" w:ascii="Times New Roman" w:hAnsi="Times New Roman" w:eastAsia="宋体" w:cs="宋体"/>
                <w:color w:val="auto"/>
                <w:szCs w:val="21"/>
                <w:highlight w:val="none"/>
                <w:lang w:bidi="ar"/>
              </w:rPr>
              <w:t>空腹状态</w:t>
            </w:r>
            <w:r>
              <w:rPr>
                <w:rFonts w:hint="eastAsia" w:ascii="Times New Roman" w:hAnsi="Times New Roman" w:eastAsia="宋体" w:cs="宋体"/>
                <w:color w:val="auto"/>
                <w:highlight w:val="none"/>
              </w:rPr>
              <w:t>。</w:t>
            </w:r>
          </w:p>
          <w:p w14:paraId="0CCF438A">
            <w:pPr>
              <w:pStyle w:val="36"/>
              <w:widowControl/>
              <w:numPr>
                <w:ilvl w:val="0"/>
                <w:numId w:val="2"/>
              </w:numPr>
              <w:spacing w:beforeLines="0"/>
              <w:ind w:firstLineChars="0"/>
              <w:rPr>
                <w:rFonts w:ascii="Times New Roman" w:hAnsi="Times New Roman" w:eastAsia="宋体" w:cs="宋体"/>
                <w:color w:val="auto"/>
                <w:highlight w:val="none"/>
              </w:rPr>
            </w:pPr>
            <w:r>
              <w:rPr>
                <w:rFonts w:hint="eastAsia" w:cs="宋体"/>
                <w:color w:val="auto"/>
                <w:highlight w:val="none"/>
                <w:lang w:val="en-US" w:eastAsia="zh-CN"/>
              </w:rPr>
              <w:t>服用周期：20</w:t>
            </w:r>
            <w:r>
              <w:rPr>
                <w:rFonts w:hint="eastAsia" w:cs="宋体"/>
                <w:color w:val="auto"/>
                <w:szCs w:val="21"/>
                <w:highlight w:val="none"/>
                <w:lang w:val="en-US" w:eastAsia="zh-CN" w:bidi="ar"/>
              </w:rPr>
              <w:t>(±1)</w:t>
            </w:r>
            <w:r>
              <w:rPr>
                <w:rFonts w:hint="eastAsia" w:ascii="Times New Roman" w:hAnsi="Times New Roman" w:cs="宋体"/>
                <w:color w:val="auto"/>
                <w:szCs w:val="21"/>
                <w:highlight w:val="none"/>
                <w:lang w:val="en-US" w:eastAsia="zh-CN" w:bidi="ar"/>
              </w:rPr>
              <w:t>天</w:t>
            </w:r>
            <w:r>
              <w:rPr>
                <w:rFonts w:hint="eastAsia" w:cs="宋体"/>
                <w:color w:val="auto"/>
                <w:szCs w:val="21"/>
                <w:highlight w:val="none"/>
                <w:lang w:val="en-US" w:eastAsia="zh-CN" w:bidi="ar"/>
              </w:rPr>
              <w:t>。</w:t>
            </w:r>
          </w:p>
          <w:p w14:paraId="68686476">
            <w:pPr>
              <w:pStyle w:val="36"/>
              <w:widowControl/>
              <w:numPr>
                <w:ilvl w:val="0"/>
                <w:numId w:val="2"/>
              </w:numPr>
              <w:spacing w:beforeLines="0"/>
              <w:ind w:firstLineChars="0"/>
              <w:rPr>
                <w:rFonts w:hint="eastAsia" w:ascii="Times New Roman" w:hAnsi="Times New Roman" w:eastAsia="宋体" w:cs="宋体"/>
                <w:color w:val="auto"/>
                <w:highlight w:val="none"/>
              </w:rPr>
            </w:pPr>
            <w:r>
              <w:rPr>
                <w:rFonts w:hint="eastAsia" w:ascii="Times New Roman" w:hAnsi="Times New Roman" w:eastAsia="宋体" w:cs="宋体"/>
                <w:color w:val="auto"/>
                <w:highlight w:val="none"/>
              </w:rPr>
              <w:t>末次访视：第21(±1)天空腹状态（完成服用后次日）。</w:t>
            </w:r>
          </w:p>
        </w:tc>
      </w:tr>
      <w:tr w14:paraId="261DA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619565DB">
            <w:pPr>
              <w:spacing w:before="0" w:beforeLines="0"/>
              <w:jc w:val="center"/>
              <w:rPr>
                <w:rFonts w:ascii="Times New Roman" w:hAnsi="Times New Roman" w:eastAsia="宋体" w:cs="宋体"/>
                <w:b/>
                <w:bCs/>
                <w:color w:val="auto"/>
                <w:szCs w:val="21"/>
                <w:highlight w:val="none"/>
              </w:rPr>
            </w:pPr>
            <w:r>
              <w:rPr>
                <w:rFonts w:hint="eastAsia" w:ascii="Times New Roman" w:hAnsi="Times New Roman" w:eastAsia="宋体" w:cs="宋体"/>
                <w:b/>
                <w:bCs/>
                <w:color w:val="auto"/>
                <w:szCs w:val="21"/>
                <w:highlight w:val="none"/>
                <w:lang w:bidi="ar"/>
              </w:rPr>
              <w:t>服用计划</w:t>
            </w:r>
          </w:p>
        </w:tc>
        <w:tc>
          <w:tcPr>
            <w:tcW w:w="6886" w:type="dxa"/>
            <w:tcBorders>
              <w:top w:val="single" w:color="auto" w:sz="4" w:space="0"/>
              <w:left w:val="nil"/>
              <w:bottom w:val="single" w:color="auto" w:sz="4" w:space="0"/>
              <w:right w:val="single" w:color="auto" w:sz="4" w:space="0"/>
            </w:tcBorders>
            <w:shd w:val="clear" w:color="auto" w:fill="auto"/>
          </w:tcPr>
          <w:p w14:paraId="39617DAC">
            <w:pPr>
              <w:spacing w:before="0" w:beforeLines="0"/>
              <w:ind w:firstLine="420" w:firstLineChars="200"/>
              <w:rPr>
                <w:rFonts w:hint="eastAsia" w:ascii="Times New Roman" w:hAnsi="Times New Roman" w:eastAsia="宋体"/>
                <w:color w:val="auto"/>
                <w:highlight w:val="none"/>
              </w:rPr>
            </w:pPr>
            <w:r>
              <w:rPr>
                <w:rFonts w:hint="eastAsia" w:ascii="Times New Roman" w:hAnsi="Times New Roman" w:eastAsia="宋体"/>
                <w:color w:val="auto"/>
                <w:highlight w:val="none"/>
                <w:lang w:eastAsia="zh-CN"/>
              </w:rPr>
              <w:t>受试者于</w:t>
            </w:r>
            <w:r>
              <w:rPr>
                <w:rFonts w:hint="eastAsia" w:ascii="Times New Roman" w:hAnsi="Times New Roman" w:cs="宋体"/>
                <w:color w:val="auto"/>
                <w:szCs w:val="21"/>
                <w:highlight w:val="none"/>
                <w:lang w:val="en-US" w:eastAsia="zh-CN"/>
              </w:rPr>
              <w:t>试验周</w:t>
            </w:r>
            <w:r>
              <w:rPr>
                <w:rFonts w:hint="eastAsia" w:ascii="Times New Roman" w:hAnsi="Times New Roman" w:eastAsia="宋体"/>
                <w:color w:val="auto"/>
                <w:highlight w:val="none"/>
                <w:lang w:val="en-US" w:eastAsia="zh-CN"/>
              </w:rPr>
              <w:t>期</w:t>
            </w:r>
            <w:r>
              <w:rPr>
                <w:rFonts w:hint="eastAsia" w:ascii="Times New Roman" w:hAnsi="Times New Roman"/>
                <w:color w:val="auto"/>
                <w:highlight w:val="none"/>
                <w:lang w:val="en-US" w:eastAsia="zh-CN"/>
              </w:rPr>
              <w:t>内</w:t>
            </w:r>
            <w:r>
              <w:rPr>
                <w:rFonts w:hint="eastAsia" w:ascii="Times New Roman" w:hAnsi="Times New Roman" w:eastAsia="宋体"/>
                <w:color w:val="auto"/>
                <w:highlight w:val="none"/>
                <w:lang w:eastAsia="zh-CN"/>
              </w:rPr>
              <w:t>连续服用试验产品或对照产品</w:t>
            </w:r>
            <w:r>
              <w:rPr>
                <w:rFonts w:hint="eastAsia" w:ascii="Times New Roman" w:hAnsi="Times New Roman"/>
                <w:color w:val="auto"/>
                <w:highlight w:val="none"/>
                <w:lang w:eastAsia="zh-CN"/>
              </w:rPr>
              <w:t>，</w:t>
            </w:r>
            <w:r>
              <w:rPr>
                <w:rFonts w:hint="eastAsia" w:ascii="Times New Roman" w:hAnsi="Times New Roman" w:eastAsia="宋体" w:cs="宋体"/>
                <w:color w:val="auto"/>
                <w:szCs w:val="21"/>
                <w:highlight w:val="none"/>
                <w:lang w:bidi="ar"/>
              </w:rPr>
              <w:t>试验</w:t>
            </w:r>
            <w:r>
              <w:rPr>
                <w:rFonts w:hint="eastAsia" w:ascii="Times New Roman" w:hAnsi="Times New Roman" w:eastAsia="宋体" w:cs="宋体"/>
                <w:color w:val="auto"/>
                <w:szCs w:val="21"/>
                <w:highlight w:val="none"/>
              </w:rPr>
              <w:t>周期为21(±1)天</w:t>
            </w:r>
            <w:r>
              <w:rPr>
                <w:rFonts w:hint="eastAsia" w:ascii="Times New Roman" w:hAnsi="Times New Roman" w:eastAsia="宋体"/>
                <w:color w:val="auto"/>
                <w:highlight w:val="none"/>
                <w:lang w:eastAsia="zh-CN"/>
              </w:rPr>
              <w:t>。</w:t>
            </w:r>
          </w:p>
        </w:tc>
      </w:tr>
      <w:tr w14:paraId="7FB3F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7C7A8902">
            <w:pPr>
              <w:spacing w:before="0" w:beforeLines="0"/>
              <w:jc w:val="center"/>
              <w:rPr>
                <w:rFonts w:ascii="Times New Roman" w:hAnsi="Times New Roman" w:eastAsia="宋体" w:cs="宋体"/>
                <w:b/>
                <w:bCs/>
                <w:color w:val="auto"/>
                <w:szCs w:val="21"/>
                <w:highlight w:val="none"/>
              </w:rPr>
            </w:pPr>
            <w:r>
              <w:rPr>
                <w:rFonts w:hint="eastAsia" w:ascii="Times New Roman" w:hAnsi="Times New Roman" w:eastAsia="宋体" w:cs="宋体"/>
                <w:b/>
                <w:bCs/>
                <w:color w:val="auto"/>
                <w:szCs w:val="21"/>
                <w:highlight w:val="none"/>
                <w:lang w:eastAsia="zh-CN" w:bidi="ar"/>
              </w:rPr>
              <w:t>试验</w:t>
            </w:r>
            <w:r>
              <w:rPr>
                <w:rFonts w:hint="eastAsia" w:ascii="Times New Roman" w:hAnsi="Times New Roman" w:eastAsia="宋体" w:cs="宋体"/>
                <w:b/>
                <w:bCs/>
                <w:color w:val="auto"/>
                <w:szCs w:val="21"/>
                <w:highlight w:val="none"/>
                <w:lang w:bidi="ar"/>
              </w:rPr>
              <w:t>访视</w:t>
            </w:r>
          </w:p>
        </w:tc>
        <w:tc>
          <w:tcPr>
            <w:tcW w:w="6886" w:type="dxa"/>
            <w:tcBorders>
              <w:top w:val="single" w:color="auto" w:sz="4" w:space="0"/>
              <w:left w:val="nil"/>
              <w:bottom w:val="single" w:color="auto" w:sz="4" w:space="0"/>
              <w:right w:val="single" w:color="auto" w:sz="4" w:space="0"/>
            </w:tcBorders>
            <w:shd w:val="clear" w:color="auto" w:fill="auto"/>
          </w:tcPr>
          <w:p w14:paraId="2B0DBF23">
            <w:pPr>
              <w:spacing w:before="0" w:beforeLines="0"/>
              <w:ind w:firstLine="420" w:firstLineChars="200"/>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lang w:bidi="ar"/>
              </w:rPr>
              <w:t>根据方案中</w:t>
            </w:r>
            <w:r>
              <w:rPr>
                <w:rFonts w:hint="eastAsia" w:ascii="Times New Roman" w:hAnsi="Times New Roman" w:eastAsia="宋体" w:cs="宋体"/>
                <w:color w:val="auto"/>
                <w:szCs w:val="21"/>
                <w:highlight w:val="none"/>
                <w:lang w:eastAsia="zh-CN" w:bidi="ar"/>
              </w:rPr>
              <w:t>试验流程图</w:t>
            </w:r>
            <w:r>
              <w:rPr>
                <w:rFonts w:hint="eastAsia" w:ascii="Times New Roman" w:hAnsi="Times New Roman" w:eastAsia="宋体" w:cs="宋体"/>
                <w:color w:val="auto"/>
                <w:szCs w:val="21"/>
                <w:highlight w:val="none"/>
                <w:lang w:bidi="ar"/>
              </w:rPr>
              <w:t>开展</w:t>
            </w:r>
            <w:r>
              <w:rPr>
                <w:rFonts w:hint="eastAsia" w:ascii="Times New Roman" w:hAnsi="Times New Roman" w:eastAsia="宋体" w:cs="宋体"/>
                <w:color w:val="auto"/>
                <w:szCs w:val="21"/>
                <w:highlight w:val="none"/>
                <w:lang w:eastAsia="zh-CN" w:bidi="ar"/>
              </w:rPr>
              <w:t>试验</w:t>
            </w:r>
            <w:r>
              <w:rPr>
                <w:rFonts w:hint="eastAsia" w:ascii="Times New Roman" w:hAnsi="Times New Roman" w:eastAsia="宋体" w:cs="宋体"/>
                <w:color w:val="auto"/>
                <w:szCs w:val="21"/>
                <w:highlight w:val="none"/>
                <w:lang w:bidi="ar"/>
              </w:rPr>
              <w:t>访视和</w:t>
            </w:r>
            <w:r>
              <w:rPr>
                <w:rFonts w:hint="eastAsia" w:ascii="Times New Roman" w:hAnsi="Times New Roman" w:eastAsia="宋体" w:cs="宋体"/>
                <w:color w:val="auto"/>
                <w:szCs w:val="21"/>
                <w:highlight w:val="none"/>
                <w:lang w:eastAsia="zh-CN" w:bidi="ar"/>
              </w:rPr>
              <w:t>试验</w:t>
            </w:r>
            <w:r>
              <w:rPr>
                <w:rFonts w:hint="eastAsia" w:ascii="Times New Roman" w:hAnsi="Times New Roman" w:eastAsia="宋体" w:cs="宋体"/>
                <w:color w:val="auto"/>
                <w:szCs w:val="21"/>
                <w:highlight w:val="none"/>
                <w:lang w:bidi="ar"/>
              </w:rPr>
              <w:t>过程。</w:t>
            </w:r>
          </w:p>
        </w:tc>
      </w:tr>
      <w:tr w14:paraId="28302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097B6D29">
            <w:pPr>
              <w:spacing w:before="0" w:beforeLines="0"/>
              <w:jc w:val="center"/>
              <w:rPr>
                <w:rFonts w:ascii="Times New Roman" w:hAnsi="Times New Roman" w:eastAsia="宋体" w:cs="宋体"/>
                <w:b/>
                <w:bCs/>
                <w:color w:val="auto"/>
                <w:szCs w:val="21"/>
                <w:highlight w:val="none"/>
              </w:rPr>
            </w:pPr>
            <w:r>
              <w:rPr>
                <w:rFonts w:hint="eastAsia" w:ascii="Times New Roman" w:hAnsi="Times New Roman" w:eastAsia="宋体" w:cs="宋体"/>
                <w:b/>
                <w:bCs/>
                <w:color w:val="auto"/>
                <w:szCs w:val="21"/>
                <w:highlight w:val="none"/>
                <w:lang w:bidi="ar"/>
              </w:rPr>
              <w:t>统计方法</w:t>
            </w:r>
          </w:p>
        </w:tc>
        <w:tc>
          <w:tcPr>
            <w:tcW w:w="6886" w:type="dxa"/>
            <w:tcBorders>
              <w:top w:val="single" w:color="auto" w:sz="4" w:space="0"/>
              <w:left w:val="nil"/>
              <w:bottom w:val="single" w:color="auto" w:sz="4" w:space="0"/>
              <w:right w:val="single" w:color="auto" w:sz="4" w:space="0"/>
            </w:tcBorders>
            <w:shd w:val="clear" w:color="auto" w:fill="auto"/>
          </w:tcPr>
          <w:p w14:paraId="60CEAA88">
            <w:pPr>
              <w:spacing w:before="0" w:beforeLines="0"/>
              <w:rPr>
                <w:rFonts w:ascii="Times New Roman" w:hAnsi="Times New Roman" w:eastAsia="宋体" w:cs="宋体"/>
                <w:color w:val="auto"/>
                <w:szCs w:val="21"/>
                <w:highlight w:val="none"/>
                <w:lang w:bidi="ar"/>
              </w:rPr>
            </w:pPr>
            <w:r>
              <w:rPr>
                <w:rFonts w:hint="eastAsia" w:ascii="Times New Roman" w:hAnsi="Times New Roman" w:eastAsia="宋体" w:cs="宋体"/>
                <w:color w:val="auto"/>
                <w:szCs w:val="21"/>
                <w:highlight w:val="none"/>
                <w:lang w:bidi="ar"/>
              </w:rPr>
              <w:t>（一）样本量</w:t>
            </w:r>
          </w:p>
          <w:p w14:paraId="5F45DA80">
            <w:pPr>
              <w:spacing w:before="0" w:beforeLines="0"/>
              <w:ind w:firstLine="420" w:firstLineChars="200"/>
              <w:rPr>
                <w:rFonts w:hint="eastAsia" w:ascii="Times New Roman" w:hAnsi="Times New Roman" w:eastAsia="宋体" w:cs="宋体"/>
                <w:color w:val="auto"/>
                <w:szCs w:val="21"/>
                <w:highlight w:val="none"/>
                <w:lang w:eastAsia="zh-CN" w:bidi="ar"/>
              </w:rPr>
            </w:pPr>
            <w:r>
              <w:rPr>
                <w:rFonts w:hint="eastAsia" w:ascii="Times New Roman" w:hAnsi="Times New Roman" w:eastAsia="宋体" w:cs="宋体"/>
                <w:color w:val="auto"/>
                <w:szCs w:val="21"/>
                <w:highlight w:val="none"/>
                <w:lang w:bidi="ar"/>
              </w:rPr>
              <w:t>一项在中国进行的瑞能效果的相关</w:t>
            </w:r>
            <w:r>
              <w:rPr>
                <w:rFonts w:hint="eastAsia" w:ascii="Times New Roman" w:hAnsi="Times New Roman" w:eastAsia="宋体" w:cs="宋体"/>
                <w:color w:val="auto"/>
                <w:szCs w:val="21"/>
                <w:highlight w:val="none"/>
                <w:lang w:eastAsia="zh-CN" w:bidi="ar"/>
              </w:rPr>
              <w:t>试验</w:t>
            </w:r>
            <w:r>
              <w:rPr>
                <w:rFonts w:hint="eastAsia" w:ascii="Times New Roman" w:hAnsi="Times New Roman" w:eastAsia="宋体" w:cs="宋体"/>
                <w:color w:val="auto"/>
                <w:szCs w:val="21"/>
                <w:highlight w:val="none"/>
                <w:lang w:bidi="ar"/>
              </w:rPr>
              <w:t>数据显示，瑞能相对于其对照</w:t>
            </w:r>
            <w:r>
              <w:rPr>
                <w:rFonts w:hint="eastAsia" w:ascii="Times New Roman" w:hAnsi="Times New Roman" w:eastAsia="宋体" w:cs="宋体"/>
                <w:color w:val="auto"/>
                <w:szCs w:val="21"/>
                <w:highlight w:val="none"/>
                <w:lang w:val="en-US" w:eastAsia="zh-CN" w:bidi="ar"/>
              </w:rPr>
              <w:t>组化疗前</w:t>
            </w:r>
            <w:r>
              <w:rPr>
                <w:rFonts w:hint="eastAsia" w:ascii="Times New Roman" w:hAnsi="Times New Roman" w:eastAsia="宋体" w:cs="宋体"/>
                <w:color w:val="auto"/>
                <w:szCs w:val="21"/>
                <w:highlight w:val="none"/>
                <w:lang w:bidi="ar"/>
              </w:rPr>
              <w:t>到</w:t>
            </w:r>
            <w:r>
              <w:rPr>
                <w:rFonts w:hint="eastAsia" w:ascii="Times New Roman" w:hAnsi="Times New Roman" w:eastAsia="宋体" w:cs="宋体"/>
                <w:color w:val="auto"/>
                <w:szCs w:val="21"/>
                <w:highlight w:val="none"/>
                <w:lang w:val="en-US" w:eastAsia="zh-CN" w:bidi="ar"/>
              </w:rPr>
              <w:t>化疗后1个月</w:t>
            </w:r>
            <w:r>
              <w:rPr>
                <w:rFonts w:hint="eastAsia" w:ascii="Times New Roman" w:hAnsi="Times New Roman" w:eastAsia="宋体" w:cs="宋体"/>
                <w:color w:val="auto"/>
                <w:szCs w:val="21"/>
                <w:highlight w:val="none"/>
                <w:lang w:bidi="ar"/>
              </w:rPr>
              <w:t>的前白蛋白变化的效应值为</w:t>
            </w:r>
            <w:r>
              <w:rPr>
                <w:rFonts w:hint="eastAsia" w:ascii="Times New Roman" w:hAnsi="Times New Roman" w:eastAsia="宋体" w:cs="宋体"/>
                <w:color w:val="auto"/>
                <w:szCs w:val="21"/>
                <w:highlight w:val="none"/>
                <w:lang w:val="en-US" w:eastAsia="zh-CN" w:bidi="ar"/>
              </w:rPr>
              <w:t>7</w:t>
            </w:r>
            <w:r>
              <w:rPr>
                <w:rFonts w:hint="eastAsia" w:ascii="Times New Roman" w:hAnsi="Times New Roman" w:eastAsia="宋体" w:cs="宋体"/>
                <w:color w:val="auto"/>
                <w:szCs w:val="21"/>
                <w:highlight w:val="none"/>
                <w:lang w:bidi="ar"/>
              </w:rPr>
              <w:t>.0mg/dl。基于临床实践和参考此项</w:t>
            </w:r>
            <w:r>
              <w:rPr>
                <w:rFonts w:hint="eastAsia" w:ascii="Times New Roman" w:hAnsi="Times New Roman" w:eastAsia="宋体" w:cs="宋体"/>
                <w:color w:val="auto"/>
                <w:szCs w:val="21"/>
                <w:highlight w:val="none"/>
                <w:lang w:eastAsia="zh-CN" w:bidi="ar"/>
              </w:rPr>
              <w:t>试验</w:t>
            </w:r>
            <w:r>
              <w:rPr>
                <w:rFonts w:hint="eastAsia" w:ascii="Times New Roman" w:hAnsi="Times New Roman" w:eastAsia="宋体" w:cs="宋体"/>
                <w:color w:val="auto"/>
                <w:szCs w:val="21"/>
                <w:highlight w:val="none"/>
                <w:lang w:bidi="ar"/>
              </w:rPr>
              <w:t>结果，假定本</w:t>
            </w:r>
            <w:r>
              <w:rPr>
                <w:rFonts w:hint="eastAsia" w:ascii="Times New Roman" w:hAnsi="Times New Roman" w:eastAsia="宋体" w:cs="宋体"/>
                <w:color w:val="auto"/>
                <w:szCs w:val="21"/>
                <w:highlight w:val="none"/>
                <w:lang w:eastAsia="zh-CN" w:bidi="ar"/>
              </w:rPr>
              <w:t>试验</w:t>
            </w:r>
            <w:r>
              <w:rPr>
                <w:rFonts w:hint="eastAsia" w:ascii="Times New Roman" w:hAnsi="Times New Roman" w:eastAsia="宋体" w:cs="宋体"/>
                <w:color w:val="auto"/>
                <w:szCs w:val="21"/>
                <w:highlight w:val="none"/>
                <w:lang w:bidi="ar"/>
              </w:rPr>
              <w:t>经</w:t>
            </w:r>
            <w:r>
              <w:rPr>
                <w:rFonts w:hint="eastAsia" w:ascii="Times New Roman" w:hAnsi="Times New Roman" w:eastAsia="宋体" w:cs="宋体"/>
                <w:color w:val="auto"/>
                <w:szCs w:val="21"/>
                <w:highlight w:val="none"/>
                <w:lang w:val="en-US" w:eastAsia="zh-CN" w:bidi="ar"/>
              </w:rPr>
              <w:t>21(±1)</w:t>
            </w:r>
            <w:r>
              <w:rPr>
                <w:rFonts w:hint="eastAsia" w:ascii="Times New Roman" w:hAnsi="Times New Roman" w:eastAsia="宋体" w:cs="宋体"/>
                <w:color w:val="auto"/>
                <w:szCs w:val="21"/>
                <w:highlight w:val="none"/>
                <w:lang w:bidi="ar"/>
              </w:rPr>
              <w:t>天治疗，可接受的非劣效界值为-</w:t>
            </w:r>
            <w:r>
              <w:rPr>
                <w:rFonts w:hint="eastAsia" w:ascii="Times New Roman" w:hAnsi="Times New Roman" w:eastAsia="宋体" w:cs="宋体"/>
                <w:color w:val="auto"/>
                <w:szCs w:val="21"/>
                <w:highlight w:val="none"/>
                <w:lang w:val="en-US" w:eastAsia="zh-CN" w:bidi="ar"/>
              </w:rPr>
              <w:t>1.4</w:t>
            </w:r>
            <w:r>
              <w:rPr>
                <w:rFonts w:hint="eastAsia" w:ascii="Times New Roman" w:hAnsi="Times New Roman" w:eastAsia="宋体" w:cs="宋体"/>
                <w:color w:val="auto"/>
                <w:szCs w:val="21"/>
                <w:highlight w:val="none"/>
                <w:lang w:bidi="ar"/>
              </w:rPr>
              <w:t>mg/dl，标准差为</w:t>
            </w:r>
            <w:r>
              <w:rPr>
                <w:rFonts w:hint="eastAsia" w:ascii="Times New Roman" w:hAnsi="Times New Roman" w:eastAsia="宋体" w:cs="宋体"/>
                <w:color w:val="auto"/>
                <w:szCs w:val="21"/>
                <w:highlight w:val="none"/>
                <w:lang w:val="en-US" w:eastAsia="zh-CN" w:bidi="ar"/>
              </w:rPr>
              <w:t>3.3</w:t>
            </w:r>
            <w:r>
              <w:rPr>
                <w:rFonts w:hint="eastAsia" w:ascii="Times New Roman" w:hAnsi="Times New Roman" w:eastAsia="宋体" w:cs="宋体"/>
                <w:color w:val="auto"/>
                <w:szCs w:val="21"/>
                <w:highlight w:val="none"/>
                <w:lang w:bidi="ar"/>
              </w:rPr>
              <w:t>mg/dl，随机化比例为1：1(君蓓力组：</w:t>
            </w:r>
            <w:r>
              <w:rPr>
                <w:rFonts w:hint="eastAsia" w:ascii="Times New Roman" w:hAnsi="Times New Roman" w:eastAsia="宋体" w:cs="宋体"/>
                <w:color w:val="auto"/>
                <w:szCs w:val="21"/>
                <w:highlight w:val="none"/>
                <w:lang w:eastAsia="zh-CN" w:bidi="ar"/>
              </w:rPr>
              <w:t>速熠素</w:t>
            </w:r>
            <w:r>
              <w:rPr>
                <w:rFonts w:hint="eastAsia" w:ascii="Times New Roman" w:hAnsi="Times New Roman" w:eastAsia="宋体" w:cs="宋体"/>
                <w:color w:val="auto"/>
                <w:szCs w:val="21"/>
                <w:highlight w:val="none"/>
                <w:lang w:bidi="ar"/>
              </w:rPr>
              <w:t>组)，单侧检验a为0.025，把握度为80%，依据样本量估计专业软件PASS15计算后的样本量每组</w:t>
            </w:r>
            <w:r>
              <w:rPr>
                <w:rFonts w:hint="eastAsia" w:ascii="Times New Roman" w:hAnsi="Times New Roman" w:eastAsia="宋体" w:cs="宋体"/>
                <w:color w:val="auto"/>
                <w:szCs w:val="21"/>
                <w:highlight w:val="none"/>
                <w:lang w:val="en-US" w:eastAsia="zh-CN" w:bidi="ar"/>
              </w:rPr>
              <w:t>89</w:t>
            </w:r>
            <w:r>
              <w:rPr>
                <w:rFonts w:hint="eastAsia" w:ascii="Times New Roman" w:hAnsi="Times New Roman" w:eastAsia="宋体" w:cs="宋体"/>
                <w:color w:val="auto"/>
                <w:szCs w:val="21"/>
                <w:highlight w:val="none"/>
                <w:lang w:bidi="ar"/>
              </w:rPr>
              <w:t>例，考虑相关法规要求(</w:t>
            </w:r>
            <w:r>
              <w:rPr>
                <w:rFonts w:hint="eastAsia" w:ascii="Times New Roman" w:hAnsi="Times New Roman" w:eastAsia="宋体" w:cs="宋体"/>
                <w:color w:val="auto"/>
                <w:szCs w:val="21"/>
                <w:highlight w:val="none"/>
                <w:lang w:eastAsia="zh-CN" w:bidi="ar"/>
              </w:rPr>
              <w:t>试验</w:t>
            </w:r>
            <w:r>
              <w:rPr>
                <w:rFonts w:hint="eastAsia" w:ascii="Times New Roman" w:hAnsi="Times New Roman" w:eastAsia="宋体" w:cs="宋体"/>
                <w:color w:val="auto"/>
                <w:szCs w:val="21"/>
                <w:highlight w:val="none"/>
                <w:lang w:bidi="ar"/>
              </w:rPr>
              <w:t>组最少100例)，本</w:t>
            </w:r>
            <w:r>
              <w:rPr>
                <w:rFonts w:hint="eastAsia" w:ascii="Times New Roman" w:hAnsi="Times New Roman" w:eastAsia="宋体" w:cs="宋体"/>
                <w:color w:val="auto"/>
                <w:szCs w:val="21"/>
                <w:highlight w:val="none"/>
                <w:lang w:eastAsia="zh-CN" w:bidi="ar"/>
              </w:rPr>
              <w:t>试验</w:t>
            </w:r>
            <w:r>
              <w:rPr>
                <w:rFonts w:hint="eastAsia" w:ascii="Times New Roman" w:hAnsi="Times New Roman" w:eastAsia="宋体" w:cs="宋体"/>
                <w:color w:val="auto"/>
                <w:szCs w:val="21"/>
                <w:highlight w:val="none"/>
                <w:lang w:bidi="ar"/>
              </w:rPr>
              <w:t>计划FAS人群共招募200名</w:t>
            </w:r>
            <w:r>
              <w:rPr>
                <w:rFonts w:hint="eastAsia" w:ascii="Times New Roman" w:hAnsi="Times New Roman" w:eastAsia="宋体" w:cs="宋体"/>
                <w:color w:val="auto"/>
                <w:szCs w:val="21"/>
                <w:highlight w:val="none"/>
                <w:lang w:eastAsia="zh-CN" w:bidi="ar"/>
              </w:rPr>
              <w:t>受试者</w:t>
            </w:r>
            <w:r>
              <w:rPr>
                <w:rFonts w:hint="eastAsia" w:ascii="Times New Roman" w:hAnsi="Times New Roman" w:eastAsia="宋体" w:cs="宋体"/>
                <w:color w:val="auto"/>
                <w:szCs w:val="21"/>
                <w:highlight w:val="none"/>
                <w:lang w:bidi="ar"/>
              </w:rPr>
              <w:t>，每组100名，该样本量对主要终点的分析则将提供约90%的把握度</w:t>
            </w:r>
            <w:r>
              <w:rPr>
                <w:rFonts w:hint="eastAsia" w:ascii="Times New Roman" w:hAnsi="Times New Roman" w:eastAsia="宋体" w:cs="宋体"/>
                <w:color w:val="auto"/>
                <w:szCs w:val="21"/>
                <w:highlight w:val="none"/>
                <w:lang w:eastAsia="zh-CN" w:bidi="ar"/>
              </w:rPr>
              <w:t>。</w:t>
            </w:r>
          </w:p>
          <w:p w14:paraId="1B135C19">
            <w:pPr>
              <w:spacing w:before="0" w:beforeLines="0"/>
              <w:ind w:firstLine="420" w:firstLineChars="200"/>
              <w:rPr>
                <w:rFonts w:hint="eastAsia" w:ascii="Times New Roman" w:hAnsi="Times New Roman" w:eastAsia="宋体" w:cs="宋体"/>
                <w:color w:val="auto"/>
                <w:szCs w:val="21"/>
                <w:highlight w:val="none"/>
                <w:lang w:bidi="ar"/>
              </w:rPr>
            </w:pPr>
            <w:r>
              <w:rPr>
                <w:rFonts w:hint="eastAsia" w:ascii="Times New Roman" w:hAnsi="Times New Roman" w:eastAsia="宋体" w:cs="宋体"/>
                <w:color w:val="auto"/>
                <w:szCs w:val="21"/>
                <w:highlight w:val="none"/>
                <w:lang w:val="en-US" w:eastAsia="zh-CN" w:bidi="ar"/>
              </w:rPr>
              <w:t>考虑</w:t>
            </w:r>
            <w:r>
              <w:rPr>
                <w:rFonts w:hint="eastAsia" w:ascii="Times New Roman" w:hAnsi="Times New Roman" w:eastAsia="宋体" w:cs="宋体"/>
                <w:color w:val="auto"/>
                <w:szCs w:val="21"/>
                <w:highlight w:val="none"/>
                <w:lang w:bidi="ar"/>
              </w:rPr>
              <w:t>脱落率</w:t>
            </w:r>
            <w:r>
              <w:rPr>
                <w:rFonts w:hint="eastAsia" w:ascii="Times New Roman" w:hAnsi="Times New Roman" w:eastAsia="宋体" w:cs="宋体"/>
                <w:color w:val="auto"/>
                <w:szCs w:val="21"/>
                <w:highlight w:val="none"/>
                <w:lang w:val="en-US" w:eastAsia="zh-CN" w:bidi="ar"/>
              </w:rPr>
              <w:t>为</w:t>
            </w:r>
            <w:r>
              <w:rPr>
                <w:rFonts w:hint="eastAsia" w:ascii="Times New Roman" w:hAnsi="Times New Roman" w:eastAsia="宋体" w:cs="宋体"/>
                <w:color w:val="auto"/>
                <w:szCs w:val="21"/>
                <w:highlight w:val="none"/>
                <w:lang w:bidi="ar"/>
              </w:rPr>
              <w:t>20%，则每组应入组120例</w:t>
            </w:r>
            <w:r>
              <w:rPr>
                <w:rFonts w:hint="eastAsia" w:ascii="Times New Roman" w:hAnsi="Times New Roman" w:eastAsia="宋体" w:cs="宋体"/>
                <w:color w:val="auto"/>
                <w:szCs w:val="21"/>
                <w:highlight w:val="none"/>
                <w:lang w:eastAsia="zh-CN" w:bidi="ar"/>
              </w:rPr>
              <w:t>受试者</w:t>
            </w:r>
            <w:r>
              <w:rPr>
                <w:rFonts w:hint="eastAsia" w:ascii="Times New Roman" w:hAnsi="Times New Roman" w:eastAsia="宋体" w:cs="宋体"/>
                <w:color w:val="auto"/>
                <w:szCs w:val="21"/>
                <w:highlight w:val="none"/>
                <w:lang w:bidi="ar"/>
              </w:rPr>
              <w:t>。因此招募的总目标病例数应为240例。</w:t>
            </w:r>
          </w:p>
          <w:p w14:paraId="1BDE7E24">
            <w:pPr>
              <w:spacing w:before="0" w:beforeLines="0"/>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lang w:bidi="ar"/>
              </w:rPr>
              <w:t>（二）随机化</w:t>
            </w:r>
          </w:p>
          <w:p w14:paraId="5460116A">
            <w:pPr>
              <w:spacing w:before="0" w:beforeLines="0"/>
              <w:ind w:firstLine="420" w:firstLineChars="200"/>
              <w:rPr>
                <w:rFonts w:ascii="Times New Roman" w:hAnsi="Times New Roman" w:eastAsia="宋体" w:cs="宋体"/>
                <w:color w:val="auto"/>
                <w:szCs w:val="21"/>
                <w:highlight w:val="none"/>
                <w:lang w:bidi="ar"/>
              </w:rPr>
            </w:pPr>
            <w:r>
              <w:rPr>
                <w:rFonts w:hint="eastAsia" w:ascii="Times New Roman" w:hAnsi="Times New Roman" w:eastAsia="宋体" w:cs="宋体"/>
                <w:color w:val="auto"/>
                <w:szCs w:val="21"/>
                <w:highlight w:val="none"/>
                <w:lang w:bidi="ar"/>
              </w:rPr>
              <w:t>随机化是隐匿的，将由</w:t>
            </w:r>
            <w:r>
              <w:rPr>
                <w:rFonts w:hint="eastAsia" w:ascii="Times New Roman" w:hAnsi="Times New Roman" w:eastAsia="宋体"/>
                <w:color w:val="auto"/>
                <w:highlight w:val="none"/>
              </w:rPr>
              <w:t>简单随机化</w:t>
            </w:r>
            <w:r>
              <w:rPr>
                <w:rFonts w:hint="eastAsia" w:ascii="Times New Roman" w:hAnsi="Times New Roman" w:eastAsia="宋体" w:cs="宋体"/>
                <w:color w:val="auto"/>
                <w:szCs w:val="21"/>
                <w:highlight w:val="none"/>
                <w:lang w:bidi="ar"/>
              </w:rPr>
              <w:t>将</w:t>
            </w:r>
            <w:r>
              <w:rPr>
                <w:rFonts w:hint="eastAsia" w:ascii="Times New Roman" w:hAnsi="Times New Roman" w:eastAsia="宋体" w:cs="宋体"/>
                <w:color w:val="auto"/>
                <w:szCs w:val="21"/>
                <w:highlight w:val="none"/>
                <w:lang w:eastAsia="zh-CN" w:bidi="ar"/>
              </w:rPr>
              <w:t>受试者</w:t>
            </w:r>
            <w:r>
              <w:rPr>
                <w:rFonts w:hint="eastAsia" w:ascii="Times New Roman" w:hAnsi="Times New Roman" w:eastAsia="宋体" w:cs="宋体"/>
                <w:color w:val="auto"/>
                <w:szCs w:val="21"/>
                <w:highlight w:val="none"/>
                <w:lang w:bidi="ar"/>
              </w:rPr>
              <w:t>按1：1比例随机分配至</w:t>
            </w:r>
            <w:r>
              <w:rPr>
                <w:rFonts w:hint="eastAsia" w:ascii="Times New Roman" w:hAnsi="Times New Roman" w:eastAsia="宋体" w:cs="宋体"/>
                <w:color w:val="auto"/>
                <w:szCs w:val="21"/>
                <w:highlight w:val="none"/>
                <w:lang w:val="en-US" w:eastAsia="zh-CN" w:bidi="ar"/>
              </w:rPr>
              <w:t>试验组（</w:t>
            </w:r>
            <w:r>
              <w:rPr>
                <w:rFonts w:hint="eastAsia" w:ascii="Times New Roman" w:hAnsi="Times New Roman" w:eastAsia="宋体" w:cs="宋体"/>
                <w:color w:val="auto"/>
                <w:szCs w:val="21"/>
                <w:highlight w:val="none"/>
                <w:lang w:bidi="ar"/>
              </w:rPr>
              <w:t>君蓓力组</w:t>
            </w:r>
            <w:r>
              <w:rPr>
                <w:rFonts w:hint="eastAsia" w:ascii="Times New Roman" w:hAnsi="Times New Roman" w:eastAsia="宋体" w:cs="宋体"/>
                <w:color w:val="auto"/>
                <w:szCs w:val="21"/>
                <w:highlight w:val="none"/>
                <w:lang w:eastAsia="zh-CN" w:bidi="ar"/>
              </w:rPr>
              <w:t>）</w:t>
            </w:r>
            <w:r>
              <w:rPr>
                <w:rFonts w:hint="eastAsia" w:ascii="Times New Roman" w:hAnsi="Times New Roman" w:eastAsia="宋体" w:cs="宋体"/>
                <w:color w:val="auto"/>
                <w:szCs w:val="21"/>
                <w:highlight w:val="none"/>
                <w:lang w:bidi="ar"/>
              </w:rPr>
              <w:t>或对照组（速熠素</w:t>
            </w:r>
            <w:r>
              <w:rPr>
                <w:rFonts w:hint="eastAsia" w:ascii="Times New Roman" w:hAnsi="Times New Roman" w:eastAsia="宋体" w:cs="宋体"/>
                <w:color w:val="auto"/>
                <w:szCs w:val="21"/>
                <w:highlight w:val="none"/>
                <w:lang w:val="en-US" w:eastAsia="zh-CN" w:bidi="ar"/>
              </w:rPr>
              <w:t>组</w:t>
            </w:r>
            <w:r>
              <w:rPr>
                <w:rFonts w:hint="eastAsia" w:ascii="Times New Roman" w:hAnsi="Times New Roman" w:eastAsia="宋体" w:cs="宋体"/>
                <w:color w:val="auto"/>
                <w:szCs w:val="21"/>
                <w:highlight w:val="none"/>
                <w:lang w:bidi="ar"/>
              </w:rPr>
              <w:t>）。</w:t>
            </w:r>
          </w:p>
          <w:p w14:paraId="27B31441">
            <w:pPr>
              <w:spacing w:before="0" w:beforeLines="0"/>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lang w:bidi="ar"/>
              </w:rPr>
              <w:t>（三）统计分析</w:t>
            </w:r>
          </w:p>
          <w:p w14:paraId="6D4F9AEB">
            <w:pPr>
              <w:spacing w:before="0" w:beforeLines="0"/>
              <w:ind w:firstLine="420" w:firstLineChars="200"/>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lang w:bidi="ar"/>
              </w:rPr>
              <w:t>数据库锁定之前，由相关各方制定详细的统计分析计划(SAP)并予以批准。通过适当的描述性统计量描述所有变量。</w:t>
            </w:r>
          </w:p>
          <w:p w14:paraId="09E24683">
            <w:pPr>
              <w:spacing w:before="0" w:beforeLines="0"/>
              <w:ind w:firstLine="420" w:firstLineChars="200"/>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lang w:bidi="ar"/>
              </w:rPr>
              <w:t>主要终点分析将对全分析集（FAS）及符合方案集（PPS）进行分析，如果两个数据集的分析结论出现不一致时，以PPS集人群分析结果下结论。</w:t>
            </w:r>
          </w:p>
          <w:p w14:paraId="71059D6B">
            <w:pPr>
              <w:spacing w:before="0" w:beforeLines="0"/>
              <w:ind w:firstLine="420" w:firstLineChars="200"/>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lang w:eastAsia="zh-CN" w:bidi="ar"/>
              </w:rPr>
              <w:t>受试者</w:t>
            </w:r>
            <w:r>
              <w:rPr>
                <w:rFonts w:hint="eastAsia" w:ascii="Times New Roman" w:hAnsi="Times New Roman" w:eastAsia="宋体" w:cs="宋体"/>
                <w:color w:val="auto"/>
                <w:szCs w:val="21"/>
                <w:highlight w:val="none"/>
                <w:lang w:bidi="ar"/>
              </w:rPr>
              <w:t>对方案的依从性将在数据审核会时通过对方案偏离/违背的审核而形成决议。</w:t>
            </w:r>
          </w:p>
          <w:p w14:paraId="296BB93B">
            <w:pPr>
              <w:spacing w:before="0" w:beforeLines="0"/>
              <w:ind w:firstLine="420" w:firstLineChars="200"/>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lang w:bidi="ar"/>
              </w:rPr>
              <w:t>终点指标的统计分析均采用5%的显著性水平进行双侧统计检验。除非事先规定，效果指标的分析将对FAS集及PPS集进行分析，</w:t>
            </w:r>
            <w:r>
              <w:rPr>
                <w:rFonts w:hint="eastAsia" w:ascii="Times New Roman" w:hAnsi="Times New Roman" w:eastAsia="宋体" w:cs="宋体"/>
                <w:color w:val="auto"/>
                <w:szCs w:val="21"/>
                <w:highlight w:val="none"/>
                <w:lang w:eastAsia="zh-CN" w:bidi="ar"/>
              </w:rPr>
              <w:t>临床安全性</w:t>
            </w:r>
            <w:r>
              <w:rPr>
                <w:rFonts w:hint="eastAsia" w:ascii="Times New Roman" w:hAnsi="Times New Roman" w:eastAsia="宋体" w:cs="宋体"/>
                <w:color w:val="auto"/>
                <w:szCs w:val="21"/>
                <w:highlight w:val="none"/>
                <w:lang w:bidi="ar"/>
              </w:rPr>
              <w:t>指标的分析将对安全性数据集进行。</w:t>
            </w:r>
          </w:p>
        </w:tc>
      </w:tr>
    </w:tbl>
    <w:p w14:paraId="32B63ECF">
      <w:pPr>
        <w:pStyle w:val="5"/>
        <w:spacing w:line="240" w:lineRule="auto"/>
        <w:rPr>
          <w:rFonts w:ascii="Times New Roman" w:hAnsi="Times New Roman" w:cs="黑体"/>
          <w:color w:val="auto"/>
          <w:highlight w:val="none"/>
        </w:rPr>
        <w:sectPr>
          <w:footerReference r:id="rId10"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5FAAE5E8">
      <w:pPr>
        <w:pStyle w:val="3"/>
        <w:numPr>
          <w:ilvl w:val="0"/>
          <w:numId w:val="1"/>
        </w:numPr>
        <w:spacing w:before="0" w:line="240" w:lineRule="auto"/>
        <w:rPr>
          <w:rFonts w:ascii="Times New Roman" w:hAnsi="Times New Roman" w:cs="黑体"/>
          <w:b/>
          <w:bCs/>
          <w:color w:val="auto"/>
          <w:szCs w:val="28"/>
          <w:highlight w:val="none"/>
        </w:rPr>
      </w:pPr>
      <w:bookmarkStart w:id="10" w:name="_Toc10176"/>
      <w:r>
        <w:rPr>
          <w:rFonts w:hint="eastAsia" w:ascii="Times New Roman" w:hAnsi="Times New Roman" w:cs="黑体"/>
          <w:b/>
          <w:bCs/>
          <w:color w:val="auto"/>
          <w:szCs w:val="28"/>
          <w:highlight w:val="none"/>
          <w:lang w:val="en-US" w:eastAsia="zh-CN"/>
        </w:rPr>
        <w:t>试验流程图</w:t>
      </w:r>
      <w:bookmarkEnd w:id="10"/>
    </w:p>
    <w:tbl>
      <w:tblPr>
        <w:tblStyle w:val="29"/>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3334"/>
        <w:gridCol w:w="3334"/>
        <w:gridCol w:w="3342"/>
      </w:tblGrid>
      <w:tr w14:paraId="6DF71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1466" w:type="pct"/>
            <w:vMerge w:val="restart"/>
            <w:shd w:val="clear" w:color="auto" w:fill="D7D7D7"/>
            <w:vAlign w:val="center"/>
          </w:tcPr>
          <w:p w14:paraId="21E454BA">
            <w:pPr>
              <w:spacing w:before="0" w:beforeLines="0" w:line="300" w:lineRule="exact"/>
              <w:ind w:firstLine="422"/>
              <w:jc w:val="center"/>
              <w:rPr>
                <w:rFonts w:ascii="Times New Roman" w:hAnsi="Times New Roman" w:eastAsia="宋体" w:cs="宋体"/>
                <w:b/>
                <w:bCs/>
                <w:color w:val="auto"/>
                <w:szCs w:val="21"/>
                <w:highlight w:val="none"/>
              </w:rPr>
            </w:pPr>
            <w:r>
              <w:rPr>
                <w:rFonts w:hint="eastAsia" w:ascii="Times New Roman" w:hAnsi="Times New Roman" w:eastAsia="宋体" w:cs="宋体"/>
                <w:b/>
                <w:bCs/>
                <w:color w:val="auto"/>
                <w:szCs w:val="21"/>
                <w:highlight w:val="none"/>
              </w:rPr>
              <w:t>事件</w:t>
            </w:r>
          </w:p>
        </w:tc>
        <w:tc>
          <w:tcPr>
            <w:tcW w:w="1177" w:type="pct"/>
            <w:shd w:val="clear" w:color="auto" w:fill="D7D7D7"/>
            <w:vAlign w:val="center"/>
          </w:tcPr>
          <w:p w14:paraId="5A5B5250">
            <w:pPr>
              <w:spacing w:before="0" w:beforeLines="0" w:line="300" w:lineRule="exact"/>
              <w:jc w:val="center"/>
              <w:rPr>
                <w:rFonts w:hint="default" w:ascii="Times New Roman" w:hAnsi="Times New Roman" w:eastAsia="宋体" w:cs="宋体"/>
                <w:b/>
                <w:bCs/>
                <w:color w:val="auto"/>
                <w:szCs w:val="21"/>
                <w:highlight w:val="none"/>
                <w:lang w:val="en-US" w:eastAsia="zh-CN"/>
              </w:rPr>
            </w:pPr>
            <w:r>
              <w:rPr>
                <w:rFonts w:hint="eastAsia" w:ascii="Times New Roman" w:hAnsi="Times New Roman" w:eastAsia="宋体" w:cs="宋体"/>
                <w:b/>
                <w:bCs/>
                <w:color w:val="auto"/>
                <w:szCs w:val="21"/>
                <w:highlight w:val="none"/>
              </w:rPr>
              <w:t>筛选期</w:t>
            </w:r>
            <w:r>
              <w:rPr>
                <w:rFonts w:hint="eastAsia" w:ascii="Times New Roman" w:hAnsi="Times New Roman" w:cs="宋体"/>
                <w:b/>
                <w:bCs/>
                <w:color w:val="auto"/>
                <w:szCs w:val="21"/>
                <w:highlight w:val="none"/>
                <w:vertAlign w:val="baseline"/>
                <w:lang w:val="en-US" w:eastAsia="zh-CN"/>
              </w:rPr>
              <w:t>/基线</w:t>
            </w:r>
            <w:r>
              <w:rPr>
                <w:rFonts w:hint="eastAsia" w:ascii="Times New Roman" w:hAnsi="Times New Roman" w:cs="宋体"/>
                <w:b/>
                <w:bCs/>
                <w:color w:val="auto"/>
                <w:szCs w:val="21"/>
                <w:highlight w:val="none"/>
                <w:vertAlign w:val="superscript"/>
                <w:lang w:val="en-US" w:eastAsia="zh-CN"/>
              </w:rPr>
              <w:t>1</w:t>
            </w:r>
          </w:p>
        </w:tc>
        <w:tc>
          <w:tcPr>
            <w:tcW w:w="1177" w:type="pct"/>
            <w:shd w:val="clear" w:color="auto" w:fill="D7D7D7"/>
            <w:vAlign w:val="center"/>
          </w:tcPr>
          <w:p w14:paraId="3BC62B0D">
            <w:pPr>
              <w:spacing w:before="0" w:beforeLines="0" w:line="300" w:lineRule="exact"/>
              <w:jc w:val="center"/>
              <w:rPr>
                <w:rFonts w:hint="default" w:ascii="Times New Roman" w:hAnsi="Times New Roman" w:eastAsia="宋体" w:cs="宋体"/>
                <w:b/>
                <w:bCs/>
                <w:color w:val="auto"/>
                <w:szCs w:val="21"/>
                <w:highlight w:val="none"/>
                <w:lang w:val="en-US"/>
              </w:rPr>
            </w:pPr>
            <w:r>
              <w:rPr>
                <w:rFonts w:hint="eastAsia" w:ascii="Times New Roman" w:hAnsi="Times New Roman" w:cs="宋体"/>
                <w:b/>
                <w:bCs/>
                <w:color w:val="auto"/>
                <w:szCs w:val="21"/>
                <w:highlight w:val="none"/>
                <w:lang w:val="en-US" w:eastAsia="zh-CN"/>
              </w:rPr>
              <w:t>服用</w:t>
            </w:r>
            <w:r>
              <w:rPr>
                <w:rFonts w:hint="default" w:ascii="Times New Roman" w:hAnsi="Times New Roman" w:eastAsia="宋体" w:cs="宋体"/>
                <w:b/>
                <w:bCs/>
                <w:color w:val="auto"/>
                <w:szCs w:val="21"/>
                <w:highlight w:val="none"/>
                <w:lang w:val="en-US" w:eastAsia="zh-CN"/>
              </w:rPr>
              <w:t>周期</w:t>
            </w:r>
          </w:p>
        </w:tc>
        <w:tc>
          <w:tcPr>
            <w:tcW w:w="1179" w:type="pct"/>
            <w:shd w:val="clear" w:color="auto" w:fill="D7D7D7"/>
            <w:vAlign w:val="center"/>
          </w:tcPr>
          <w:p w14:paraId="06569B58">
            <w:pPr>
              <w:spacing w:before="0" w:beforeLines="0" w:line="300" w:lineRule="exact"/>
              <w:jc w:val="center"/>
              <w:rPr>
                <w:rFonts w:hint="default" w:ascii="Times New Roman" w:hAnsi="Times New Roman" w:eastAsia="宋体" w:cs="宋体"/>
                <w:b/>
                <w:bCs/>
                <w:color w:val="auto"/>
                <w:szCs w:val="21"/>
                <w:highlight w:val="none"/>
                <w:lang w:val="en-US"/>
              </w:rPr>
            </w:pPr>
            <w:r>
              <w:rPr>
                <w:rFonts w:hint="eastAsia" w:ascii="Times New Roman" w:hAnsi="Times New Roman" w:cs="宋体"/>
                <w:b/>
                <w:bCs/>
                <w:color w:val="auto"/>
                <w:szCs w:val="21"/>
                <w:highlight w:val="none"/>
                <w:lang w:val="en-US" w:eastAsia="zh-CN"/>
              </w:rPr>
              <w:t>末次</w:t>
            </w:r>
            <w:r>
              <w:rPr>
                <w:rFonts w:hint="eastAsia" w:ascii="Times New Roman" w:hAnsi="Times New Roman" w:eastAsia="宋体" w:cs="宋体"/>
                <w:b/>
                <w:bCs/>
                <w:color w:val="auto"/>
                <w:szCs w:val="21"/>
                <w:highlight w:val="none"/>
              </w:rPr>
              <w:t>访视</w:t>
            </w:r>
          </w:p>
        </w:tc>
      </w:tr>
      <w:tr w14:paraId="6FAB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1466" w:type="pct"/>
            <w:vMerge w:val="continue"/>
            <w:shd w:val="clear" w:color="auto" w:fill="D7D7D7"/>
            <w:vAlign w:val="center"/>
          </w:tcPr>
          <w:p w14:paraId="42BFFDF6">
            <w:pPr>
              <w:spacing w:before="0" w:beforeLines="0" w:line="300" w:lineRule="exact"/>
              <w:jc w:val="center"/>
              <w:rPr>
                <w:rFonts w:ascii="Times New Roman" w:hAnsi="Times New Roman" w:eastAsia="宋体" w:cs="宋体"/>
                <w:color w:val="auto"/>
                <w:szCs w:val="21"/>
                <w:highlight w:val="none"/>
              </w:rPr>
            </w:pPr>
          </w:p>
        </w:tc>
        <w:tc>
          <w:tcPr>
            <w:tcW w:w="1177" w:type="pct"/>
            <w:shd w:val="clear" w:color="auto" w:fill="D7D7D7"/>
            <w:vAlign w:val="center"/>
          </w:tcPr>
          <w:p w14:paraId="75CF73F9">
            <w:pPr>
              <w:spacing w:before="0" w:beforeLines="0" w:line="300" w:lineRule="exact"/>
              <w:jc w:val="center"/>
              <w:rPr>
                <w:rFonts w:hint="eastAsia" w:ascii="Times New Roman" w:hAnsi="Times New Roman" w:eastAsia="宋体" w:cs="宋体"/>
                <w:b/>
                <w:bCs/>
                <w:color w:val="auto"/>
                <w:szCs w:val="21"/>
                <w:highlight w:val="none"/>
                <w:lang w:val="en-US" w:eastAsia="zh-CN"/>
              </w:rPr>
            </w:pPr>
            <w:r>
              <w:rPr>
                <w:rFonts w:hint="eastAsia" w:ascii="Times New Roman" w:hAnsi="Times New Roman" w:eastAsia="宋体" w:cs="宋体"/>
                <w:b/>
                <w:bCs/>
                <w:color w:val="auto"/>
                <w:szCs w:val="21"/>
                <w:highlight w:val="none"/>
              </w:rPr>
              <w:t>第0(±1)天空腹状态</w:t>
            </w:r>
            <w:r>
              <w:rPr>
                <w:rFonts w:hint="eastAsia" w:ascii="Times New Roman" w:hAnsi="Times New Roman" w:cs="宋体"/>
                <w:b/>
                <w:bCs/>
                <w:color w:val="auto"/>
                <w:szCs w:val="21"/>
                <w:highlight w:val="none"/>
                <w:vertAlign w:val="superscript"/>
                <w:lang w:val="en-US" w:eastAsia="zh-CN"/>
              </w:rPr>
              <w:t>2</w:t>
            </w:r>
          </w:p>
        </w:tc>
        <w:tc>
          <w:tcPr>
            <w:tcW w:w="1177" w:type="pct"/>
            <w:shd w:val="clear" w:color="auto" w:fill="D7D7D7"/>
            <w:vAlign w:val="center"/>
          </w:tcPr>
          <w:p w14:paraId="35C7E2EA">
            <w:pPr>
              <w:spacing w:before="0" w:beforeLines="0" w:line="300" w:lineRule="exact"/>
              <w:jc w:val="center"/>
              <w:rPr>
                <w:rFonts w:hint="default" w:ascii="Times New Roman" w:hAnsi="Times New Roman" w:eastAsia="宋体" w:cs="宋体"/>
                <w:b/>
                <w:bCs/>
                <w:color w:val="auto"/>
                <w:szCs w:val="21"/>
                <w:highlight w:val="none"/>
                <w:lang w:val="en-US" w:eastAsia="zh-CN"/>
              </w:rPr>
            </w:pPr>
            <w:r>
              <w:rPr>
                <w:rFonts w:hint="default" w:ascii="Times New Roman" w:hAnsi="Times New Roman" w:eastAsia="宋体" w:cs="宋体"/>
                <w:b/>
                <w:bCs/>
                <w:color w:val="auto"/>
                <w:szCs w:val="21"/>
                <w:highlight w:val="none"/>
                <w:lang w:val="en-US" w:eastAsia="zh-CN"/>
              </w:rPr>
              <w:t>2</w:t>
            </w:r>
            <w:r>
              <w:rPr>
                <w:rFonts w:hint="eastAsia" w:ascii="Times New Roman" w:hAnsi="Times New Roman" w:cs="宋体"/>
                <w:b/>
                <w:bCs/>
                <w:color w:val="auto"/>
                <w:szCs w:val="21"/>
                <w:highlight w:val="none"/>
                <w:lang w:val="en-US" w:eastAsia="zh-CN"/>
              </w:rPr>
              <w:t>0</w:t>
            </w:r>
            <w:r>
              <w:rPr>
                <w:rFonts w:hint="default" w:ascii="Times New Roman" w:hAnsi="Times New Roman" w:eastAsia="宋体" w:cs="宋体"/>
                <w:b/>
                <w:bCs/>
                <w:color w:val="auto"/>
                <w:szCs w:val="21"/>
                <w:highlight w:val="none"/>
                <w:lang w:val="en-US" w:eastAsia="zh-CN"/>
              </w:rPr>
              <w:t>(±1)天</w:t>
            </w:r>
          </w:p>
        </w:tc>
        <w:tc>
          <w:tcPr>
            <w:tcW w:w="1179" w:type="pct"/>
            <w:shd w:val="clear" w:color="auto" w:fill="D7D7D7"/>
            <w:vAlign w:val="center"/>
          </w:tcPr>
          <w:p w14:paraId="24414A2C">
            <w:pPr>
              <w:spacing w:before="0" w:beforeLines="0" w:line="300" w:lineRule="exact"/>
              <w:jc w:val="center"/>
              <w:rPr>
                <w:rFonts w:hint="eastAsia" w:ascii="Times New Roman" w:hAnsi="Times New Roman" w:eastAsia="宋体" w:cs="宋体"/>
                <w:b/>
                <w:bCs/>
                <w:color w:val="auto"/>
                <w:szCs w:val="21"/>
                <w:highlight w:val="none"/>
                <w:lang w:val="en-US" w:eastAsia="zh-CN"/>
              </w:rPr>
            </w:pPr>
            <w:r>
              <w:rPr>
                <w:rFonts w:hint="eastAsia" w:ascii="Times New Roman" w:hAnsi="Times New Roman" w:eastAsia="宋体" w:cs="宋体"/>
                <w:b/>
                <w:bCs/>
                <w:color w:val="auto"/>
                <w:szCs w:val="21"/>
                <w:highlight w:val="none"/>
                <w:lang w:val="en-US" w:eastAsia="zh-CN"/>
              </w:rPr>
              <w:t>第21(±1)天空腹状态</w:t>
            </w:r>
          </w:p>
          <w:p w14:paraId="57037B3E">
            <w:pPr>
              <w:spacing w:before="0" w:beforeLines="0" w:line="300" w:lineRule="exact"/>
              <w:jc w:val="center"/>
              <w:rPr>
                <w:rFonts w:hint="default" w:ascii="Times New Roman" w:hAnsi="Times New Roman" w:eastAsia="宋体" w:cs="宋体"/>
                <w:b/>
                <w:bCs/>
                <w:color w:val="auto"/>
                <w:szCs w:val="21"/>
                <w:highlight w:val="none"/>
                <w:lang w:val="en-US" w:eastAsia="zh-CN"/>
              </w:rPr>
            </w:pPr>
            <w:r>
              <w:rPr>
                <w:rFonts w:hint="eastAsia" w:ascii="Times New Roman" w:hAnsi="Times New Roman" w:eastAsia="宋体" w:cs="宋体"/>
                <w:b/>
                <w:bCs/>
                <w:color w:val="auto"/>
                <w:szCs w:val="21"/>
                <w:highlight w:val="none"/>
                <w:lang w:val="en-US" w:eastAsia="zh-CN"/>
              </w:rPr>
              <w:t>（完成服用后次日）</w:t>
            </w:r>
            <w:r>
              <w:rPr>
                <w:rFonts w:hint="eastAsia" w:ascii="Times New Roman" w:hAnsi="Times New Roman" w:cs="宋体"/>
                <w:b/>
                <w:bCs/>
                <w:color w:val="auto"/>
                <w:szCs w:val="21"/>
                <w:highlight w:val="none"/>
                <w:vertAlign w:val="superscript"/>
                <w:lang w:val="en-US" w:eastAsia="zh-CN"/>
              </w:rPr>
              <w:t>6</w:t>
            </w:r>
          </w:p>
        </w:tc>
      </w:tr>
      <w:tr w14:paraId="61B5A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shd w:val="clear" w:color="auto" w:fill="D7D7D7"/>
            <w:vAlign w:val="center"/>
          </w:tcPr>
          <w:p w14:paraId="3748CC6E">
            <w:pPr>
              <w:spacing w:before="0" w:beforeLines="0" w:line="300" w:lineRule="exact"/>
              <w:jc w:val="left"/>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知情同意书签署</w:t>
            </w:r>
          </w:p>
        </w:tc>
        <w:tc>
          <w:tcPr>
            <w:tcW w:w="1177" w:type="pct"/>
            <w:vAlign w:val="center"/>
          </w:tcPr>
          <w:p w14:paraId="7C18DC4F">
            <w:pPr>
              <w:spacing w:before="0" w:beforeLines="0" w:line="300" w:lineRule="exact"/>
              <w:jc w:val="center"/>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c>
          <w:tcPr>
            <w:tcW w:w="1177" w:type="pct"/>
            <w:vAlign w:val="center"/>
          </w:tcPr>
          <w:p w14:paraId="6217EFCD">
            <w:pPr>
              <w:spacing w:before="0" w:beforeLines="0" w:line="300" w:lineRule="exact"/>
              <w:jc w:val="center"/>
              <w:rPr>
                <w:rFonts w:ascii="Times New Roman" w:hAnsi="Times New Roman" w:eastAsia="宋体" w:cs="宋体"/>
                <w:color w:val="auto"/>
                <w:szCs w:val="21"/>
                <w:highlight w:val="none"/>
              </w:rPr>
            </w:pPr>
          </w:p>
        </w:tc>
        <w:tc>
          <w:tcPr>
            <w:tcW w:w="1179" w:type="pct"/>
            <w:vAlign w:val="center"/>
          </w:tcPr>
          <w:p w14:paraId="7BD3C4B4">
            <w:pPr>
              <w:spacing w:before="0" w:beforeLines="0" w:line="300" w:lineRule="exact"/>
              <w:jc w:val="center"/>
              <w:rPr>
                <w:rFonts w:ascii="Times New Roman" w:hAnsi="Times New Roman" w:eastAsia="宋体" w:cs="宋体"/>
                <w:color w:val="auto"/>
                <w:szCs w:val="21"/>
                <w:highlight w:val="none"/>
              </w:rPr>
            </w:pPr>
          </w:p>
        </w:tc>
      </w:tr>
      <w:tr w14:paraId="321C9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shd w:val="clear" w:color="auto" w:fill="D7D7D7"/>
            <w:vAlign w:val="center"/>
          </w:tcPr>
          <w:p w14:paraId="3061B381">
            <w:pPr>
              <w:spacing w:before="0" w:beforeLines="0" w:line="300" w:lineRule="exact"/>
              <w:jc w:val="left"/>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人口统计学资料</w:t>
            </w:r>
          </w:p>
          <w:p w14:paraId="550826FC">
            <w:pPr>
              <w:spacing w:before="0" w:beforeLines="0" w:line="300" w:lineRule="exact"/>
              <w:jc w:val="left"/>
              <w:rPr>
                <w:rFonts w:ascii="Times New Roman" w:hAnsi="Times New Roman" w:eastAsia="宋体" w:cs="宋体"/>
                <w:color w:val="auto"/>
                <w:kern w:val="2"/>
                <w:sz w:val="21"/>
                <w:szCs w:val="21"/>
                <w:highlight w:val="none"/>
                <w:lang w:val="en-US" w:eastAsia="zh-CN" w:bidi="ar-SA"/>
              </w:rPr>
            </w:pPr>
            <w:r>
              <w:rPr>
                <w:rFonts w:hint="eastAsia" w:ascii="Times New Roman" w:hAnsi="Times New Roman" w:eastAsia="宋体" w:cs="宋体"/>
                <w:color w:val="auto"/>
                <w:szCs w:val="21"/>
                <w:highlight w:val="none"/>
              </w:rPr>
              <w:t>(</w:t>
            </w:r>
            <w:r>
              <w:rPr>
                <w:rFonts w:hint="eastAsia" w:ascii="Times New Roman" w:hAnsi="Times New Roman" w:cs="宋体"/>
                <w:color w:val="auto"/>
                <w:szCs w:val="21"/>
                <w:highlight w:val="none"/>
                <w:lang w:val="en-US" w:eastAsia="zh-CN"/>
              </w:rPr>
              <w:t>年龄</w:t>
            </w:r>
            <w:r>
              <w:rPr>
                <w:rFonts w:hint="eastAsia" w:ascii="Times New Roman" w:hAnsi="Times New Roman" w:eastAsia="宋体" w:cs="宋体"/>
                <w:color w:val="auto"/>
                <w:szCs w:val="21"/>
                <w:highlight w:val="none"/>
              </w:rPr>
              <w:t>、性别、身高、体重、BMI)</w:t>
            </w:r>
          </w:p>
        </w:tc>
        <w:tc>
          <w:tcPr>
            <w:tcW w:w="1177" w:type="pct"/>
            <w:vAlign w:val="center"/>
          </w:tcPr>
          <w:p w14:paraId="517105B4">
            <w:pPr>
              <w:spacing w:before="0" w:beforeLines="0" w:line="300" w:lineRule="exact"/>
              <w:jc w:val="center"/>
              <w:rPr>
                <w:rFonts w:ascii="Times New Roman" w:hAnsi="Times New Roman" w:eastAsia="宋体" w:cs="宋体"/>
                <w:color w:val="auto"/>
                <w:kern w:val="2"/>
                <w:sz w:val="21"/>
                <w:szCs w:val="21"/>
                <w:highlight w:val="none"/>
                <w:lang w:val="en-US" w:eastAsia="zh-CN" w:bidi="ar-SA"/>
              </w:rPr>
            </w:pPr>
            <w:r>
              <w:rPr>
                <w:rFonts w:hint="eastAsia" w:ascii="Times New Roman" w:hAnsi="Times New Roman" w:eastAsia="宋体" w:cs="宋体"/>
                <w:color w:val="auto"/>
                <w:szCs w:val="21"/>
                <w:highlight w:val="none"/>
              </w:rPr>
              <w:t>×</w:t>
            </w:r>
          </w:p>
        </w:tc>
        <w:tc>
          <w:tcPr>
            <w:tcW w:w="1177" w:type="pct"/>
            <w:vAlign w:val="center"/>
          </w:tcPr>
          <w:p w14:paraId="0FFB73B1">
            <w:pPr>
              <w:spacing w:before="0" w:beforeLines="0" w:line="300" w:lineRule="exact"/>
              <w:jc w:val="center"/>
              <w:rPr>
                <w:rFonts w:ascii="Times New Roman" w:hAnsi="Times New Roman" w:eastAsia="宋体" w:cs="宋体"/>
                <w:color w:val="auto"/>
                <w:kern w:val="2"/>
                <w:sz w:val="21"/>
                <w:szCs w:val="21"/>
                <w:highlight w:val="none"/>
                <w:lang w:val="en-US" w:eastAsia="zh-CN" w:bidi="ar-SA"/>
              </w:rPr>
            </w:pPr>
          </w:p>
        </w:tc>
        <w:tc>
          <w:tcPr>
            <w:tcW w:w="1179" w:type="pct"/>
            <w:vAlign w:val="center"/>
          </w:tcPr>
          <w:p w14:paraId="3FB2C0CE">
            <w:pPr>
              <w:spacing w:before="0" w:beforeLines="0" w:line="300" w:lineRule="exact"/>
              <w:jc w:val="center"/>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p w14:paraId="068FC983">
            <w:pPr>
              <w:spacing w:before="0" w:beforeLines="0" w:line="300" w:lineRule="exact"/>
              <w:jc w:val="center"/>
              <w:rPr>
                <w:rFonts w:ascii="Times New Roman" w:hAnsi="Times New Roman" w:eastAsia="宋体" w:cs="宋体"/>
                <w:color w:val="auto"/>
                <w:kern w:val="2"/>
                <w:sz w:val="21"/>
                <w:szCs w:val="21"/>
                <w:highlight w:val="none"/>
                <w:lang w:val="en-US" w:eastAsia="zh-CN" w:bidi="ar-SA"/>
              </w:rPr>
            </w:pPr>
            <w:r>
              <w:rPr>
                <w:rFonts w:hint="eastAsia" w:ascii="Times New Roman" w:hAnsi="Times New Roman" w:eastAsia="宋体" w:cs="宋体"/>
                <w:color w:val="auto"/>
                <w:szCs w:val="21"/>
                <w:highlight w:val="none"/>
              </w:rPr>
              <w:t>（体重）</w:t>
            </w:r>
          </w:p>
        </w:tc>
      </w:tr>
      <w:tr w14:paraId="5E33F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shd w:val="clear" w:color="auto" w:fill="D7D7D7"/>
            <w:vAlign w:val="center"/>
          </w:tcPr>
          <w:p w14:paraId="63312021">
            <w:pPr>
              <w:spacing w:before="0" w:beforeLines="0" w:line="300" w:lineRule="exact"/>
              <w:jc w:val="left"/>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生命体征检查</w:t>
            </w:r>
          </w:p>
          <w:p w14:paraId="53C0ED6A">
            <w:pPr>
              <w:spacing w:before="0" w:beforeLines="0" w:line="300" w:lineRule="exact"/>
              <w:jc w:val="left"/>
              <w:rPr>
                <w:rFonts w:hint="eastAsia" w:ascii="Times New Roman" w:hAnsi="Times New Roman" w:eastAsia="宋体" w:cs="宋体"/>
                <w:color w:val="auto"/>
                <w:kern w:val="2"/>
                <w:sz w:val="21"/>
                <w:szCs w:val="21"/>
                <w:highlight w:val="none"/>
                <w:lang w:val="en-US" w:eastAsia="zh-CN" w:bidi="ar-SA"/>
              </w:rPr>
            </w:pPr>
            <w:r>
              <w:rPr>
                <w:rFonts w:hint="eastAsia" w:ascii="Times New Roman" w:hAnsi="Times New Roman" w:eastAsia="宋体" w:cs="宋体"/>
                <w:color w:val="auto"/>
                <w:szCs w:val="21"/>
                <w:highlight w:val="none"/>
              </w:rPr>
              <w:t>(体温</w:t>
            </w:r>
            <w:r>
              <w:rPr>
                <w:rFonts w:hint="eastAsia" w:ascii="Times New Roman" w:hAnsi="Times New Roman" w:cs="宋体"/>
                <w:color w:val="auto"/>
                <w:szCs w:val="21"/>
                <w:highlight w:val="none"/>
                <w:lang w:eastAsia="zh-CN"/>
              </w:rPr>
              <w:t>、脉搏</w:t>
            </w:r>
            <w:r>
              <w:rPr>
                <w:rFonts w:hint="eastAsia" w:ascii="Times New Roman" w:hAnsi="Times New Roman" w:eastAsia="宋体" w:cs="宋体"/>
                <w:color w:val="auto"/>
                <w:szCs w:val="21"/>
                <w:highlight w:val="none"/>
              </w:rPr>
              <w:t>、</w:t>
            </w:r>
            <w:r>
              <w:rPr>
                <w:rFonts w:hint="eastAsia" w:ascii="Times New Roman" w:hAnsi="Times New Roman" w:cs="宋体"/>
                <w:color w:val="auto"/>
                <w:szCs w:val="21"/>
                <w:highlight w:val="none"/>
                <w:lang w:val="en-US" w:eastAsia="zh-CN"/>
              </w:rPr>
              <w:t>呼吸</w:t>
            </w:r>
            <w:r>
              <w:rPr>
                <w:rFonts w:hint="eastAsia" w:ascii="Times New Roman" w:hAnsi="Times New Roman" w:eastAsia="宋体" w:cs="宋体"/>
                <w:color w:val="auto"/>
                <w:szCs w:val="21"/>
                <w:highlight w:val="none"/>
              </w:rPr>
              <w:t>、血压)</w:t>
            </w:r>
          </w:p>
        </w:tc>
        <w:tc>
          <w:tcPr>
            <w:tcW w:w="1177" w:type="pct"/>
            <w:vAlign w:val="center"/>
          </w:tcPr>
          <w:p w14:paraId="21AF9A3B">
            <w:pPr>
              <w:spacing w:before="0" w:beforeLines="0" w:line="300" w:lineRule="exact"/>
              <w:jc w:val="center"/>
              <w:rPr>
                <w:rFonts w:hint="eastAsia" w:ascii="Times New Roman" w:hAnsi="Times New Roman" w:eastAsia="宋体" w:cs="宋体"/>
                <w:color w:val="auto"/>
                <w:kern w:val="2"/>
                <w:sz w:val="21"/>
                <w:szCs w:val="21"/>
                <w:highlight w:val="none"/>
                <w:lang w:val="en-US" w:eastAsia="zh-CN" w:bidi="ar-SA"/>
              </w:rPr>
            </w:pPr>
            <w:r>
              <w:rPr>
                <w:rFonts w:hint="eastAsia" w:ascii="Times New Roman" w:hAnsi="Times New Roman" w:eastAsia="宋体" w:cs="宋体"/>
                <w:color w:val="auto"/>
                <w:szCs w:val="21"/>
                <w:highlight w:val="none"/>
              </w:rPr>
              <w:t>×</w:t>
            </w:r>
          </w:p>
        </w:tc>
        <w:tc>
          <w:tcPr>
            <w:tcW w:w="1177" w:type="pct"/>
            <w:vAlign w:val="center"/>
          </w:tcPr>
          <w:p w14:paraId="0F9C0E82">
            <w:pPr>
              <w:spacing w:before="0" w:beforeLines="0" w:line="300" w:lineRule="exact"/>
              <w:jc w:val="center"/>
              <w:rPr>
                <w:rFonts w:ascii="Times New Roman" w:hAnsi="Times New Roman" w:eastAsia="宋体" w:cs="宋体"/>
                <w:color w:val="auto"/>
                <w:kern w:val="2"/>
                <w:sz w:val="21"/>
                <w:szCs w:val="21"/>
                <w:highlight w:val="none"/>
                <w:lang w:val="en-US" w:eastAsia="zh-CN" w:bidi="ar-SA"/>
              </w:rPr>
            </w:pPr>
          </w:p>
        </w:tc>
        <w:tc>
          <w:tcPr>
            <w:tcW w:w="1179" w:type="pct"/>
            <w:vAlign w:val="center"/>
          </w:tcPr>
          <w:p w14:paraId="76B2BA2C">
            <w:pPr>
              <w:spacing w:before="0" w:beforeLines="0" w:line="300" w:lineRule="exact"/>
              <w:jc w:val="center"/>
              <w:rPr>
                <w:rFonts w:hint="eastAsia" w:ascii="Times New Roman" w:hAnsi="Times New Roman" w:eastAsia="宋体" w:cs="宋体"/>
                <w:color w:val="auto"/>
                <w:kern w:val="2"/>
                <w:sz w:val="21"/>
                <w:szCs w:val="21"/>
                <w:highlight w:val="none"/>
                <w:lang w:val="en-US" w:eastAsia="zh-CN" w:bidi="ar-SA"/>
              </w:rPr>
            </w:pPr>
            <w:r>
              <w:rPr>
                <w:rFonts w:hint="eastAsia" w:ascii="Times New Roman" w:hAnsi="Times New Roman" w:eastAsia="宋体" w:cs="宋体"/>
                <w:color w:val="auto"/>
                <w:szCs w:val="21"/>
                <w:highlight w:val="none"/>
              </w:rPr>
              <w:t>×</w:t>
            </w:r>
          </w:p>
        </w:tc>
      </w:tr>
      <w:tr w14:paraId="30637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shd w:val="clear" w:color="auto" w:fill="D7D7D7"/>
            <w:vAlign w:val="center"/>
          </w:tcPr>
          <w:p w14:paraId="7159291D">
            <w:pPr>
              <w:spacing w:before="0" w:beforeLines="0" w:line="300" w:lineRule="exact"/>
              <w:jc w:val="left"/>
              <w:rPr>
                <w:rFonts w:hint="eastAsia" w:ascii="Times New Roman" w:hAnsi="Times New Roman" w:eastAsia="宋体" w:cs="宋体"/>
                <w:color w:val="auto"/>
                <w:kern w:val="2"/>
                <w:sz w:val="21"/>
                <w:szCs w:val="21"/>
                <w:highlight w:val="none"/>
                <w:lang w:val="en-US" w:eastAsia="zh-CN" w:bidi="ar-SA"/>
              </w:rPr>
            </w:pPr>
            <w:r>
              <w:rPr>
                <w:rFonts w:hint="eastAsia" w:ascii="Times New Roman" w:hAnsi="Times New Roman" w:eastAsia="宋体" w:cs="宋体"/>
                <w:color w:val="auto"/>
                <w:szCs w:val="21"/>
                <w:highlight w:val="none"/>
              </w:rPr>
              <w:t>既往史（半年内）</w:t>
            </w:r>
          </w:p>
        </w:tc>
        <w:tc>
          <w:tcPr>
            <w:tcW w:w="1177" w:type="pct"/>
            <w:vAlign w:val="center"/>
          </w:tcPr>
          <w:p w14:paraId="7E932A5A">
            <w:pPr>
              <w:spacing w:before="0" w:beforeLines="0" w:line="300" w:lineRule="exact"/>
              <w:jc w:val="center"/>
              <w:rPr>
                <w:rFonts w:hint="eastAsia" w:ascii="Times New Roman" w:hAnsi="Times New Roman" w:eastAsia="宋体" w:cs="宋体"/>
                <w:color w:val="auto"/>
                <w:kern w:val="2"/>
                <w:sz w:val="21"/>
                <w:szCs w:val="21"/>
                <w:highlight w:val="none"/>
                <w:lang w:val="en-US" w:eastAsia="zh-CN" w:bidi="ar-SA"/>
              </w:rPr>
            </w:pPr>
            <w:r>
              <w:rPr>
                <w:rFonts w:hint="eastAsia" w:ascii="Times New Roman" w:hAnsi="Times New Roman" w:eastAsia="宋体" w:cs="宋体"/>
                <w:color w:val="auto"/>
                <w:szCs w:val="21"/>
                <w:highlight w:val="none"/>
              </w:rPr>
              <w:t>×</w:t>
            </w:r>
          </w:p>
        </w:tc>
        <w:tc>
          <w:tcPr>
            <w:tcW w:w="1177" w:type="pct"/>
            <w:vAlign w:val="center"/>
          </w:tcPr>
          <w:p w14:paraId="3BE1504C">
            <w:pPr>
              <w:spacing w:before="0" w:beforeLines="0" w:line="300" w:lineRule="exact"/>
              <w:jc w:val="center"/>
              <w:rPr>
                <w:rFonts w:ascii="Times New Roman" w:hAnsi="Times New Roman" w:eastAsia="宋体" w:cs="宋体"/>
                <w:color w:val="auto"/>
                <w:kern w:val="2"/>
                <w:sz w:val="21"/>
                <w:szCs w:val="21"/>
                <w:highlight w:val="none"/>
                <w:lang w:val="en-US" w:eastAsia="zh-CN" w:bidi="ar-SA"/>
              </w:rPr>
            </w:pPr>
          </w:p>
        </w:tc>
        <w:tc>
          <w:tcPr>
            <w:tcW w:w="1179" w:type="pct"/>
            <w:vAlign w:val="center"/>
          </w:tcPr>
          <w:p w14:paraId="75051F91">
            <w:pPr>
              <w:spacing w:before="0" w:beforeLines="0" w:line="300" w:lineRule="exact"/>
              <w:jc w:val="center"/>
              <w:rPr>
                <w:rFonts w:hint="eastAsia" w:ascii="Times New Roman" w:hAnsi="Times New Roman" w:eastAsia="宋体" w:cs="宋体"/>
                <w:color w:val="auto"/>
                <w:kern w:val="2"/>
                <w:sz w:val="21"/>
                <w:szCs w:val="21"/>
                <w:highlight w:val="none"/>
                <w:lang w:val="en-US" w:eastAsia="zh-CN" w:bidi="ar-SA"/>
              </w:rPr>
            </w:pPr>
          </w:p>
        </w:tc>
      </w:tr>
      <w:tr w14:paraId="2A409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shd w:val="clear" w:color="auto" w:fill="D7D7D7"/>
            <w:vAlign w:val="center"/>
          </w:tcPr>
          <w:p w14:paraId="504448B5">
            <w:pPr>
              <w:spacing w:before="0" w:beforeLines="0" w:line="300" w:lineRule="exact"/>
              <w:jc w:val="left"/>
              <w:rPr>
                <w:rFonts w:hint="eastAsia" w:ascii="Times New Roman" w:hAnsi="Times New Roman" w:eastAsia="宋体" w:cs="宋体"/>
                <w:color w:val="auto"/>
                <w:kern w:val="2"/>
                <w:sz w:val="21"/>
                <w:szCs w:val="21"/>
                <w:highlight w:val="none"/>
                <w:lang w:val="en-US" w:eastAsia="zh-CN" w:bidi="ar-SA"/>
              </w:rPr>
            </w:pPr>
            <w:bookmarkStart w:id="11" w:name="OLE_LINK84"/>
            <w:r>
              <w:rPr>
                <w:rFonts w:hint="eastAsia" w:ascii="Times New Roman" w:hAnsi="Times New Roman" w:eastAsia="宋体" w:cs="宋体"/>
                <w:color w:val="auto"/>
                <w:szCs w:val="21"/>
                <w:highlight w:val="none"/>
              </w:rPr>
              <w:t>现病史</w:t>
            </w:r>
          </w:p>
        </w:tc>
        <w:tc>
          <w:tcPr>
            <w:tcW w:w="1177" w:type="pct"/>
            <w:vAlign w:val="center"/>
          </w:tcPr>
          <w:p w14:paraId="03A0FB9C">
            <w:pPr>
              <w:spacing w:before="0" w:beforeLines="0" w:line="300" w:lineRule="exact"/>
              <w:jc w:val="center"/>
              <w:rPr>
                <w:rFonts w:hint="eastAsia" w:ascii="Times New Roman" w:hAnsi="Times New Roman" w:eastAsia="宋体" w:cs="宋体"/>
                <w:color w:val="auto"/>
                <w:kern w:val="2"/>
                <w:sz w:val="21"/>
                <w:szCs w:val="21"/>
                <w:highlight w:val="none"/>
                <w:lang w:val="en-US" w:eastAsia="zh-CN" w:bidi="ar-SA"/>
              </w:rPr>
            </w:pPr>
            <w:r>
              <w:rPr>
                <w:rFonts w:hint="eastAsia" w:ascii="Times New Roman" w:hAnsi="Times New Roman" w:eastAsia="宋体" w:cs="宋体"/>
                <w:color w:val="auto"/>
                <w:szCs w:val="21"/>
                <w:highlight w:val="none"/>
              </w:rPr>
              <w:t>×</w:t>
            </w:r>
          </w:p>
        </w:tc>
        <w:tc>
          <w:tcPr>
            <w:tcW w:w="1177" w:type="pct"/>
            <w:vAlign w:val="center"/>
          </w:tcPr>
          <w:p w14:paraId="23F381D1">
            <w:pPr>
              <w:spacing w:before="0" w:beforeLines="0" w:line="300" w:lineRule="exact"/>
              <w:jc w:val="center"/>
              <w:rPr>
                <w:rFonts w:ascii="Times New Roman" w:hAnsi="Times New Roman" w:eastAsia="宋体" w:cs="宋体"/>
                <w:color w:val="auto"/>
                <w:kern w:val="2"/>
                <w:sz w:val="21"/>
                <w:szCs w:val="21"/>
                <w:highlight w:val="none"/>
                <w:lang w:val="en-US" w:eastAsia="zh-CN" w:bidi="ar-SA"/>
              </w:rPr>
            </w:pPr>
          </w:p>
        </w:tc>
        <w:tc>
          <w:tcPr>
            <w:tcW w:w="1179" w:type="pct"/>
            <w:vAlign w:val="center"/>
          </w:tcPr>
          <w:p w14:paraId="18EB828C">
            <w:pPr>
              <w:spacing w:before="0" w:beforeLines="0" w:line="300" w:lineRule="exact"/>
              <w:jc w:val="center"/>
              <w:rPr>
                <w:rFonts w:hint="eastAsia" w:ascii="Times New Roman" w:hAnsi="Times New Roman" w:eastAsia="宋体" w:cs="宋体"/>
                <w:color w:val="auto"/>
                <w:kern w:val="2"/>
                <w:sz w:val="21"/>
                <w:szCs w:val="21"/>
                <w:highlight w:val="none"/>
                <w:lang w:val="en-US" w:eastAsia="zh-CN" w:bidi="ar-SA"/>
              </w:rPr>
            </w:pPr>
          </w:p>
        </w:tc>
      </w:tr>
      <w:tr w14:paraId="7F311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shd w:val="clear" w:color="auto" w:fill="D7D7D7"/>
            <w:vAlign w:val="center"/>
          </w:tcPr>
          <w:p w14:paraId="52141245">
            <w:pPr>
              <w:spacing w:before="0" w:beforeLines="0" w:line="300" w:lineRule="exact"/>
              <w:jc w:val="left"/>
              <w:rPr>
                <w:rFonts w:hint="eastAsia"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营养风险评分：NRS2002量表</w:t>
            </w:r>
          </w:p>
        </w:tc>
        <w:tc>
          <w:tcPr>
            <w:tcW w:w="1177" w:type="pct"/>
            <w:vAlign w:val="center"/>
          </w:tcPr>
          <w:p w14:paraId="5B501C83">
            <w:pPr>
              <w:spacing w:before="0" w:beforeLines="0" w:line="300" w:lineRule="exact"/>
              <w:jc w:val="center"/>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c>
          <w:tcPr>
            <w:tcW w:w="1177" w:type="pct"/>
            <w:vAlign w:val="center"/>
          </w:tcPr>
          <w:p w14:paraId="79DEF823">
            <w:pPr>
              <w:spacing w:before="0" w:beforeLines="0" w:line="300" w:lineRule="exact"/>
              <w:jc w:val="center"/>
              <w:rPr>
                <w:rFonts w:ascii="Times New Roman" w:hAnsi="Times New Roman" w:eastAsia="宋体" w:cs="宋体"/>
                <w:color w:val="auto"/>
                <w:szCs w:val="21"/>
                <w:highlight w:val="none"/>
              </w:rPr>
            </w:pPr>
          </w:p>
        </w:tc>
        <w:tc>
          <w:tcPr>
            <w:tcW w:w="1179" w:type="pct"/>
            <w:vAlign w:val="center"/>
          </w:tcPr>
          <w:p w14:paraId="673D8F50">
            <w:pPr>
              <w:spacing w:before="0" w:beforeLines="0" w:line="300" w:lineRule="exact"/>
              <w:jc w:val="center"/>
              <w:rPr>
                <w:rFonts w:ascii="Times New Roman" w:hAnsi="Times New Roman" w:eastAsia="宋体" w:cs="宋体"/>
                <w:color w:val="auto"/>
                <w:szCs w:val="21"/>
                <w:highlight w:val="none"/>
              </w:rPr>
            </w:pPr>
          </w:p>
        </w:tc>
      </w:tr>
      <w:tr w14:paraId="2AACF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shd w:val="clear" w:color="auto" w:fill="D7D7D7"/>
            <w:vAlign w:val="center"/>
          </w:tcPr>
          <w:p w14:paraId="51F08F5C">
            <w:pPr>
              <w:spacing w:before="0" w:beforeLines="0" w:line="300" w:lineRule="exact"/>
              <w:jc w:val="left"/>
              <w:rPr>
                <w:rFonts w:hint="eastAsia" w:ascii="Times New Roman" w:hAnsi="Times New Roman" w:eastAsia="宋体" w:cs="宋体"/>
                <w:color w:val="auto"/>
                <w:kern w:val="2"/>
                <w:sz w:val="21"/>
                <w:szCs w:val="21"/>
                <w:highlight w:val="none"/>
                <w:lang w:val="en-US" w:eastAsia="zh-CN" w:bidi="ar-SA"/>
              </w:rPr>
            </w:pPr>
            <w:r>
              <w:rPr>
                <w:rFonts w:hint="eastAsia" w:ascii="Times New Roman" w:hAnsi="Times New Roman" w:eastAsia="宋体" w:cs="宋体"/>
                <w:color w:val="auto"/>
                <w:szCs w:val="21"/>
                <w:highlight w:val="none"/>
              </w:rPr>
              <w:t>尿/血清妊娠试验</w:t>
            </w:r>
            <w:r>
              <w:rPr>
                <w:rFonts w:hint="eastAsia" w:ascii="Times New Roman" w:hAnsi="Times New Roman" w:cs="宋体"/>
                <w:color w:val="auto"/>
                <w:szCs w:val="21"/>
                <w:highlight w:val="none"/>
                <w:vertAlign w:val="superscript"/>
                <w:lang w:val="en-US" w:eastAsia="zh-CN"/>
              </w:rPr>
              <w:t>3</w:t>
            </w:r>
          </w:p>
        </w:tc>
        <w:tc>
          <w:tcPr>
            <w:tcW w:w="1177" w:type="pct"/>
            <w:vAlign w:val="center"/>
          </w:tcPr>
          <w:p w14:paraId="1D9B5DD3">
            <w:pPr>
              <w:spacing w:before="0" w:beforeLines="0" w:line="300" w:lineRule="exact"/>
              <w:jc w:val="center"/>
              <w:rPr>
                <w:rFonts w:hint="eastAsia" w:ascii="Times New Roman" w:hAnsi="Times New Roman" w:eastAsia="宋体" w:cs="宋体"/>
                <w:color w:val="auto"/>
                <w:kern w:val="2"/>
                <w:sz w:val="21"/>
                <w:szCs w:val="21"/>
                <w:highlight w:val="none"/>
                <w:lang w:val="en-US" w:eastAsia="zh-CN" w:bidi="ar-SA"/>
              </w:rPr>
            </w:pPr>
            <w:r>
              <w:rPr>
                <w:rFonts w:hint="eastAsia" w:ascii="Times New Roman" w:hAnsi="Times New Roman" w:eastAsia="宋体" w:cs="宋体"/>
                <w:color w:val="auto"/>
                <w:szCs w:val="21"/>
                <w:highlight w:val="none"/>
              </w:rPr>
              <w:t>×</w:t>
            </w:r>
          </w:p>
        </w:tc>
        <w:tc>
          <w:tcPr>
            <w:tcW w:w="1177" w:type="pct"/>
            <w:vAlign w:val="center"/>
          </w:tcPr>
          <w:p w14:paraId="25712E89">
            <w:pPr>
              <w:spacing w:before="0" w:beforeLines="0" w:line="300" w:lineRule="exact"/>
              <w:jc w:val="center"/>
              <w:rPr>
                <w:rFonts w:ascii="Times New Roman" w:hAnsi="Times New Roman" w:eastAsia="宋体" w:cs="宋体"/>
                <w:color w:val="auto"/>
                <w:szCs w:val="21"/>
                <w:highlight w:val="none"/>
              </w:rPr>
            </w:pPr>
          </w:p>
        </w:tc>
        <w:tc>
          <w:tcPr>
            <w:tcW w:w="1179" w:type="pct"/>
            <w:vAlign w:val="center"/>
          </w:tcPr>
          <w:p w14:paraId="0086960F">
            <w:pPr>
              <w:spacing w:before="0" w:beforeLines="0" w:line="300" w:lineRule="exact"/>
              <w:jc w:val="center"/>
              <w:rPr>
                <w:rFonts w:ascii="Times New Roman" w:hAnsi="Times New Roman" w:eastAsia="宋体" w:cs="宋体"/>
                <w:color w:val="auto"/>
                <w:szCs w:val="21"/>
                <w:highlight w:val="none"/>
              </w:rPr>
            </w:pPr>
          </w:p>
        </w:tc>
      </w:tr>
      <w:bookmarkEnd w:id="11"/>
      <w:tr w14:paraId="0F2E1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5000" w:type="pct"/>
            <w:gridSpan w:val="4"/>
            <w:shd w:val="clear" w:color="auto" w:fill="D7D7D7"/>
            <w:vAlign w:val="center"/>
          </w:tcPr>
          <w:p w14:paraId="5539DCDA">
            <w:pPr>
              <w:spacing w:before="0" w:beforeLines="0" w:line="300" w:lineRule="exact"/>
              <w:rPr>
                <w:rFonts w:hint="eastAsia"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实验室检查</w:t>
            </w:r>
          </w:p>
        </w:tc>
      </w:tr>
      <w:tr w14:paraId="3E939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vAlign w:val="center"/>
          </w:tcPr>
          <w:p w14:paraId="086031F6">
            <w:pPr>
              <w:spacing w:before="0" w:beforeLines="0" w:line="300" w:lineRule="exact"/>
              <w:jc w:val="center"/>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血常规检查</w:t>
            </w:r>
          </w:p>
        </w:tc>
        <w:tc>
          <w:tcPr>
            <w:tcW w:w="1177" w:type="pct"/>
            <w:vAlign w:val="center"/>
          </w:tcPr>
          <w:p w14:paraId="7025D616">
            <w:pPr>
              <w:spacing w:before="0" w:beforeLines="0" w:line="300" w:lineRule="exact"/>
              <w:jc w:val="center"/>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c>
          <w:tcPr>
            <w:tcW w:w="1177" w:type="pct"/>
            <w:vAlign w:val="center"/>
          </w:tcPr>
          <w:p w14:paraId="4F8E562B">
            <w:pPr>
              <w:spacing w:before="0" w:beforeLines="0" w:line="300" w:lineRule="exact"/>
              <w:jc w:val="center"/>
              <w:rPr>
                <w:rFonts w:ascii="Times New Roman" w:hAnsi="Times New Roman" w:eastAsia="宋体" w:cs="宋体"/>
                <w:color w:val="auto"/>
                <w:szCs w:val="21"/>
                <w:highlight w:val="none"/>
              </w:rPr>
            </w:pPr>
          </w:p>
        </w:tc>
        <w:tc>
          <w:tcPr>
            <w:tcW w:w="1179" w:type="pct"/>
            <w:vAlign w:val="center"/>
          </w:tcPr>
          <w:p w14:paraId="64D4AD16">
            <w:pPr>
              <w:spacing w:before="0" w:beforeLines="0" w:line="300" w:lineRule="exact"/>
              <w:jc w:val="center"/>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r>
      <w:tr w14:paraId="2EA2F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vAlign w:val="center"/>
          </w:tcPr>
          <w:p w14:paraId="39BBFC63">
            <w:pPr>
              <w:spacing w:before="0" w:beforeLines="0" w:line="300" w:lineRule="exact"/>
              <w:jc w:val="center"/>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血生化检查</w:t>
            </w:r>
          </w:p>
          <w:p w14:paraId="43E9E056">
            <w:pPr>
              <w:spacing w:before="0" w:beforeLines="0" w:line="300" w:lineRule="exact"/>
              <w:jc w:val="center"/>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(肝功能、肾功能和血脂全</w:t>
            </w:r>
            <w:r>
              <w:rPr>
                <w:rFonts w:hint="eastAsia" w:ascii="Times New Roman" w:hAnsi="Times New Roman" w:eastAsia="宋体" w:cs="宋体"/>
                <w:color w:val="auto"/>
                <w:szCs w:val="21"/>
                <w:highlight w:val="none"/>
                <w:lang w:val="en-US" w:eastAsia="zh-CN"/>
              </w:rPr>
              <w:t>项</w:t>
            </w:r>
            <w:r>
              <w:rPr>
                <w:rFonts w:hint="eastAsia" w:ascii="Times New Roman" w:hAnsi="Times New Roman" w:eastAsia="宋体" w:cs="宋体"/>
                <w:color w:val="auto"/>
                <w:szCs w:val="21"/>
                <w:highlight w:val="none"/>
              </w:rPr>
              <w:t>)</w:t>
            </w:r>
          </w:p>
        </w:tc>
        <w:tc>
          <w:tcPr>
            <w:tcW w:w="1177" w:type="pct"/>
            <w:vAlign w:val="center"/>
          </w:tcPr>
          <w:p w14:paraId="701792DD">
            <w:pPr>
              <w:spacing w:before="0" w:beforeLines="0" w:line="300" w:lineRule="exact"/>
              <w:jc w:val="center"/>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c>
          <w:tcPr>
            <w:tcW w:w="1177" w:type="pct"/>
            <w:vAlign w:val="center"/>
          </w:tcPr>
          <w:p w14:paraId="2ADB6592">
            <w:pPr>
              <w:spacing w:before="0" w:beforeLines="0" w:line="300" w:lineRule="exact"/>
              <w:jc w:val="center"/>
              <w:rPr>
                <w:rFonts w:ascii="Times New Roman" w:hAnsi="Times New Roman" w:eastAsia="宋体" w:cs="宋体"/>
                <w:color w:val="auto"/>
                <w:szCs w:val="21"/>
                <w:highlight w:val="none"/>
              </w:rPr>
            </w:pPr>
          </w:p>
        </w:tc>
        <w:tc>
          <w:tcPr>
            <w:tcW w:w="1179" w:type="pct"/>
            <w:vAlign w:val="center"/>
          </w:tcPr>
          <w:p w14:paraId="4E05E1EA">
            <w:pPr>
              <w:spacing w:before="0" w:beforeLines="0" w:line="300" w:lineRule="exact"/>
              <w:jc w:val="center"/>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r>
      <w:tr w14:paraId="598E3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vAlign w:val="center"/>
          </w:tcPr>
          <w:p w14:paraId="5C7655B9">
            <w:pPr>
              <w:spacing w:before="0" w:beforeLines="0" w:line="300" w:lineRule="exact"/>
              <w:jc w:val="center"/>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尿常规</w:t>
            </w:r>
          </w:p>
        </w:tc>
        <w:tc>
          <w:tcPr>
            <w:tcW w:w="1177" w:type="pct"/>
            <w:vAlign w:val="center"/>
          </w:tcPr>
          <w:p w14:paraId="35FE430D">
            <w:pPr>
              <w:spacing w:before="0" w:beforeLines="0" w:line="300" w:lineRule="exact"/>
              <w:jc w:val="center"/>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c>
          <w:tcPr>
            <w:tcW w:w="1177" w:type="pct"/>
            <w:vAlign w:val="center"/>
          </w:tcPr>
          <w:p w14:paraId="2169E75B">
            <w:pPr>
              <w:spacing w:before="0" w:beforeLines="0" w:line="300" w:lineRule="exact"/>
              <w:jc w:val="center"/>
              <w:rPr>
                <w:rFonts w:ascii="Times New Roman" w:hAnsi="Times New Roman" w:eastAsia="宋体" w:cs="宋体"/>
                <w:color w:val="auto"/>
                <w:szCs w:val="21"/>
                <w:highlight w:val="none"/>
              </w:rPr>
            </w:pPr>
          </w:p>
        </w:tc>
        <w:tc>
          <w:tcPr>
            <w:tcW w:w="1179" w:type="pct"/>
            <w:vAlign w:val="center"/>
          </w:tcPr>
          <w:p w14:paraId="06AE4526">
            <w:pPr>
              <w:spacing w:before="0" w:beforeLines="0" w:line="300" w:lineRule="exact"/>
              <w:jc w:val="center"/>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r>
      <w:tr w14:paraId="6DEBA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vAlign w:val="center"/>
          </w:tcPr>
          <w:p w14:paraId="56ECB271">
            <w:pPr>
              <w:spacing w:before="0" w:beforeLines="0" w:line="300" w:lineRule="exact"/>
              <w:jc w:val="center"/>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空腹血糖</w:t>
            </w:r>
          </w:p>
        </w:tc>
        <w:tc>
          <w:tcPr>
            <w:tcW w:w="1177" w:type="pct"/>
            <w:vAlign w:val="center"/>
          </w:tcPr>
          <w:p w14:paraId="6E93D1CA">
            <w:pPr>
              <w:spacing w:before="0" w:beforeLines="0" w:line="300" w:lineRule="exact"/>
              <w:jc w:val="center"/>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c>
          <w:tcPr>
            <w:tcW w:w="1177" w:type="pct"/>
            <w:vAlign w:val="center"/>
          </w:tcPr>
          <w:p w14:paraId="399730FD">
            <w:pPr>
              <w:spacing w:before="0" w:beforeLines="0" w:line="300" w:lineRule="exact"/>
              <w:jc w:val="center"/>
              <w:rPr>
                <w:rFonts w:ascii="Times New Roman" w:hAnsi="Times New Roman" w:eastAsia="宋体" w:cs="宋体"/>
                <w:color w:val="auto"/>
                <w:szCs w:val="21"/>
                <w:highlight w:val="none"/>
              </w:rPr>
            </w:pPr>
          </w:p>
        </w:tc>
        <w:tc>
          <w:tcPr>
            <w:tcW w:w="1179" w:type="pct"/>
            <w:vAlign w:val="center"/>
          </w:tcPr>
          <w:p w14:paraId="1C6A5067">
            <w:pPr>
              <w:spacing w:before="0" w:beforeLines="0" w:line="300" w:lineRule="exact"/>
              <w:jc w:val="center"/>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r>
      <w:tr w14:paraId="2C489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shd w:val="clear" w:color="auto" w:fill="D7D7D7"/>
            <w:vAlign w:val="center"/>
          </w:tcPr>
          <w:p w14:paraId="4CFEDF74">
            <w:pPr>
              <w:spacing w:before="0" w:beforeLines="0" w:line="300" w:lineRule="exact"/>
              <w:jc w:val="left"/>
              <w:rPr>
                <w:rFonts w:hint="eastAsia" w:ascii="Times New Roman" w:hAnsi="Times New Roman" w:eastAsia="宋体" w:cs="宋体"/>
                <w:color w:val="auto"/>
                <w:kern w:val="2"/>
                <w:sz w:val="21"/>
                <w:szCs w:val="21"/>
                <w:highlight w:val="none"/>
                <w:lang w:val="en-US" w:eastAsia="zh-CN" w:bidi="ar-SA"/>
              </w:rPr>
            </w:pPr>
            <w:r>
              <w:rPr>
                <w:rFonts w:hint="eastAsia" w:ascii="Times New Roman" w:hAnsi="Times New Roman" w:eastAsia="宋体" w:cs="宋体"/>
                <w:color w:val="auto"/>
                <w:szCs w:val="21"/>
                <w:highlight w:val="none"/>
              </w:rPr>
              <w:t>入排标准</w:t>
            </w:r>
          </w:p>
        </w:tc>
        <w:tc>
          <w:tcPr>
            <w:tcW w:w="1177" w:type="pct"/>
            <w:vAlign w:val="center"/>
          </w:tcPr>
          <w:p w14:paraId="7D47FD24">
            <w:pPr>
              <w:spacing w:before="0" w:beforeLines="0" w:line="300" w:lineRule="exact"/>
              <w:jc w:val="center"/>
              <w:rPr>
                <w:rFonts w:ascii="Times New Roman" w:hAnsi="Times New Roman" w:eastAsia="宋体" w:cs="宋体"/>
                <w:color w:val="auto"/>
                <w:kern w:val="2"/>
                <w:sz w:val="21"/>
                <w:szCs w:val="21"/>
                <w:highlight w:val="none"/>
                <w:lang w:val="en-US" w:eastAsia="zh-CN" w:bidi="ar-SA"/>
              </w:rPr>
            </w:pPr>
            <w:r>
              <w:rPr>
                <w:rFonts w:hint="eastAsia" w:ascii="Times New Roman" w:hAnsi="Times New Roman" w:eastAsia="宋体" w:cs="宋体"/>
                <w:color w:val="auto"/>
                <w:szCs w:val="21"/>
                <w:highlight w:val="none"/>
              </w:rPr>
              <w:t>×</w:t>
            </w:r>
          </w:p>
        </w:tc>
        <w:tc>
          <w:tcPr>
            <w:tcW w:w="1177" w:type="pct"/>
            <w:vAlign w:val="center"/>
          </w:tcPr>
          <w:p w14:paraId="2F03D8A5">
            <w:pPr>
              <w:spacing w:before="0" w:beforeLines="0" w:line="300" w:lineRule="exact"/>
              <w:jc w:val="center"/>
              <w:rPr>
                <w:rFonts w:ascii="Times New Roman" w:hAnsi="Times New Roman" w:eastAsia="宋体" w:cs="宋体"/>
                <w:color w:val="auto"/>
                <w:szCs w:val="21"/>
                <w:highlight w:val="none"/>
              </w:rPr>
            </w:pPr>
          </w:p>
        </w:tc>
        <w:tc>
          <w:tcPr>
            <w:tcW w:w="1179" w:type="pct"/>
            <w:vAlign w:val="center"/>
          </w:tcPr>
          <w:p w14:paraId="7C99F5D6">
            <w:pPr>
              <w:spacing w:before="0" w:beforeLines="0" w:line="300" w:lineRule="exact"/>
              <w:jc w:val="center"/>
              <w:rPr>
                <w:rFonts w:ascii="Times New Roman" w:hAnsi="Times New Roman" w:eastAsia="宋体" w:cs="宋体"/>
                <w:color w:val="auto"/>
                <w:szCs w:val="21"/>
                <w:highlight w:val="none"/>
              </w:rPr>
            </w:pPr>
          </w:p>
        </w:tc>
      </w:tr>
      <w:tr w14:paraId="3DA0E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shd w:val="clear" w:color="auto" w:fill="D7D7D7"/>
            <w:vAlign w:val="center"/>
          </w:tcPr>
          <w:p w14:paraId="5498EAB3">
            <w:pPr>
              <w:spacing w:before="0" w:beforeLines="0" w:line="300" w:lineRule="exact"/>
              <w:jc w:val="left"/>
              <w:rPr>
                <w:rFonts w:hint="eastAsia" w:ascii="Times New Roman" w:hAnsi="Times New Roman" w:eastAsia="宋体" w:cs="宋体"/>
                <w:color w:val="auto"/>
                <w:kern w:val="2"/>
                <w:sz w:val="21"/>
                <w:szCs w:val="21"/>
                <w:highlight w:val="none"/>
                <w:lang w:val="en-US" w:eastAsia="zh-CN" w:bidi="ar-SA"/>
              </w:rPr>
            </w:pPr>
            <w:r>
              <w:rPr>
                <w:rFonts w:hint="eastAsia" w:ascii="Times New Roman" w:hAnsi="Times New Roman" w:eastAsia="宋体" w:cs="宋体"/>
                <w:color w:val="auto"/>
                <w:szCs w:val="21"/>
                <w:highlight w:val="none"/>
              </w:rPr>
              <w:t>随机号分配</w:t>
            </w:r>
            <w:r>
              <w:rPr>
                <w:rFonts w:hint="eastAsia" w:ascii="Times New Roman" w:hAnsi="Times New Roman" w:cs="宋体"/>
                <w:color w:val="auto"/>
                <w:szCs w:val="21"/>
                <w:highlight w:val="none"/>
                <w:vertAlign w:val="superscript"/>
                <w:lang w:val="en-US" w:eastAsia="zh-CN"/>
              </w:rPr>
              <w:t>4</w:t>
            </w:r>
          </w:p>
        </w:tc>
        <w:tc>
          <w:tcPr>
            <w:tcW w:w="1177" w:type="pct"/>
            <w:vAlign w:val="center"/>
          </w:tcPr>
          <w:p w14:paraId="6421BD5A">
            <w:pPr>
              <w:spacing w:before="0" w:beforeLines="0" w:line="300" w:lineRule="exact"/>
              <w:jc w:val="center"/>
              <w:rPr>
                <w:rFonts w:hint="eastAsia" w:ascii="Times New Roman" w:hAnsi="Times New Roman" w:eastAsia="宋体" w:cs="宋体"/>
                <w:color w:val="auto"/>
                <w:kern w:val="2"/>
                <w:sz w:val="21"/>
                <w:szCs w:val="21"/>
                <w:highlight w:val="none"/>
                <w:lang w:val="en-US" w:eastAsia="zh-CN" w:bidi="ar-SA"/>
              </w:rPr>
            </w:pPr>
            <w:r>
              <w:rPr>
                <w:rFonts w:hint="eastAsia" w:ascii="Times New Roman" w:hAnsi="Times New Roman" w:eastAsia="宋体" w:cs="宋体"/>
                <w:color w:val="auto"/>
                <w:szCs w:val="21"/>
                <w:highlight w:val="none"/>
              </w:rPr>
              <w:t>×</w:t>
            </w:r>
          </w:p>
        </w:tc>
        <w:tc>
          <w:tcPr>
            <w:tcW w:w="1177" w:type="pct"/>
            <w:vAlign w:val="center"/>
          </w:tcPr>
          <w:p w14:paraId="45289BD6">
            <w:pPr>
              <w:spacing w:before="0" w:beforeLines="0" w:line="300" w:lineRule="exact"/>
              <w:jc w:val="center"/>
              <w:rPr>
                <w:rFonts w:ascii="Times New Roman" w:hAnsi="Times New Roman" w:eastAsia="宋体" w:cs="宋体"/>
                <w:color w:val="auto"/>
                <w:kern w:val="2"/>
                <w:sz w:val="21"/>
                <w:szCs w:val="21"/>
                <w:highlight w:val="none"/>
                <w:lang w:val="en-US" w:eastAsia="zh-CN" w:bidi="ar-SA"/>
              </w:rPr>
            </w:pPr>
          </w:p>
        </w:tc>
        <w:tc>
          <w:tcPr>
            <w:tcW w:w="1179" w:type="pct"/>
            <w:vAlign w:val="center"/>
          </w:tcPr>
          <w:p w14:paraId="775BF43A">
            <w:pPr>
              <w:spacing w:before="0" w:beforeLines="0" w:line="300" w:lineRule="exact"/>
              <w:jc w:val="center"/>
              <w:rPr>
                <w:rFonts w:hint="eastAsia" w:ascii="Times New Roman" w:hAnsi="Times New Roman" w:eastAsia="宋体" w:cs="宋体"/>
                <w:color w:val="auto"/>
                <w:szCs w:val="21"/>
                <w:highlight w:val="none"/>
              </w:rPr>
            </w:pPr>
          </w:p>
        </w:tc>
      </w:tr>
      <w:tr w14:paraId="74F5F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shd w:val="clear" w:color="auto" w:fill="D7D7D7"/>
            <w:vAlign w:val="center"/>
          </w:tcPr>
          <w:p w14:paraId="2B2693A3">
            <w:pPr>
              <w:spacing w:before="0" w:beforeLines="0" w:line="300" w:lineRule="exact"/>
              <w:jc w:val="left"/>
              <w:rPr>
                <w:rFonts w:hint="default" w:ascii="Times New Roman" w:hAnsi="Times New Roman" w:eastAsia="宋体" w:cs="宋体"/>
                <w:color w:val="auto"/>
                <w:szCs w:val="21"/>
                <w:highlight w:val="none"/>
                <w:lang w:val="en-US" w:eastAsia="zh-CN"/>
              </w:rPr>
            </w:pPr>
            <w:r>
              <w:rPr>
                <w:rFonts w:hint="eastAsia" w:ascii="Times New Roman" w:hAnsi="Times New Roman" w:cs="宋体"/>
                <w:color w:val="auto"/>
                <w:szCs w:val="21"/>
                <w:highlight w:val="none"/>
                <w:lang w:val="en-US" w:eastAsia="zh-CN"/>
              </w:rPr>
              <w:t>分发试验物资（试验用产品等）</w:t>
            </w:r>
          </w:p>
        </w:tc>
        <w:tc>
          <w:tcPr>
            <w:tcW w:w="1177" w:type="pct"/>
            <w:vAlign w:val="center"/>
          </w:tcPr>
          <w:p w14:paraId="1AAFDCE1">
            <w:pPr>
              <w:spacing w:before="0" w:beforeLines="0" w:line="300" w:lineRule="exact"/>
              <w:jc w:val="center"/>
              <w:rPr>
                <w:rFonts w:hint="eastAsia" w:ascii="Times New Roman" w:hAnsi="Times New Roman" w:eastAsia="宋体" w:cs="宋体"/>
                <w:color w:val="auto"/>
                <w:kern w:val="2"/>
                <w:sz w:val="21"/>
                <w:szCs w:val="21"/>
                <w:highlight w:val="none"/>
                <w:lang w:val="en-US" w:eastAsia="zh-CN" w:bidi="ar-SA"/>
              </w:rPr>
            </w:pPr>
            <w:r>
              <w:rPr>
                <w:rFonts w:hint="eastAsia" w:ascii="Times New Roman" w:hAnsi="Times New Roman" w:eastAsia="宋体" w:cs="宋体"/>
                <w:color w:val="auto"/>
                <w:szCs w:val="21"/>
                <w:highlight w:val="none"/>
              </w:rPr>
              <w:t>×</w:t>
            </w:r>
          </w:p>
        </w:tc>
        <w:tc>
          <w:tcPr>
            <w:tcW w:w="1177" w:type="pct"/>
            <w:vAlign w:val="center"/>
          </w:tcPr>
          <w:p w14:paraId="5B07C2FE">
            <w:pPr>
              <w:spacing w:before="0" w:beforeLines="0" w:line="300" w:lineRule="exact"/>
              <w:jc w:val="center"/>
              <w:rPr>
                <w:rFonts w:ascii="Times New Roman" w:hAnsi="Times New Roman" w:eastAsia="宋体" w:cs="宋体"/>
                <w:color w:val="auto"/>
                <w:kern w:val="2"/>
                <w:sz w:val="21"/>
                <w:szCs w:val="21"/>
                <w:highlight w:val="none"/>
                <w:lang w:val="en-US" w:eastAsia="zh-CN" w:bidi="ar-SA"/>
              </w:rPr>
            </w:pPr>
          </w:p>
        </w:tc>
        <w:tc>
          <w:tcPr>
            <w:tcW w:w="1179" w:type="pct"/>
            <w:vAlign w:val="center"/>
          </w:tcPr>
          <w:p w14:paraId="3659D5D4">
            <w:pPr>
              <w:spacing w:before="0" w:beforeLines="0" w:line="300" w:lineRule="exact"/>
              <w:jc w:val="center"/>
              <w:rPr>
                <w:rFonts w:hint="eastAsia" w:ascii="Times New Roman" w:hAnsi="Times New Roman" w:eastAsia="宋体" w:cs="宋体"/>
                <w:color w:val="auto"/>
                <w:szCs w:val="21"/>
                <w:highlight w:val="none"/>
              </w:rPr>
            </w:pPr>
          </w:p>
        </w:tc>
      </w:tr>
      <w:tr w14:paraId="185C7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66" w:type="pct"/>
            <w:shd w:val="clear" w:color="auto" w:fill="D7D7D7"/>
            <w:vAlign w:val="center"/>
          </w:tcPr>
          <w:p w14:paraId="2D00F0CA">
            <w:pPr>
              <w:spacing w:before="0" w:beforeLines="0" w:line="300" w:lineRule="exact"/>
              <w:jc w:val="left"/>
              <w:rPr>
                <w:rFonts w:hint="default" w:ascii="Times New Roman" w:hAnsi="Times New Roman" w:cs="宋体"/>
                <w:color w:val="auto"/>
                <w:szCs w:val="21"/>
                <w:highlight w:val="none"/>
                <w:lang w:val="en-US" w:eastAsia="zh-CN"/>
              </w:rPr>
            </w:pPr>
            <w:r>
              <w:rPr>
                <w:rFonts w:hint="eastAsia" w:ascii="Times New Roman" w:hAnsi="Times New Roman" w:cs="宋体"/>
                <w:color w:val="auto"/>
                <w:szCs w:val="21"/>
                <w:highlight w:val="none"/>
                <w:lang w:val="en-US" w:eastAsia="zh-CN"/>
              </w:rPr>
              <w:t>回收试验物资（剩余试验用产品等）</w:t>
            </w:r>
            <w:r>
              <w:rPr>
                <w:rFonts w:hint="eastAsia" w:ascii="Times New Roman" w:hAnsi="Times New Roman" w:cs="宋体"/>
                <w:color w:val="auto"/>
                <w:szCs w:val="21"/>
                <w:highlight w:val="none"/>
                <w:vertAlign w:val="superscript"/>
                <w:lang w:val="en-US" w:eastAsia="zh-CN"/>
              </w:rPr>
              <w:t>5</w:t>
            </w:r>
          </w:p>
        </w:tc>
        <w:tc>
          <w:tcPr>
            <w:tcW w:w="1177" w:type="pct"/>
            <w:vAlign w:val="center"/>
          </w:tcPr>
          <w:p w14:paraId="08329436">
            <w:pPr>
              <w:spacing w:before="0" w:beforeLines="0" w:line="300" w:lineRule="exact"/>
              <w:jc w:val="center"/>
              <w:rPr>
                <w:rFonts w:hint="eastAsia" w:ascii="Times New Roman" w:hAnsi="Times New Roman" w:eastAsia="宋体" w:cs="宋体"/>
                <w:color w:val="auto"/>
                <w:kern w:val="2"/>
                <w:sz w:val="21"/>
                <w:szCs w:val="21"/>
                <w:highlight w:val="none"/>
                <w:lang w:val="en-US" w:eastAsia="zh-CN" w:bidi="ar-SA"/>
              </w:rPr>
            </w:pPr>
          </w:p>
        </w:tc>
        <w:tc>
          <w:tcPr>
            <w:tcW w:w="1177" w:type="pct"/>
            <w:vAlign w:val="center"/>
          </w:tcPr>
          <w:p w14:paraId="0B44D8C0">
            <w:pPr>
              <w:spacing w:before="0" w:beforeLines="0" w:line="300" w:lineRule="exact"/>
              <w:jc w:val="center"/>
              <w:rPr>
                <w:rFonts w:hint="eastAsia" w:ascii="Times New Roman" w:hAnsi="Times New Roman"/>
                <w:color w:val="auto"/>
                <w:highlight w:val="none"/>
              </w:rPr>
            </w:pPr>
            <w:r>
              <w:rPr>
                <w:rFonts w:hint="eastAsia" w:ascii="Times New Roman" w:hAnsi="Times New Roman"/>
                <w:color w:val="auto"/>
                <w:highlight w:val="none"/>
              </w:rPr>
              <w:t>×</w:t>
            </w:r>
          </w:p>
          <w:p w14:paraId="27AEA326">
            <w:pPr>
              <w:pStyle w:val="2"/>
              <w:jc w:val="center"/>
              <w:rPr>
                <w:rFonts w:hint="eastAsia" w:ascii="Times New Roman" w:hAnsi="Times New Roman" w:eastAsia="宋体"/>
                <w:color w:val="auto"/>
                <w:highlight w:val="none"/>
                <w:lang w:val="en-US" w:eastAsia="zh-CN"/>
              </w:rPr>
            </w:pPr>
            <w:r>
              <w:rPr>
                <w:rFonts w:hint="eastAsia" w:ascii="Times New Roman" w:hAnsi="Times New Roman" w:eastAsia="宋体" w:cs="宋体"/>
                <w:color w:val="auto"/>
                <w:kern w:val="2"/>
                <w:sz w:val="21"/>
                <w:szCs w:val="21"/>
                <w:highlight w:val="none"/>
                <w:lang w:val="en-US" w:eastAsia="zh-CN" w:bidi="ar-SA"/>
              </w:rPr>
              <w:t>(仅提前终止试验的受试者)</w:t>
            </w:r>
          </w:p>
        </w:tc>
        <w:tc>
          <w:tcPr>
            <w:tcW w:w="1179" w:type="pct"/>
            <w:vAlign w:val="center"/>
          </w:tcPr>
          <w:p w14:paraId="3EE85420">
            <w:pPr>
              <w:spacing w:before="0" w:beforeLines="0" w:line="300" w:lineRule="exact"/>
              <w:jc w:val="center"/>
              <w:rPr>
                <w:rFonts w:hint="eastAsia"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r>
      <w:tr w14:paraId="7565C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5000" w:type="pct"/>
            <w:gridSpan w:val="4"/>
            <w:shd w:val="clear" w:color="auto" w:fill="D7D7D7"/>
            <w:vAlign w:val="center"/>
          </w:tcPr>
          <w:p w14:paraId="1BFCEE8F">
            <w:pPr>
              <w:spacing w:before="0" w:beforeLines="0" w:line="300" w:lineRule="exact"/>
              <w:jc w:val="left"/>
              <w:rPr>
                <w:rFonts w:hint="eastAsia"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营养</w:t>
            </w:r>
            <w:r>
              <w:rPr>
                <w:rFonts w:hint="eastAsia" w:ascii="Times New Roman" w:hAnsi="Times New Roman" w:cs="宋体"/>
                <w:color w:val="auto"/>
                <w:szCs w:val="21"/>
                <w:highlight w:val="none"/>
                <w:lang w:val="en-US" w:eastAsia="zh-CN"/>
              </w:rPr>
              <w:t>充足性</w:t>
            </w:r>
            <w:r>
              <w:rPr>
                <w:rFonts w:hint="eastAsia" w:ascii="Times New Roman" w:hAnsi="Times New Roman" w:eastAsia="宋体" w:cs="宋体"/>
                <w:color w:val="auto"/>
                <w:szCs w:val="21"/>
                <w:highlight w:val="none"/>
              </w:rPr>
              <w:t>指标</w:t>
            </w:r>
          </w:p>
        </w:tc>
      </w:tr>
      <w:tr w14:paraId="6F69C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shd w:val="clear" w:color="auto" w:fill="auto"/>
            <w:vAlign w:val="center"/>
          </w:tcPr>
          <w:p w14:paraId="522A1144">
            <w:pPr>
              <w:spacing w:before="0" w:beforeLines="0" w:line="300" w:lineRule="exact"/>
              <w:jc w:val="center"/>
              <w:rPr>
                <w:rFonts w:hint="eastAsia" w:ascii="Times New Roman" w:hAnsi="Times New Roman" w:eastAsia="宋体" w:cs="宋体"/>
                <w:color w:val="auto"/>
                <w:kern w:val="2"/>
                <w:sz w:val="21"/>
                <w:szCs w:val="21"/>
                <w:highlight w:val="none"/>
                <w:lang w:val="en-US" w:eastAsia="zh-CN" w:bidi="ar-SA"/>
              </w:rPr>
            </w:pPr>
            <w:r>
              <w:rPr>
                <w:rFonts w:hint="eastAsia" w:ascii="Times New Roman" w:hAnsi="Times New Roman" w:eastAsia="宋体" w:cs="宋体"/>
                <w:color w:val="auto"/>
                <w:szCs w:val="21"/>
                <w:highlight w:val="none"/>
              </w:rPr>
              <w:t>前白蛋白</w:t>
            </w:r>
          </w:p>
        </w:tc>
        <w:tc>
          <w:tcPr>
            <w:tcW w:w="1177" w:type="pct"/>
            <w:shd w:val="clear" w:color="auto" w:fill="auto"/>
            <w:vAlign w:val="center"/>
          </w:tcPr>
          <w:p w14:paraId="0DD73741">
            <w:pPr>
              <w:spacing w:before="0" w:beforeLines="0" w:line="300" w:lineRule="exact"/>
              <w:jc w:val="center"/>
              <w:rPr>
                <w:rFonts w:hint="eastAsia" w:ascii="Times New Roman" w:hAnsi="Times New Roman" w:eastAsia="宋体" w:cs="宋体"/>
                <w:color w:val="auto"/>
                <w:kern w:val="2"/>
                <w:sz w:val="21"/>
                <w:szCs w:val="21"/>
                <w:highlight w:val="none"/>
                <w:lang w:val="en-US" w:eastAsia="zh-CN" w:bidi="ar-SA"/>
              </w:rPr>
            </w:pPr>
            <w:r>
              <w:rPr>
                <w:rFonts w:hint="eastAsia" w:ascii="Times New Roman" w:hAnsi="Times New Roman" w:eastAsia="宋体" w:cs="宋体"/>
                <w:color w:val="auto"/>
                <w:szCs w:val="21"/>
                <w:highlight w:val="none"/>
              </w:rPr>
              <w:t>×</w:t>
            </w:r>
          </w:p>
        </w:tc>
        <w:tc>
          <w:tcPr>
            <w:tcW w:w="1177" w:type="pct"/>
            <w:shd w:val="clear" w:color="auto" w:fill="auto"/>
            <w:vAlign w:val="center"/>
          </w:tcPr>
          <w:p w14:paraId="06DDA6E6">
            <w:pPr>
              <w:spacing w:before="0" w:beforeLines="0" w:line="300" w:lineRule="exact"/>
              <w:jc w:val="center"/>
              <w:rPr>
                <w:rFonts w:ascii="Times New Roman" w:hAnsi="Times New Roman" w:eastAsia="宋体" w:cs="宋体"/>
                <w:color w:val="auto"/>
                <w:szCs w:val="21"/>
                <w:highlight w:val="none"/>
              </w:rPr>
            </w:pPr>
          </w:p>
        </w:tc>
        <w:tc>
          <w:tcPr>
            <w:tcW w:w="1179" w:type="pct"/>
            <w:shd w:val="clear" w:color="auto" w:fill="auto"/>
            <w:vAlign w:val="center"/>
          </w:tcPr>
          <w:p w14:paraId="48D649DC">
            <w:pPr>
              <w:spacing w:before="0" w:beforeLines="0" w:line="300" w:lineRule="exact"/>
              <w:jc w:val="center"/>
              <w:rPr>
                <w:rFonts w:hint="eastAsia"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r>
      <w:tr w14:paraId="74988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shd w:val="clear" w:color="auto" w:fill="auto"/>
            <w:vAlign w:val="center"/>
          </w:tcPr>
          <w:p w14:paraId="3E182010">
            <w:pPr>
              <w:spacing w:before="0" w:beforeLines="0" w:line="300" w:lineRule="exact"/>
              <w:jc w:val="center"/>
              <w:rPr>
                <w:rFonts w:hint="eastAsia" w:ascii="Times New Roman" w:hAnsi="Times New Roman" w:eastAsia="宋体" w:cs="宋体"/>
                <w:color w:val="auto"/>
                <w:kern w:val="2"/>
                <w:sz w:val="21"/>
                <w:szCs w:val="21"/>
                <w:highlight w:val="none"/>
                <w:lang w:val="en-US" w:eastAsia="zh-CN" w:bidi="ar-SA"/>
              </w:rPr>
            </w:pPr>
            <w:r>
              <w:rPr>
                <w:rFonts w:hint="eastAsia" w:ascii="Times New Roman" w:hAnsi="Times New Roman" w:cs="宋体"/>
                <w:color w:val="auto"/>
                <w:szCs w:val="21"/>
                <w:highlight w:val="none"/>
                <w:lang w:val="en-US" w:eastAsia="zh-CN"/>
              </w:rPr>
              <w:t>血清</w:t>
            </w:r>
            <w:r>
              <w:rPr>
                <w:rFonts w:hint="eastAsia" w:ascii="Times New Roman" w:hAnsi="Times New Roman" w:eastAsia="宋体" w:cs="宋体"/>
                <w:color w:val="auto"/>
                <w:szCs w:val="21"/>
                <w:highlight w:val="none"/>
              </w:rPr>
              <w:t>白蛋白</w:t>
            </w:r>
          </w:p>
        </w:tc>
        <w:tc>
          <w:tcPr>
            <w:tcW w:w="1177" w:type="pct"/>
            <w:shd w:val="clear" w:color="auto" w:fill="auto"/>
            <w:vAlign w:val="center"/>
          </w:tcPr>
          <w:p w14:paraId="14221CA9">
            <w:pPr>
              <w:spacing w:before="0" w:beforeLines="0" w:line="300" w:lineRule="exact"/>
              <w:jc w:val="center"/>
              <w:rPr>
                <w:rFonts w:hint="eastAsia" w:ascii="Times New Roman" w:hAnsi="Times New Roman" w:eastAsia="宋体" w:cs="宋体"/>
                <w:color w:val="auto"/>
                <w:kern w:val="2"/>
                <w:sz w:val="21"/>
                <w:szCs w:val="21"/>
                <w:highlight w:val="none"/>
                <w:lang w:val="en-US" w:eastAsia="zh-CN" w:bidi="ar-SA"/>
              </w:rPr>
            </w:pPr>
            <w:r>
              <w:rPr>
                <w:rFonts w:hint="eastAsia" w:ascii="Times New Roman" w:hAnsi="Times New Roman" w:eastAsia="宋体" w:cs="宋体"/>
                <w:color w:val="auto"/>
                <w:szCs w:val="21"/>
                <w:highlight w:val="none"/>
              </w:rPr>
              <w:t>×</w:t>
            </w:r>
          </w:p>
        </w:tc>
        <w:tc>
          <w:tcPr>
            <w:tcW w:w="1177" w:type="pct"/>
            <w:shd w:val="clear" w:color="auto" w:fill="auto"/>
            <w:vAlign w:val="center"/>
          </w:tcPr>
          <w:p w14:paraId="4B8B5F61">
            <w:pPr>
              <w:spacing w:before="0" w:beforeLines="0" w:line="300" w:lineRule="exact"/>
              <w:jc w:val="center"/>
              <w:rPr>
                <w:rFonts w:ascii="Times New Roman" w:hAnsi="Times New Roman" w:eastAsia="宋体" w:cs="宋体"/>
                <w:color w:val="auto"/>
                <w:szCs w:val="21"/>
                <w:highlight w:val="none"/>
              </w:rPr>
            </w:pPr>
          </w:p>
        </w:tc>
        <w:tc>
          <w:tcPr>
            <w:tcW w:w="1179" w:type="pct"/>
            <w:shd w:val="clear" w:color="auto" w:fill="auto"/>
            <w:vAlign w:val="center"/>
          </w:tcPr>
          <w:p w14:paraId="5D576BD7">
            <w:pPr>
              <w:spacing w:before="0" w:beforeLines="0" w:line="300" w:lineRule="exact"/>
              <w:jc w:val="center"/>
              <w:rPr>
                <w:rFonts w:hint="eastAsia"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r>
      <w:tr w14:paraId="5A612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shd w:val="clear" w:color="auto" w:fill="auto"/>
            <w:vAlign w:val="center"/>
          </w:tcPr>
          <w:p w14:paraId="6E69674E">
            <w:pPr>
              <w:spacing w:before="0" w:beforeLines="0" w:line="300" w:lineRule="exact"/>
              <w:jc w:val="center"/>
              <w:rPr>
                <w:rFonts w:hint="eastAsia" w:ascii="Times New Roman" w:hAnsi="Times New Roman" w:eastAsia="宋体" w:cs="宋体"/>
                <w:color w:val="auto"/>
                <w:kern w:val="2"/>
                <w:sz w:val="21"/>
                <w:szCs w:val="21"/>
                <w:highlight w:val="none"/>
                <w:lang w:val="en-US" w:eastAsia="zh-CN" w:bidi="ar-SA"/>
              </w:rPr>
            </w:pPr>
            <w:r>
              <w:rPr>
                <w:rFonts w:hint="eastAsia" w:ascii="Times New Roman" w:hAnsi="Times New Roman" w:cs="宋体"/>
                <w:color w:val="auto"/>
                <w:szCs w:val="21"/>
                <w:highlight w:val="none"/>
                <w:lang w:val="en-US" w:eastAsia="zh-CN" w:bidi="ar"/>
              </w:rPr>
              <w:t>血红蛋白</w:t>
            </w:r>
          </w:p>
        </w:tc>
        <w:tc>
          <w:tcPr>
            <w:tcW w:w="1177" w:type="pct"/>
            <w:shd w:val="clear" w:color="auto" w:fill="auto"/>
            <w:vAlign w:val="center"/>
          </w:tcPr>
          <w:p w14:paraId="63623528">
            <w:pPr>
              <w:spacing w:before="0" w:beforeLines="0" w:line="300" w:lineRule="exact"/>
              <w:jc w:val="center"/>
              <w:rPr>
                <w:rFonts w:hint="eastAsia" w:ascii="Times New Roman" w:hAnsi="Times New Roman" w:eastAsia="宋体" w:cs="宋体"/>
                <w:color w:val="auto"/>
                <w:kern w:val="2"/>
                <w:sz w:val="21"/>
                <w:szCs w:val="21"/>
                <w:highlight w:val="none"/>
                <w:lang w:val="en-US" w:eastAsia="zh-CN" w:bidi="ar-SA"/>
              </w:rPr>
            </w:pPr>
            <w:r>
              <w:rPr>
                <w:rFonts w:hint="eastAsia" w:ascii="Times New Roman" w:hAnsi="Times New Roman" w:eastAsia="宋体" w:cs="宋体"/>
                <w:color w:val="auto"/>
                <w:szCs w:val="21"/>
                <w:highlight w:val="none"/>
              </w:rPr>
              <w:t>×</w:t>
            </w:r>
          </w:p>
        </w:tc>
        <w:tc>
          <w:tcPr>
            <w:tcW w:w="1177" w:type="pct"/>
            <w:shd w:val="clear" w:color="auto" w:fill="auto"/>
            <w:vAlign w:val="center"/>
          </w:tcPr>
          <w:p w14:paraId="3896683B">
            <w:pPr>
              <w:spacing w:before="0" w:beforeLines="0" w:line="300" w:lineRule="exact"/>
              <w:jc w:val="center"/>
              <w:rPr>
                <w:rFonts w:ascii="Times New Roman" w:hAnsi="Times New Roman" w:eastAsia="宋体" w:cs="宋体"/>
                <w:color w:val="auto"/>
                <w:szCs w:val="21"/>
                <w:highlight w:val="none"/>
              </w:rPr>
            </w:pPr>
          </w:p>
        </w:tc>
        <w:tc>
          <w:tcPr>
            <w:tcW w:w="1179" w:type="pct"/>
            <w:shd w:val="clear" w:color="auto" w:fill="auto"/>
            <w:vAlign w:val="center"/>
          </w:tcPr>
          <w:p w14:paraId="47828503">
            <w:pPr>
              <w:spacing w:before="0" w:beforeLines="0" w:line="300" w:lineRule="exact"/>
              <w:jc w:val="center"/>
              <w:rPr>
                <w:rFonts w:hint="eastAsia"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r>
      <w:tr w14:paraId="0A1F3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2643" w:type="pct"/>
            <w:gridSpan w:val="2"/>
            <w:shd w:val="clear" w:color="auto" w:fill="D7D7D7"/>
            <w:vAlign w:val="center"/>
          </w:tcPr>
          <w:p w14:paraId="39E83EB0">
            <w:pPr>
              <w:spacing w:before="0" w:beforeLines="0" w:line="300" w:lineRule="exact"/>
              <w:rPr>
                <w:rFonts w:hint="eastAsia"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肌肉指标</w:t>
            </w:r>
          </w:p>
        </w:tc>
        <w:tc>
          <w:tcPr>
            <w:tcW w:w="2356" w:type="pct"/>
            <w:gridSpan w:val="2"/>
            <w:shd w:val="clear" w:color="auto" w:fill="D7D7D7"/>
            <w:vAlign w:val="center"/>
          </w:tcPr>
          <w:p w14:paraId="5F50FD25">
            <w:pPr>
              <w:spacing w:before="0" w:beforeLines="0" w:line="300" w:lineRule="exact"/>
              <w:rPr>
                <w:rFonts w:hint="eastAsia" w:ascii="Times New Roman" w:hAnsi="Times New Roman" w:eastAsia="宋体" w:cs="宋体"/>
                <w:color w:val="auto"/>
                <w:szCs w:val="21"/>
                <w:highlight w:val="none"/>
              </w:rPr>
            </w:pPr>
          </w:p>
        </w:tc>
      </w:tr>
      <w:tr w14:paraId="7ADB1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shd w:val="clear" w:color="auto" w:fill="auto"/>
            <w:vAlign w:val="center"/>
          </w:tcPr>
          <w:p w14:paraId="2F455254">
            <w:pPr>
              <w:spacing w:before="0" w:beforeLines="0" w:line="300" w:lineRule="exact"/>
              <w:jc w:val="center"/>
              <w:rPr>
                <w:rFonts w:hint="eastAsia" w:ascii="Times New Roman" w:hAnsi="Times New Roman" w:eastAsia="宋体" w:cs="宋体"/>
                <w:color w:val="auto"/>
                <w:kern w:val="2"/>
                <w:sz w:val="21"/>
                <w:szCs w:val="21"/>
                <w:highlight w:val="none"/>
                <w:lang w:val="en-US" w:eastAsia="zh-CN" w:bidi="ar-SA"/>
              </w:rPr>
            </w:pPr>
            <w:r>
              <w:rPr>
                <w:rFonts w:hint="eastAsia" w:ascii="Times New Roman" w:hAnsi="Times New Roman" w:cs="宋体"/>
                <w:color w:val="auto"/>
                <w:highlight w:val="none"/>
                <w:lang w:val="en-US" w:eastAsia="zh-CN"/>
              </w:rPr>
              <w:t>握力</w:t>
            </w:r>
          </w:p>
        </w:tc>
        <w:tc>
          <w:tcPr>
            <w:tcW w:w="1177" w:type="pct"/>
            <w:vAlign w:val="center"/>
          </w:tcPr>
          <w:p w14:paraId="39A66AD5">
            <w:pPr>
              <w:spacing w:before="0" w:beforeLines="0" w:line="300" w:lineRule="exact"/>
              <w:jc w:val="center"/>
              <w:rPr>
                <w:rFonts w:ascii="Times New Roman" w:hAnsi="Times New Roman" w:eastAsia="宋体" w:cs="宋体"/>
                <w:color w:val="auto"/>
                <w:kern w:val="2"/>
                <w:sz w:val="21"/>
                <w:szCs w:val="21"/>
                <w:highlight w:val="none"/>
                <w:lang w:val="en-US" w:eastAsia="zh-CN" w:bidi="ar-SA"/>
              </w:rPr>
            </w:pPr>
            <w:r>
              <w:rPr>
                <w:rFonts w:hint="eastAsia" w:ascii="Times New Roman" w:hAnsi="Times New Roman" w:eastAsia="宋体" w:cs="宋体"/>
                <w:color w:val="auto"/>
                <w:szCs w:val="21"/>
                <w:highlight w:val="none"/>
              </w:rPr>
              <w:t>×</w:t>
            </w:r>
          </w:p>
        </w:tc>
        <w:tc>
          <w:tcPr>
            <w:tcW w:w="1177" w:type="pct"/>
            <w:vAlign w:val="center"/>
          </w:tcPr>
          <w:p w14:paraId="1F87DD04">
            <w:pPr>
              <w:spacing w:before="0" w:beforeLines="0" w:line="300" w:lineRule="exact"/>
              <w:jc w:val="center"/>
              <w:rPr>
                <w:rFonts w:ascii="Times New Roman" w:hAnsi="Times New Roman" w:eastAsia="宋体" w:cs="宋体"/>
                <w:color w:val="auto"/>
                <w:szCs w:val="21"/>
                <w:highlight w:val="none"/>
              </w:rPr>
            </w:pPr>
          </w:p>
        </w:tc>
        <w:tc>
          <w:tcPr>
            <w:tcW w:w="1179" w:type="pct"/>
            <w:vAlign w:val="center"/>
          </w:tcPr>
          <w:p w14:paraId="5907D4E6">
            <w:pPr>
              <w:spacing w:before="0" w:beforeLines="0" w:line="300" w:lineRule="exact"/>
              <w:jc w:val="center"/>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r>
      <w:tr w14:paraId="55B77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shd w:val="clear" w:color="auto" w:fill="auto"/>
            <w:vAlign w:val="center"/>
          </w:tcPr>
          <w:p w14:paraId="7618C233">
            <w:pPr>
              <w:spacing w:before="0" w:beforeLines="0" w:line="300" w:lineRule="exact"/>
              <w:jc w:val="center"/>
              <w:rPr>
                <w:rFonts w:hint="eastAsia" w:ascii="Times New Roman" w:hAnsi="Times New Roman" w:eastAsia="宋体" w:cs="宋体"/>
                <w:color w:val="auto"/>
                <w:kern w:val="2"/>
                <w:sz w:val="21"/>
                <w:szCs w:val="21"/>
                <w:highlight w:val="none"/>
                <w:lang w:val="en-US" w:eastAsia="zh-CN" w:bidi="ar-SA"/>
              </w:rPr>
            </w:pPr>
            <w:r>
              <w:rPr>
                <w:rFonts w:hint="eastAsia" w:ascii="Times New Roman" w:hAnsi="Times New Roman" w:eastAsia="宋体" w:cs="宋体"/>
                <w:color w:val="auto"/>
                <w:szCs w:val="21"/>
                <w:highlight w:val="none"/>
              </w:rPr>
              <w:t>肌肉量</w:t>
            </w:r>
          </w:p>
        </w:tc>
        <w:tc>
          <w:tcPr>
            <w:tcW w:w="1177" w:type="pct"/>
            <w:vAlign w:val="center"/>
          </w:tcPr>
          <w:p w14:paraId="73251165">
            <w:pPr>
              <w:spacing w:before="0" w:beforeLines="0" w:line="300" w:lineRule="exact"/>
              <w:jc w:val="center"/>
              <w:rPr>
                <w:rFonts w:hint="eastAsia" w:ascii="Times New Roman" w:hAnsi="Times New Roman" w:eastAsia="宋体" w:cs="宋体"/>
                <w:color w:val="auto"/>
                <w:kern w:val="2"/>
                <w:sz w:val="21"/>
                <w:szCs w:val="21"/>
                <w:highlight w:val="none"/>
                <w:lang w:val="en-US" w:eastAsia="zh-CN" w:bidi="ar-SA"/>
              </w:rPr>
            </w:pPr>
            <w:r>
              <w:rPr>
                <w:rFonts w:hint="eastAsia" w:ascii="Times New Roman" w:hAnsi="Times New Roman" w:eastAsia="宋体" w:cs="宋体"/>
                <w:color w:val="auto"/>
                <w:szCs w:val="21"/>
                <w:highlight w:val="none"/>
              </w:rPr>
              <w:t>×</w:t>
            </w:r>
          </w:p>
        </w:tc>
        <w:tc>
          <w:tcPr>
            <w:tcW w:w="1177" w:type="pct"/>
            <w:vAlign w:val="center"/>
          </w:tcPr>
          <w:p w14:paraId="446F364D">
            <w:pPr>
              <w:spacing w:before="0" w:beforeLines="0" w:line="300" w:lineRule="exact"/>
              <w:jc w:val="center"/>
              <w:rPr>
                <w:rFonts w:ascii="Times New Roman" w:hAnsi="Times New Roman" w:eastAsia="宋体" w:cs="宋体"/>
                <w:color w:val="auto"/>
                <w:szCs w:val="21"/>
                <w:highlight w:val="none"/>
              </w:rPr>
            </w:pPr>
          </w:p>
        </w:tc>
        <w:tc>
          <w:tcPr>
            <w:tcW w:w="1179" w:type="pct"/>
            <w:vAlign w:val="center"/>
          </w:tcPr>
          <w:p w14:paraId="43929350">
            <w:pPr>
              <w:spacing w:before="0" w:beforeLines="0" w:line="300" w:lineRule="exact"/>
              <w:jc w:val="center"/>
              <w:rPr>
                <w:rFonts w:hint="eastAsia"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r>
      <w:tr w14:paraId="6E13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shd w:val="clear" w:color="auto" w:fill="auto"/>
            <w:vAlign w:val="center"/>
          </w:tcPr>
          <w:p w14:paraId="3E9F79DF">
            <w:pPr>
              <w:pStyle w:val="5"/>
              <w:keepNext/>
              <w:keepLines w:val="0"/>
              <w:pageBreakBefore w:val="0"/>
              <w:widowControl/>
              <w:numPr>
                <w:ilvl w:val="0"/>
                <w:numId w:val="0"/>
              </w:numPr>
              <w:tabs>
                <w:tab w:val="left" w:pos="420"/>
              </w:tabs>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宋体"/>
                <w:color w:val="auto"/>
                <w:sz w:val="21"/>
                <w:szCs w:val="21"/>
                <w:highlight w:val="none"/>
                <w:lang w:val="en-US" w:eastAsia="zh-CN" w:bidi="ar-SA"/>
              </w:rPr>
            </w:pPr>
            <w:r>
              <w:rPr>
                <w:rFonts w:hint="eastAsia" w:ascii="Times New Roman" w:hAnsi="Times New Roman" w:cs="宋体"/>
                <w:color w:val="auto"/>
                <w:highlight w:val="none"/>
                <w:lang w:val="en-US" w:eastAsia="zh-CN"/>
              </w:rPr>
              <w:t>骨骼肌</w:t>
            </w:r>
          </w:p>
        </w:tc>
        <w:tc>
          <w:tcPr>
            <w:tcW w:w="1177" w:type="pct"/>
            <w:vAlign w:val="center"/>
          </w:tcPr>
          <w:p w14:paraId="226CFB43">
            <w:pPr>
              <w:spacing w:before="0" w:beforeLines="0" w:line="300" w:lineRule="exact"/>
              <w:jc w:val="center"/>
              <w:rPr>
                <w:rFonts w:hint="eastAsia"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c>
          <w:tcPr>
            <w:tcW w:w="1177" w:type="pct"/>
            <w:vAlign w:val="center"/>
          </w:tcPr>
          <w:p w14:paraId="1117ECD1">
            <w:pPr>
              <w:spacing w:before="0" w:beforeLines="0" w:line="300" w:lineRule="exact"/>
              <w:jc w:val="center"/>
              <w:rPr>
                <w:rFonts w:ascii="Times New Roman" w:hAnsi="Times New Roman" w:eastAsia="宋体" w:cs="宋体"/>
                <w:color w:val="auto"/>
                <w:szCs w:val="21"/>
                <w:highlight w:val="none"/>
              </w:rPr>
            </w:pPr>
          </w:p>
        </w:tc>
        <w:tc>
          <w:tcPr>
            <w:tcW w:w="1179" w:type="pct"/>
            <w:vAlign w:val="center"/>
          </w:tcPr>
          <w:p w14:paraId="6904030A">
            <w:pPr>
              <w:spacing w:before="0" w:beforeLines="0" w:line="300" w:lineRule="exact"/>
              <w:jc w:val="center"/>
              <w:rPr>
                <w:rFonts w:hint="eastAsia"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r>
      <w:tr w14:paraId="1D26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shd w:val="clear" w:color="auto" w:fill="auto"/>
            <w:vAlign w:val="center"/>
          </w:tcPr>
          <w:p w14:paraId="6BD602B5">
            <w:pPr>
              <w:spacing w:before="0" w:beforeLines="0" w:line="300" w:lineRule="exact"/>
              <w:jc w:val="center"/>
              <w:rPr>
                <w:rFonts w:hint="eastAsia" w:ascii="Times New Roman" w:hAnsi="Times New Roman" w:eastAsia="宋体" w:cs="宋体"/>
                <w:color w:val="auto"/>
                <w:kern w:val="2"/>
                <w:sz w:val="21"/>
                <w:szCs w:val="21"/>
                <w:highlight w:val="none"/>
                <w:lang w:val="en-US" w:eastAsia="zh-CN" w:bidi="ar-SA"/>
              </w:rPr>
            </w:pPr>
            <w:r>
              <w:rPr>
                <w:rFonts w:hint="eastAsia" w:ascii="Times New Roman" w:hAnsi="Times New Roman" w:cs="宋体"/>
                <w:color w:val="auto"/>
                <w:highlight w:val="none"/>
                <w:lang w:val="en-US" w:eastAsia="zh-CN"/>
              </w:rPr>
              <w:t>去脂体重指数</w:t>
            </w:r>
          </w:p>
        </w:tc>
        <w:tc>
          <w:tcPr>
            <w:tcW w:w="1177" w:type="pct"/>
            <w:vAlign w:val="center"/>
          </w:tcPr>
          <w:p w14:paraId="16D0871B">
            <w:pPr>
              <w:spacing w:before="0" w:beforeLines="0" w:line="300" w:lineRule="exact"/>
              <w:jc w:val="center"/>
              <w:rPr>
                <w:rFonts w:hint="eastAsia" w:ascii="Times New Roman" w:hAnsi="Times New Roman" w:eastAsia="宋体" w:cs="宋体"/>
                <w:color w:val="auto"/>
                <w:kern w:val="2"/>
                <w:sz w:val="21"/>
                <w:szCs w:val="21"/>
                <w:highlight w:val="none"/>
                <w:lang w:val="en-US" w:eastAsia="zh-CN" w:bidi="ar-SA"/>
              </w:rPr>
            </w:pPr>
            <w:r>
              <w:rPr>
                <w:rFonts w:hint="eastAsia" w:ascii="Times New Roman" w:hAnsi="Times New Roman" w:eastAsia="宋体" w:cs="宋体"/>
                <w:color w:val="auto"/>
                <w:szCs w:val="21"/>
                <w:highlight w:val="none"/>
              </w:rPr>
              <w:t>×</w:t>
            </w:r>
          </w:p>
        </w:tc>
        <w:tc>
          <w:tcPr>
            <w:tcW w:w="1177" w:type="pct"/>
            <w:vAlign w:val="center"/>
          </w:tcPr>
          <w:p w14:paraId="10338D14">
            <w:pPr>
              <w:spacing w:before="0" w:beforeLines="0" w:line="300" w:lineRule="exact"/>
              <w:jc w:val="center"/>
              <w:rPr>
                <w:rFonts w:ascii="Times New Roman" w:hAnsi="Times New Roman" w:eastAsia="宋体" w:cs="宋体"/>
                <w:color w:val="auto"/>
                <w:szCs w:val="21"/>
                <w:highlight w:val="none"/>
              </w:rPr>
            </w:pPr>
          </w:p>
        </w:tc>
        <w:tc>
          <w:tcPr>
            <w:tcW w:w="1179" w:type="pct"/>
            <w:vAlign w:val="center"/>
          </w:tcPr>
          <w:p w14:paraId="65700ECB">
            <w:pPr>
              <w:spacing w:before="0" w:beforeLines="0" w:line="300" w:lineRule="exact"/>
              <w:jc w:val="center"/>
              <w:rPr>
                <w:rFonts w:hint="eastAsia"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r>
      <w:tr w14:paraId="49B89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5000" w:type="pct"/>
            <w:gridSpan w:val="4"/>
            <w:shd w:val="clear" w:color="auto" w:fill="D7D7D7"/>
            <w:vAlign w:val="center"/>
          </w:tcPr>
          <w:p w14:paraId="0B4D8118">
            <w:pPr>
              <w:spacing w:before="0" w:beforeLines="0" w:line="300" w:lineRule="exact"/>
              <w:jc w:val="left"/>
              <w:rPr>
                <w:rFonts w:hint="eastAsia" w:ascii="Times New Roman" w:hAnsi="Times New Roman" w:eastAsia="宋体" w:cs="宋体"/>
                <w:color w:val="auto"/>
                <w:szCs w:val="21"/>
                <w:highlight w:val="none"/>
              </w:rPr>
            </w:pPr>
            <w:r>
              <w:rPr>
                <w:rFonts w:hint="eastAsia" w:ascii="Times New Roman" w:hAnsi="Times New Roman" w:cs="宋体"/>
                <w:color w:val="auto"/>
                <w:szCs w:val="21"/>
                <w:highlight w:val="none"/>
                <w:lang w:bidi="ar"/>
              </w:rPr>
              <w:t>炎性</w:t>
            </w:r>
            <w:r>
              <w:rPr>
                <w:rFonts w:hint="eastAsia" w:ascii="Times New Roman" w:hAnsi="Times New Roman" w:cs="宋体"/>
                <w:color w:val="auto"/>
                <w:szCs w:val="21"/>
                <w:highlight w:val="none"/>
                <w:lang w:val="en-US" w:eastAsia="zh-CN" w:bidi="ar"/>
              </w:rPr>
              <w:t>相关</w:t>
            </w:r>
            <w:r>
              <w:rPr>
                <w:rFonts w:hint="eastAsia" w:ascii="Times New Roman" w:hAnsi="Times New Roman" w:cs="宋体"/>
                <w:color w:val="auto"/>
                <w:szCs w:val="21"/>
                <w:highlight w:val="none"/>
                <w:lang w:bidi="ar"/>
              </w:rPr>
              <w:t>指标</w:t>
            </w:r>
          </w:p>
        </w:tc>
      </w:tr>
      <w:tr w14:paraId="107E9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shd w:val="clear" w:color="auto" w:fill="auto"/>
            <w:vAlign w:val="center"/>
          </w:tcPr>
          <w:p w14:paraId="0D7847C1">
            <w:pPr>
              <w:spacing w:before="0" w:beforeLines="0"/>
              <w:jc w:val="center"/>
              <w:rPr>
                <w:rFonts w:ascii="Times New Roman" w:hAnsi="Times New Roman" w:eastAsia="宋体" w:cs="宋体"/>
                <w:color w:val="auto"/>
                <w:szCs w:val="21"/>
                <w:highlight w:val="none"/>
              </w:rPr>
            </w:pPr>
            <w:r>
              <w:rPr>
                <w:rFonts w:hint="eastAsia" w:ascii="Times New Roman" w:hAnsi="Times New Roman" w:cs="宋体"/>
                <w:color w:val="auto"/>
                <w:szCs w:val="21"/>
                <w:highlight w:val="none"/>
                <w:lang w:bidi="ar"/>
              </w:rPr>
              <w:t>C反应蛋白</w:t>
            </w:r>
          </w:p>
        </w:tc>
        <w:tc>
          <w:tcPr>
            <w:tcW w:w="1177" w:type="pct"/>
            <w:vAlign w:val="center"/>
          </w:tcPr>
          <w:p w14:paraId="6F875416">
            <w:pPr>
              <w:spacing w:before="0" w:beforeLines="0" w:line="300" w:lineRule="exact"/>
              <w:jc w:val="center"/>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c>
          <w:tcPr>
            <w:tcW w:w="1177" w:type="pct"/>
            <w:vAlign w:val="center"/>
          </w:tcPr>
          <w:p w14:paraId="2594BDED">
            <w:pPr>
              <w:spacing w:before="0" w:beforeLines="0" w:line="300" w:lineRule="exact"/>
              <w:jc w:val="center"/>
              <w:rPr>
                <w:rFonts w:ascii="Times New Roman" w:hAnsi="Times New Roman" w:eastAsia="宋体" w:cs="宋体"/>
                <w:color w:val="auto"/>
                <w:szCs w:val="21"/>
                <w:highlight w:val="none"/>
              </w:rPr>
            </w:pPr>
          </w:p>
        </w:tc>
        <w:tc>
          <w:tcPr>
            <w:tcW w:w="1179" w:type="pct"/>
            <w:vAlign w:val="center"/>
          </w:tcPr>
          <w:p w14:paraId="5A19D817">
            <w:pPr>
              <w:spacing w:before="0" w:beforeLines="0" w:line="300" w:lineRule="exact"/>
              <w:jc w:val="center"/>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r>
      <w:tr w14:paraId="0A3F3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5000" w:type="pct"/>
            <w:gridSpan w:val="4"/>
            <w:shd w:val="clear" w:color="auto" w:fill="D7D7D7" w:themeFill="background1" w:themeFillShade="D8"/>
            <w:vAlign w:val="center"/>
          </w:tcPr>
          <w:p w14:paraId="55ABF3B4">
            <w:pPr>
              <w:spacing w:before="0" w:beforeLines="0" w:line="300" w:lineRule="exact"/>
              <w:jc w:val="left"/>
              <w:rPr>
                <w:rFonts w:hint="eastAsia" w:ascii="Times New Roman" w:hAnsi="Times New Roman" w:cs="宋体"/>
                <w:color w:val="auto"/>
                <w:szCs w:val="21"/>
                <w:highlight w:val="none"/>
                <w:lang w:val="en-US" w:eastAsia="zh-CN" w:bidi="ar"/>
              </w:rPr>
            </w:pPr>
            <w:r>
              <w:rPr>
                <w:rFonts w:hint="eastAsia" w:ascii="Times New Roman" w:hAnsi="Times New Roman" w:cs="宋体"/>
                <w:color w:val="auto"/>
                <w:szCs w:val="21"/>
                <w:highlight w:val="none"/>
                <w:lang w:val="en-US" w:eastAsia="zh-CN" w:bidi="ar"/>
              </w:rPr>
              <w:t>免疫相关指标</w:t>
            </w:r>
          </w:p>
        </w:tc>
      </w:tr>
      <w:tr w14:paraId="1357C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shd w:val="clear" w:color="auto" w:fill="auto"/>
            <w:vAlign w:val="center"/>
          </w:tcPr>
          <w:p w14:paraId="097C6B0A">
            <w:pPr>
              <w:spacing w:before="0" w:beforeLines="0"/>
              <w:jc w:val="center"/>
              <w:rPr>
                <w:rFonts w:ascii="Times New Roman" w:hAnsi="Times New Roman" w:eastAsia="宋体" w:cs="宋体"/>
                <w:color w:val="auto"/>
                <w:szCs w:val="21"/>
                <w:highlight w:val="none"/>
              </w:rPr>
            </w:pPr>
            <w:r>
              <w:rPr>
                <w:rFonts w:hint="eastAsia" w:ascii="Times New Roman" w:hAnsi="Times New Roman" w:cs="宋体"/>
                <w:color w:val="auto"/>
                <w:szCs w:val="21"/>
                <w:highlight w:val="none"/>
                <w:lang w:val="en-US" w:eastAsia="zh-CN" w:bidi="ar"/>
              </w:rPr>
              <w:t>中性粒细胞/淋巴细胞比值</w:t>
            </w:r>
          </w:p>
        </w:tc>
        <w:tc>
          <w:tcPr>
            <w:tcW w:w="1177" w:type="pct"/>
            <w:vAlign w:val="center"/>
          </w:tcPr>
          <w:p w14:paraId="620010A0">
            <w:pPr>
              <w:spacing w:before="0" w:beforeLines="0" w:line="300" w:lineRule="exact"/>
              <w:jc w:val="center"/>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c>
          <w:tcPr>
            <w:tcW w:w="1177" w:type="pct"/>
            <w:vAlign w:val="center"/>
          </w:tcPr>
          <w:p w14:paraId="71DBE4AE">
            <w:pPr>
              <w:spacing w:before="0" w:beforeLines="0" w:line="300" w:lineRule="exact"/>
              <w:jc w:val="center"/>
              <w:rPr>
                <w:rFonts w:ascii="Times New Roman" w:hAnsi="Times New Roman" w:eastAsia="宋体" w:cs="宋体"/>
                <w:color w:val="auto"/>
                <w:szCs w:val="21"/>
                <w:highlight w:val="none"/>
              </w:rPr>
            </w:pPr>
          </w:p>
        </w:tc>
        <w:tc>
          <w:tcPr>
            <w:tcW w:w="1179" w:type="pct"/>
            <w:vAlign w:val="center"/>
          </w:tcPr>
          <w:p w14:paraId="6089D31C">
            <w:pPr>
              <w:spacing w:before="0" w:beforeLines="0" w:line="300" w:lineRule="exact"/>
              <w:jc w:val="center"/>
              <w:rPr>
                <w:rFonts w:hint="eastAsia"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r>
      <w:tr w14:paraId="5EB10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5000" w:type="pct"/>
            <w:gridSpan w:val="4"/>
            <w:shd w:val="clear" w:color="auto" w:fill="D7D7D7"/>
            <w:vAlign w:val="center"/>
          </w:tcPr>
          <w:p w14:paraId="5D624325">
            <w:pPr>
              <w:spacing w:before="0" w:beforeLines="0" w:line="300" w:lineRule="exact"/>
              <w:rPr>
                <w:rFonts w:hint="eastAsia" w:ascii="Times New Roman" w:hAnsi="Times New Roman" w:eastAsia="宋体" w:cs="宋体"/>
                <w:color w:val="auto"/>
                <w:szCs w:val="21"/>
                <w:highlight w:val="none"/>
              </w:rPr>
            </w:pPr>
            <w:r>
              <w:rPr>
                <w:rFonts w:hint="eastAsia" w:ascii="Times New Roman" w:hAnsi="Times New Roman" w:cs="宋体"/>
                <w:color w:val="auto"/>
                <w:szCs w:val="21"/>
                <w:highlight w:val="none"/>
                <w:lang w:val="en-US" w:eastAsia="zh-CN" w:bidi="ar"/>
              </w:rPr>
              <w:t>代谢相关指标</w:t>
            </w:r>
          </w:p>
        </w:tc>
      </w:tr>
      <w:tr w14:paraId="22488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vAlign w:val="center"/>
          </w:tcPr>
          <w:p w14:paraId="264C9C44">
            <w:pPr>
              <w:spacing w:before="0" w:beforeLines="0" w:line="300" w:lineRule="exact"/>
              <w:jc w:val="center"/>
              <w:rPr>
                <w:rFonts w:ascii="Times New Roman" w:hAnsi="Times New Roman" w:eastAsia="宋体" w:cs="宋体"/>
                <w:color w:val="auto"/>
                <w:szCs w:val="21"/>
                <w:highlight w:val="none"/>
              </w:rPr>
            </w:pPr>
            <w:r>
              <w:rPr>
                <w:rFonts w:hint="eastAsia" w:ascii="Times New Roman" w:hAnsi="Times New Roman" w:cs="宋体"/>
                <w:color w:val="auto"/>
                <w:szCs w:val="21"/>
                <w:highlight w:val="none"/>
                <w:lang w:val="en-US" w:eastAsia="zh-CN" w:bidi="ar"/>
              </w:rPr>
              <w:t>空腹胰岛素</w:t>
            </w:r>
          </w:p>
        </w:tc>
        <w:tc>
          <w:tcPr>
            <w:tcW w:w="1177" w:type="pct"/>
            <w:vAlign w:val="center"/>
          </w:tcPr>
          <w:p w14:paraId="73BD425A">
            <w:pPr>
              <w:spacing w:before="0" w:beforeLines="0" w:line="300" w:lineRule="exact"/>
              <w:jc w:val="center"/>
              <w:rPr>
                <w:rFonts w:ascii="Times New Roman" w:hAnsi="Times New Roman" w:eastAsia="宋体" w:cs="宋体"/>
                <w:color w:val="auto"/>
                <w:kern w:val="2"/>
                <w:sz w:val="21"/>
                <w:szCs w:val="21"/>
                <w:highlight w:val="none"/>
                <w:lang w:val="en-US" w:eastAsia="zh-CN" w:bidi="ar-SA"/>
              </w:rPr>
            </w:pPr>
            <w:r>
              <w:rPr>
                <w:rFonts w:hint="eastAsia" w:ascii="Times New Roman" w:hAnsi="Times New Roman" w:eastAsia="宋体" w:cs="宋体"/>
                <w:color w:val="auto"/>
                <w:szCs w:val="21"/>
                <w:highlight w:val="none"/>
              </w:rPr>
              <w:t>×</w:t>
            </w:r>
          </w:p>
        </w:tc>
        <w:tc>
          <w:tcPr>
            <w:tcW w:w="1177" w:type="pct"/>
            <w:vAlign w:val="center"/>
          </w:tcPr>
          <w:p w14:paraId="0A522AB4">
            <w:pPr>
              <w:spacing w:before="0" w:beforeLines="0" w:line="300" w:lineRule="exact"/>
              <w:jc w:val="center"/>
              <w:rPr>
                <w:rFonts w:ascii="Times New Roman" w:hAnsi="Times New Roman" w:eastAsia="宋体" w:cs="宋体"/>
                <w:color w:val="auto"/>
                <w:szCs w:val="21"/>
                <w:highlight w:val="none"/>
              </w:rPr>
            </w:pPr>
          </w:p>
        </w:tc>
        <w:tc>
          <w:tcPr>
            <w:tcW w:w="1179" w:type="pct"/>
            <w:vAlign w:val="center"/>
          </w:tcPr>
          <w:p w14:paraId="0DD41A9F">
            <w:pPr>
              <w:spacing w:before="0" w:beforeLines="0" w:line="300" w:lineRule="exact"/>
              <w:jc w:val="center"/>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r>
      <w:tr w14:paraId="69FCA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vAlign w:val="center"/>
          </w:tcPr>
          <w:p w14:paraId="3C26CF59">
            <w:pPr>
              <w:spacing w:before="0" w:beforeLines="0" w:line="300" w:lineRule="exact"/>
              <w:jc w:val="center"/>
              <w:rPr>
                <w:rFonts w:hint="eastAsia" w:ascii="Times New Roman" w:hAnsi="Times New Roman" w:cs="宋体"/>
                <w:color w:val="auto"/>
                <w:szCs w:val="21"/>
                <w:highlight w:val="none"/>
                <w:lang w:val="en-US" w:eastAsia="zh-CN" w:bidi="ar"/>
              </w:rPr>
            </w:pPr>
            <w:r>
              <w:rPr>
                <w:rFonts w:hint="eastAsia" w:ascii="Times New Roman" w:hAnsi="Times New Roman" w:cs="宋体"/>
                <w:color w:val="auto"/>
                <w:szCs w:val="21"/>
                <w:highlight w:val="none"/>
                <w:lang w:val="en-US" w:eastAsia="zh-CN" w:bidi="ar"/>
              </w:rPr>
              <w:t>空腹血脂</w:t>
            </w:r>
          </w:p>
        </w:tc>
        <w:tc>
          <w:tcPr>
            <w:tcW w:w="1177" w:type="pct"/>
            <w:vAlign w:val="center"/>
          </w:tcPr>
          <w:p w14:paraId="78578EA4">
            <w:pPr>
              <w:spacing w:before="0" w:beforeLines="0" w:line="300" w:lineRule="exact"/>
              <w:jc w:val="center"/>
              <w:rPr>
                <w:rFonts w:hint="eastAsia" w:ascii="Times New Roman" w:hAnsi="Times New Roman" w:eastAsia="宋体" w:cs="宋体"/>
                <w:color w:val="auto"/>
                <w:kern w:val="2"/>
                <w:sz w:val="21"/>
                <w:szCs w:val="21"/>
                <w:highlight w:val="none"/>
                <w:lang w:val="en-US" w:eastAsia="zh-CN" w:bidi="ar-SA"/>
              </w:rPr>
            </w:pPr>
            <w:r>
              <w:rPr>
                <w:rFonts w:hint="eastAsia" w:ascii="Times New Roman" w:hAnsi="Times New Roman" w:eastAsia="宋体" w:cs="宋体"/>
                <w:color w:val="auto"/>
                <w:szCs w:val="21"/>
                <w:highlight w:val="none"/>
              </w:rPr>
              <w:t>×</w:t>
            </w:r>
          </w:p>
        </w:tc>
        <w:tc>
          <w:tcPr>
            <w:tcW w:w="1177" w:type="pct"/>
            <w:vAlign w:val="center"/>
          </w:tcPr>
          <w:p w14:paraId="12FB0963">
            <w:pPr>
              <w:spacing w:before="0" w:beforeLines="0" w:line="300" w:lineRule="exact"/>
              <w:jc w:val="center"/>
              <w:rPr>
                <w:rFonts w:ascii="Times New Roman" w:hAnsi="Times New Roman" w:eastAsia="宋体" w:cs="宋体"/>
                <w:color w:val="auto"/>
                <w:szCs w:val="21"/>
                <w:highlight w:val="none"/>
              </w:rPr>
            </w:pPr>
          </w:p>
        </w:tc>
        <w:tc>
          <w:tcPr>
            <w:tcW w:w="1179" w:type="pct"/>
            <w:vAlign w:val="center"/>
          </w:tcPr>
          <w:p w14:paraId="282CE00C">
            <w:pPr>
              <w:spacing w:before="0" w:beforeLines="0" w:line="300" w:lineRule="exact"/>
              <w:jc w:val="center"/>
              <w:rPr>
                <w:rFonts w:hint="eastAsia"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r>
      <w:tr w14:paraId="11F91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5000" w:type="pct"/>
            <w:gridSpan w:val="4"/>
            <w:shd w:val="clear" w:color="auto" w:fill="D7D7D7" w:themeFill="background1" w:themeFillShade="D8"/>
            <w:vAlign w:val="center"/>
          </w:tcPr>
          <w:p w14:paraId="7AC4590E">
            <w:pPr>
              <w:spacing w:before="0" w:beforeLines="0" w:line="300" w:lineRule="exact"/>
              <w:jc w:val="left"/>
              <w:rPr>
                <w:rFonts w:hint="eastAsia" w:ascii="Times New Roman" w:hAnsi="Times New Roman" w:cs="宋体"/>
                <w:color w:val="auto"/>
                <w:szCs w:val="21"/>
                <w:highlight w:val="none"/>
                <w:lang w:val="en-US" w:eastAsia="zh-CN" w:bidi="ar"/>
              </w:rPr>
            </w:pPr>
            <w:r>
              <w:rPr>
                <w:rFonts w:hint="eastAsia" w:ascii="Times New Roman" w:hAnsi="Times New Roman" w:cs="宋体"/>
                <w:color w:val="auto"/>
                <w:szCs w:val="21"/>
                <w:highlight w:val="none"/>
                <w:lang w:val="en-US" w:eastAsia="zh-CN" w:bidi="ar"/>
              </w:rPr>
              <w:t>临床结局指标</w:t>
            </w:r>
          </w:p>
        </w:tc>
      </w:tr>
      <w:tr w14:paraId="5565F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vAlign w:val="center"/>
          </w:tcPr>
          <w:p w14:paraId="54A8A7BC">
            <w:pPr>
              <w:spacing w:before="0" w:beforeLines="0" w:line="300" w:lineRule="exact"/>
              <w:jc w:val="center"/>
              <w:rPr>
                <w:rFonts w:hint="default" w:ascii="Times New Roman" w:hAnsi="Times New Roman" w:eastAsia="宋体" w:cs="宋体"/>
                <w:color w:val="auto"/>
                <w:szCs w:val="21"/>
                <w:highlight w:val="none"/>
                <w:lang w:val="en-US" w:eastAsia="zh-CN" w:bidi="ar"/>
              </w:rPr>
            </w:pPr>
            <w:r>
              <w:rPr>
                <w:rFonts w:hint="eastAsia" w:ascii="Times New Roman" w:hAnsi="Times New Roman" w:cs="宋体"/>
                <w:color w:val="auto"/>
                <w:szCs w:val="21"/>
                <w:highlight w:val="none"/>
                <w:lang w:bidi="ar"/>
              </w:rPr>
              <w:t>生活质量</w:t>
            </w:r>
            <w:r>
              <w:rPr>
                <w:rFonts w:hint="eastAsia" w:ascii="Times New Roman" w:hAnsi="Times New Roman" w:cs="宋体"/>
                <w:color w:val="auto"/>
                <w:szCs w:val="21"/>
                <w:highlight w:val="none"/>
                <w:lang w:val="en-US" w:eastAsia="zh-CN" w:bidi="ar"/>
              </w:rPr>
              <w:t>SF-12量表</w:t>
            </w:r>
          </w:p>
        </w:tc>
        <w:tc>
          <w:tcPr>
            <w:tcW w:w="1177" w:type="pct"/>
            <w:vAlign w:val="center"/>
          </w:tcPr>
          <w:p w14:paraId="6BB7320F">
            <w:pPr>
              <w:spacing w:before="0" w:beforeLines="0" w:line="300" w:lineRule="exact"/>
              <w:jc w:val="center"/>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c>
          <w:tcPr>
            <w:tcW w:w="1177" w:type="pct"/>
            <w:vAlign w:val="center"/>
          </w:tcPr>
          <w:p w14:paraId="04EC1CFC">
            <w:pPr>
              <w:spacing w:before="0" w:beforeLines="0" w:line="300" w:lineRule="exact"/>
              <w:jc w:val="center"/>
              <w:rPr>
                <w:rFonts w:ascii="Times New Roman" w:hAnsi="Times New Roman" w:eastAsia="宋体" w:cs="宋体"/>
                <w:color w:val="auto"/>
                <w:szCs w:val="21"/>
                <w:highlight w:val="none"/>
              </w:rPr>
            </w:pPr>
          </w:p>
        </w:tc>
        <w:tc>
          <w:tcPr>
            <w:tcW w:w="1179" w:type="pct"/>
            <w:vAlign w:val="center"/>
          </w:tcPr>
          <w:p w14:paraId="1473DCBC">
            <w:pPr>
              <w:spacing w:before="0" w:beforeLines="0" w:line="300" w:lineRule="exact"/>
              <w:jc w:val="center"/>
              <w:rPr>
                <w:rFonts w:hint="eastAsia"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r>
      <w:tr w14:paraId="5FD8E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5000" w:type="pct"/>
            <w:gridSpan w:val="4"/>
            <w:shd w:val="clear" w:color="auto" w:fill="D8D8D8" w:themeFill="background1" w:themeFillShade="D9"/>
            <w:vAlign w:val="center"/>
          </w:tcPr>
          <w:p w14:paraId="5BDB16AD">
            <w:pPr>
              <w:spacing w:before="0" w:beforeLines="0" w:line="300" w:lineRule="exact"/>
              <w:rPr>
                <w:rFonts w:hint="eastAsia" w:ascii="Times New Roman" w:hAnsi="Times New Roman" w:cs="宋体"/>
                <w:color w:val="auto"/>
                <w:szCs w:val="21"/>
                <w:highlight w:val="none"/>
                <w:lang w:val="en-US" w:eastAsia="zh-CN"/>
              </w:rPr>
            </w:pPr>
            <w:r>
              <w:rPr>
                <w:rFonts w:hint="eastAsia" w:ascii="Times New Roman" w:hAnsi="Times New Roman" w:cs="宋体"/>
                <w:color w:val="auto"/>
                <w:szCs w:val="21"/>
                <w:highlight w:val="none"/>
                <w:lang w:val="en-US" w:eastAsia="zh-CN"/>
              </w:rPr>
              <w:t>每日摄入情况</w:t>
            </w:r>
          </w:p>
        </w:tc>
      </w:tr>
      <w:tr w14:paraId="43A8C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vAlign w:val="center"/>
          </w:tcPr>
          <w:p w14:paraId="36D3F677">
            <w:pPr>
              <w:spacing w:before="0" w:beforeLines="0" w:line="300" w:lineRule="exact"/>
              <w:jc w:val="center"/>
              <w:rPr>
                <w:rFonts w:hint="eastAsia" w:ascii="Times New Roman" w:hAnsi="Times New Roman" w:eastAsia="宋体" w:cs="宋体"/>
                <w:color w:val="auto"/>
                <w:szCs w:val="21"/>
                <w:highlight w:val="none"/>
                <w:lang w:eastAsia="zh-CN"/>
              </w:rPr>
            </w:pPr>
            <w:r>
              <w:rPr>
                <w:rFonts w:hint="eastAsia" w:ascii="Times New Roman" w:hAnsi="Times New Roman" w:cs="宋体"/>
                <w:color w:val="auto"/>
                <w:szCs w:val="21"/>
                <w:highlight w:val="none"/>
                <w:lang w:eastAsia="zh-CN"/>
              </w:rPr>
              <w:t>试验用产品</w:t>
            </w:r>
            <w:r>
              <w:rPr>
                <w:rFonts w:hint="eastAsia" w:ascii="Times New Roman" w:hAnsi="Times New Roman" w:eastAsia="宋体" w:cs="宋体"/>
                <w:color w:val="auto"/>
                <w:szCs w:val="21"/>
                <w:highlight w:val="none"/>
              </w:rPr>
              <w:t>服用</w:t>
            </w:r>
            <w:r>
              <w:rPr>
                <w:rFonts w:hint="eastAsia" w:ascii="Times New Roman" w:hAnsi="Times New Roman" w:cs="宋体"/>
                <w:color w:val="auto"/>
                <w:szCs w:val="21"/>
                <w:highlight w:val="none"/>
                <w:lang w:val="en-US" w:eastAsia="zh-CN"/>
              </w:rPr>
              <w:t>记录</w:t>
            </w:r>
          </w:p>
        </w:tc>
        <w:tc>
          <w:tcPr>
            <w:tcW w:w="1177" w:type="pct"/>
            <w:vAlign w:val="center"/>
          </w:tcPr>
          <w:p w14:paraId="04346BE1">
            <w:pPr>
              <w:spacing w:before="0" w:beforeLines="0" w:line="300" w:lineRule="exact"/>
              <w:jc w:val="center"/>
              <w:rPr>
                <w:rFonts w:ascii="Times New Roman" w:hAnsi="Times New Roman" w:eastAsia="宋体" w:cs="宋体"/>
                <w:color w:val="auto"/>
                <w:szCs w:val="21"/>
                <w:highlight w:val="none"/>
              </w:rPr>
            </w:pPr>
          </w:p>
        </w:tc>
        <w:tc>
          <w:tcPr>
            <w:tcW w:w="1177" w:type="pct"/>
            <w:vAlign w:val="center"/>
          </w:tcPr>
          <w:p w14:paraId="0C6C994C">
            <w:pPr>
              <w:spacing w:before="0" w:beforeLines="0" w:line="300" w:lineRule="exact"/>
              <w:jc w:val="center"/>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c>
          <w:tcPr>
            <w:tcW w:w="1179" w:type="pct"/>
            <w:vAlign w:val="center"/>
          </w:tcPr>
          <w:p w14:paraId="57C09E50">
            <w:pPr>
              <w:spacing w:before="0" w:beforeLines="0" w:line="300" w:lineRule="exact"/>
              <w:jc w:val="center"/>
              <w:rPr>
                <w:rFonts w:ascii="Times New Roman" w:hAnsi="Times New Roman" w:eastAsia="宋体" w:cs="宋体"/>
                <w:color w:val="auto"/>
                <w:szCs w:val="21"/>
                <w:highlight w:val="none"/>
              </w:rPr>
            </w:pPr>
          </w:p>
        </w:tc>
      </w:tr>
      <w:tr w14:paraId="032CB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vAlign w:val="center"/>
          </w:tcPr>
          <w:p w14:paraId="1F5EB73B">
            <w:pPr>
              <w:spacing w:before="0" w:beforeLines="0" w:line="300" w:lineRule="exact"/>
              <w:jc w:val="center"/>
              <w:rPr>
                <w:rFonts w:hint="eastAsia" w:ascii="Times New Roman" w:hAnsi="Times New Roman" w:eastAsia="宋体" w:cs="宋体"/>
                <w:color w:val="auto"/>
                <w:szCs w:val="21"/>
                <w:highlight w:val="none"/>
              </w:rPr>
            </w:pPr>
            <w:r>
              <w:rPr>
                <w:rFonts w:hint="eastAsia" w:ascii="Times New Roman" w:hAnsi="Times New Roman" w:cs="宋体"/>
                <w:color w:val="auto"/>
                <w:szCs w:val="21"/>
                <w:highlight w:val="none"/>
                <w:lang w:val="en-US" w:eastAsia="zh-CN"/>
              </w:rPr>
              <w:t>普通</w:t>
            </w:r>
            <w:r>
              <w:rPr>
                <w:rFonts w:hint="eastAsia" w:ascii="Times New Roman" w:hAnsi="Times New Roman" w:eastAsia="宋体" w:cs="宋体"/>
                <w:color w:val="auto"/>
                <w:szCs w:val="21"/>
                <w:highlight w:val="none"/>
              </w:rPr>
              <w:t>膳食记录</w:t>
            </w:r>
          </w:p>
        </w:tc>
        <w:tc>
          <w:tcPr>
            <w:tcW w:w="1177" w:type="pct"/>
            <w:vAlign w:val="center"/>
          </w:tcPr>
          <w:p w14:paraId="6CEA0E23">
            <w:pPr>
              <w:spacing w:before="0" w:beforeLines="0" w:line="300" w:lineRule="exact"/>
              <w:jc w:val="center"/>
              <w:rPr>
                <w:rFonts w:ascii="Times New Roman" w:hAnsi="Times New Roman" w:eastAsia="宋体" w:cs="宋体"/>
                <w:color w:val="auto"/>
                <w:szCs w:val="21"/>
                <w:highlight w:val="none"/>
              </w:rPr>
            </w:pPr>
          </w:p>
        </w:tc>
        <w:tc>
          <w:tcPr>
            <w:tcW w:w="1177" w:type="pct"/>
            <w:vAlign w:val="center"/>
          </w:tcPr>
          <w:p w14:paraId="6BEBD9AF">
            <w:pPr>
              <w:spacing w:before="0" w:beforeLines="0" w:line="300" w:lineRule="exact"/>
              <w:jc w:val="center"/>
              <w:rPr>
                <w:rFonts w:hint="eastAsia"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c>
          <w:tcPr>
            <w:tcW w:w="1179" w:type="pct"/>
            <w:vAlign w:val="center"/>
          </w:tcPr>
          <w:p w14:paraId="3504FAA8">
            <w:pPr>
              <w:spacing w:before="0" w:beforeLines="0" w:line="300" w:lineRule="exact"/>
              <w:jc w:val="center"/>
              <w:rPr>
                <w:rFonts w:hint="eastAsia" w:ascii="Times New Roman" w:hAnsi="Times New Roman" w:eastAsia="宋体" w:cs="宋体"/>
                <w:color w:val="auto"/>
                <w:szCs w:val="21"/>
                <w:highlight w:val="none"/>
              </w:rPr>
            </w:pPr>
          </w:p>
        </w:tc>
      </w:tr>
      <w:tr w14:paraId="01403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5000" w:type="pct"/>
            <w:gridSpan w:val="4"/>
            <w:shd w:val="clear" w:color="auto" w:fill="D7D7D7"/>
            <w:vAlign w:val="center"/>
          </w:tcPr>
          <w:p w14:paraId="040CC5C5">
            <w:pPr>
              <w:spacing w:before="0" w:beforeLines="0" w:line="300" w:lineRule="exact"/>
              <w:rPr>
                <w:rFonts w:hint="eastAsia" w:ascii="Times New Roman" w:hAnsi="Times New Roman" w:cs="宋体"/>
                <w:color w:val="auto"/>
                <w:szCs w:val="21"/>
                <w:highlight w:val="none"/>
                <w:lang w:eastAsia="zh-CN"/>
              </w:rPr>
            </w:pPr>
            <w:r>
              <w:rPr>
                <w:rFonts w:hint="eastAsia" w:ascii="Times New Roman" w:hAnsi="Times New Roman" w:cs="宋体"/>
                <w:color w:val="auto"/>
                <w:szCs w:val="21"/>
                <w:highlight w:val="none"/>
                <w:lang w:eastAsia="zh-CN"/>
              </w:rPr>
              <w:t>临床安全性</w:t>
            </w:r>
            <w:r>
              <w:rPr>
                <w:rFonts w:hint="eastAsia" w:ascii="Times New Roman" w:hAnsi="Times New Roman" w:cs="宋体"/>
                <w:color w:val="auto"/>
                <w:szCs w:val="21"/>
                <w:highlight w:val="none"/>
                <w:lang w:val="en-US" w:eastAsia="zh-CN"/>
              </w:rPr>
              <w:t>指标</w:t>
            </w:r>
          </w:p>
        </w:tc>
      </w:tr>
      <w:tr w14:paraId="7DC58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vAlign w:val="center"/>
          </w:tcPr>
          <w:p w14:paraId="0520469F">
            <w:pPr>
              <w:spacing w:before="0" w:beforeLines="0" w:line="300" w:lineRule="exact"/>
              <w:jc w:val="center"/>
              <w:rPr>
                <w:rFonts w:hint="eastAsia" w:ascii="Times New Roman" w:hAnsi="Times New Roman" w:eastAsia="宋体" w:cs="宋体"/>
                <w:color w:val="auto"/>
                <w:szCs w:val="21"/>
                <w:highlight w:val="none"/>
                <w:lang w:eastAsia="zh-CN"/>
              </w:rPr>
            </w:pPr>
            <w:r>
              <w:rPr>
                <w:rFonts w:hint="eastAsia" w:ascii="Times New Roman" w:hAnsi="Times New Roman" w:eastAsia="宋体" w:cs="宋体"/>
                <w:color w:val="auto"/>
                <w:szCs w:val="21"/>
                <w:highlight w:val="none"/>
              </w:rPr>
              <w:t>AE、SAE</w:t>
            </w:r>
            <w:r>
              <w:rPr>
                <w:rFonts w:hint="eastAsia" w:ascii="Times New Roman" w:hAnsi="Times New Roman" w:cs="宋体"/>
                <w:color w:val="auto"/>
                <w:szCs w:val="21"/>
                <w:highlight w:val="none"/>
                <w:lang w:eastAsia="zh-CN"/>
              </w:rPr>
              <w:t>（</w:t>
            </w:r>
            <w:r>
              <w:rPr>
                <w:rFonts w:hint="eastAsia" w:ascii="Times New Roman" w:hAnsi="Times New Roman" w:cs="宋体"/>
                <w:color w:val="auto"/>
                <w:szCs w:val="21"/>
                <w:highlight w:val="none"/>
                <w:lang w:val="en-US" w:eastAsia="zh-CN"/>
              </w:rPr>
              <w:t>含</w:t>
            </w:r>
            <w:r>
              <w:rPr>
                <w:rFonts w:hint="eastAsia" w:ascii="Times New Roman" w:hAnsi="Times New Roman" w:eastAsia="宋体" w:cs="宋体"/>
                <w:color w:val="auto"/>
                <w:szCs w:val="21"/>
                <w:highlight w:val="none"/>
              </w:rPr>
              <w:t>消化道反应</w:t>
            </w:r>
            <w:r>
              <w:rPr>
                <w:rFonts w:hint="eastAsia" w:ascii="Times New Roman" w:hAnsi="Times New Roman" w:cs="宋体"/>
                <w:color w:val="auto"/>
                <w:szCs w:val="21"/>
                <w:highlight w:val="none"/>
                <w:lang w:eastAsia="zh-CN"/>
              </w:rPr>
              <w:t>）</w:t>
            </w:r>
          </w:p>
        </w:tc>
        <w:tc>
          <w:tcPr>
            <w:tcW w:w="1177" w:type="pct"/>
            <w:vAlign w:val="center"/>
          </w:tcPr>
          <w:p w14:paraId="6DFDBD42">
            <w:pPr>
              <w:spacing w:before="0" w:beforeLines="0" w:line="300" w:lineRule="exact"/>
              <w:jc w:val="center"/>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c>
          <w:tcPr>
            <w:tcW w:w="1177" w:type="pct"/>
            <w:vAlign w:val="center"/>
          </w:tcPr>
          <w:p w14:paraId="4014B7FA">
            <w:pPr>
              <w:spacing w:before="0" w:beforeLines="0" w:line="300" w:lineRule="exact"/>
              <w:jc w:val="center"/>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c>
          <w:tcPr>
            <w:tcW w:w="1179" w:type="pct"/>
            <w:vAlign w:val="center"/>
          </w:tcPr>
          <w:p w14:paraId="1644D61E">
            <w:pPr>
              <w:spacing w:before="0" w:beforeLines="0" w:line="300" w:lineRule="exact"/>
              <w:jc w:val="center"/>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r>
      <w:tr w14:paraId="55239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6" w:type="pct"/>
            <w:shd w:val="clear" w:color="auto" w:fill="D7D7D7"/>
            <w:vAlign w:val="center"/>
          </w:tcPr>
          <w:p w14:paraId="17B53846">
            <w:pPr>
              <w:spacing w:before="0" w:beforeLines="0" w:line="300" w:lineRule="exact"/>
              <w:jc w:val="left"/>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合并用药</w:t>
            </w:r>
          </w:p>
        </w:tc>
        <w:tc>
          <w:tcPr>
            <w:tcW w:w="1177" w:type="pct"/>
            <w:vAlign w:val="center"/>
          </w:tcPr>
          <w:p w14:paraId="28DC698B">
            <w:pPr>
              <w:spacing w:before="0" w:beforeLines="0" w:line="300" w:lineRule="exact"/>
              <w:jc w:val="center"/>
              <w:rPr>
                <w:rFonts w:ascii="Times New Roman" w:hAnsi="Times New Roman" w:eastAsia="宋体" w:cs="宋体"/>
                <w:color w:val="auto"/>
                <w:szCs w:val="21"/>
                <w:highlight w:val="none"/>
              </w:rPr>
            </w:pPr>
          </w:p>
        </w:tc>
        <w:tc>
          <w:tcPr>
            <w:tcW w:w="1177" w:type="pct"/>
            <w:vAlign w:val="center"/>
          </w:tcPr>
          <w:p w14:paraId="049BF1E4">
            <w:pPr>
              <w:spacing w:before="0" w:beforeLines="0" w:line="300" w:lineRule="exact"/>
              <w:jc w:val="center"/>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c>
          <w:tcPr>
            <w:tcW w:w="1179" w:type="pct"/>
            <w:vAlign w:val="center"/>
          </w:tcPr>
          <w:p w14:paraId="69CAC8FC">
            <w:pPr>
              <w:spacing w:before="0" w:beforeLines="0" w:line="300" w:lineRule="exact"/>
              <w:jc w:val="center"/>
              <w:rPr>
                <w:rFonts w:ascii="Times New Roman" w:hAnsi="Times New Roman" w:eastAsia="宋体" w:cs="宋体"/>
                <w:color w:val="auto"/>
                <w:szCs w:val="21"/>
                <w:highlight w:val="none"/>
              </w:rPr>
            </w:pPr>
            <w:r>
              <w:rPr>
                <w:rFonts w:hint="eastAsia" w:ascii="Times New Roman" w:hAnsi="Times New Roman" w:eastAsia="宋体" w:cs="宋体"/>
                <w:color w:val="auto"/>
                <w:szCs w:val="21"/>
                <w:highlight w:val="none"/>
              </w:rPr>
              <w:t>×</w:t>
            </w:r>
          </w:p>
        </w:tc>
      </w:tr>
    </w:tbl>
    <w:p w14:paraId="3F5D6FAF">
      <w:pPr>
        <w:pStyle w:val="2"/>
        <w:keepNext w:val="0"/>
        <w:keepLines w:val="0"/>
        <w:pageBreakBefore w:val="0"/>
        <w:widowControl w:val="0"/>
        <w:kinsoku/>
        <w:wordWrap/>
        <w:overflowPunct/>
        <w:topLinePunct w:val="0"/>
        <w:autoSpaceDE w:val="0"/>
        <w:autoSpaceDN w:val="0"/>
        <w:bidi w:val="0"/>
        <w:adjustRightInd w:val="0"/>
        <w:snapToGrid/>
        <w:spacing w:before="161" w:beforeLines="50"/>
        <w:textAlignment w:val="auto"/>
        <w:rPr>
          <w:rFonts w:ascii="Times New Roman" w:hAnsi="Times New Roman" w:eastAsia="宋体" w:cs="黑体"/>
          <w:color w:val="auto"/>
          <w:sz w:val="21"/>
          <w:szCs w:val="21"/>
          <w:highlight w:val="none"/>
        </w:rPr>
      </w:pPr>
      <w:r>
        <w:rPr>
          <w:rFonts w:ascii="Times New Roman" w:hAnsi="Times New Roman" w:eastAsia="宋体" w:cs="黑体"/>
          <w:color w:val="auto"/>
          <w:sz w:val="21"/>
          <w:szCs w:val="21"/>
          <w:highlight w:val="none"/>
        </w:rPr>
        <w:t>注：</w:t>
      </w:r>
      <w:r>
        <w:rPr>
          <w:rFonts w:hint="eastAsia" w:ascii="Times New Roman" w:hAnsi="Times New Roman" w:eastAsia="宋体" w:cs="黑体"/>
          <w:color w:val="auto"/>
          <w:sz w:val="21"/>
          <w:szCs w:val="21"/>
          <w:highlight w:val="none"/>
          <w:lang w:val="en-US" w:eastAsia="zh-CN"/>
        </w:rPr>
        <w:t xml:space="preserve">1. </w:t>
      </w:r>
      <w:r>
        <w:rPr>
          <w:rFonts w:ascii="Times New Roman" w:hAnsi="Times New Roman" w:eastAsia="宋体" w:cs="黑体"/>
          <w:color w:val="auto"/>
          <w:sz w:val="21"/>
          <w:szCs w:val="21"/>
          <w:highlight w:val="none"/>
        </w:rPr>
        <w:t>筛选期</w:t>
      </w:r>
      <w:r>
        <w:rPr>
          <w:rFonts w:hint="eastAsia" w:eastAsia="宋体" w:cs="黑体"/>
          <w:color w:val="auto"/>
          <w:sz w:val="21"/>
          <w:szCs w:val="21"/>
          <w:highlight w:val="none"/>
          <w:lang w:val="en-US" w:eastAsia="zh-CN"/>
        </w:rPr>
        <w:t>/基线</w:t>
      </w:r>
      <w:r>
        <w:rPr>
          <w:rFonts w:ascii="Times New Roman" w:hAnsi="Times New Roman" w:eastAsia="宋体" w:cs="黑体"/>
          <w:color w:val="auto"/>
          <w:sz w:val="21"/>
          <w:szCs w:val="21"/>
          <w:highlight w:val="none"/>
        </w:rPr>
        <w:t>的</w:t>
      </w:r>
      <w:r>
        <w:rPr>
          <w:rFonts w:hint="eastAsia" w:ascii="Times New Roman" w:hAnsi="Times New Roman" w:eastAsia="宋体" w:cs="黑体"/>
          <w:color w:val="auto"/>
          <w:sz w:val="21"/>
          <w:szCs w:val="21"/>
          <w:highlight w:val="none"/>
          <w:lang w:val="en-US" w:eastAsia="zh-CN"/>
        </w:rPr>
        <w:t>血样采集</w:t>
      </w:r>
      <w:r>
        <w:rPr>
          <w:rFonts w:ascii="Times New Roman" w:hAnsi="Times New Roman" w:eastAsia="宋体" w:cs="黑体"/>
          <w:color w:val="auto"/>
          <w:sz w:val="21"/>
          <w:szCs w:val="21"/>
          <w:highlight w:val="none"/>
        </w:rPr>
        <w:t>需在空腹状态下完成</w:t>
      </w:r>
      <w:r>
        <w:rPr>
          <w:rFonts w:hint="eastAsia" w:eastAsia="宋体" w:cs="黑体"/>
          <w:color w:val="auto"/>
          <w:sz w:val="21"/>
          <w:szCs w:val="21"/>
          <w:highlight w:val="none"/>
          <w:lang w:eastAsia="zh-CN"/>
        </w:rPr>
        <w:t>；</w:t>
      </w:r>
      <w:r>
        <w:rPr>
          <w:rFonts w:hint="eastAsia" w:eastAsia="宋体" w:cs="黑体"/>
          <w:color w:val="auto"/>
          <w:sz w:val="21"/>
          <w:szCs w:val="21"/>
          <w:highlight w:val="none"/>
          <w:lang w:val="en-US" w:eastAsia="zh-CN"/>
        </w:rPr>
        <w:t>基线值的测定在筛选期进行。</w:t>
      </w:r>
      <w:r>
        <w:rPr>
          <w:rFonts w:hint="eastAsia" w:eastAsia="宋体" w:cs="黑体"/>
          <w:color w:val="auto"/>
          <w:sz w:val="21"/>
          <w:szCs w:val="21"/>
          <w:highlight w:val="none"/>
        </w:rPr>
        <w:t>若受试者服用产品前</w:t>
      </w:r>
      <w:r>
        <w:rPr>
          <w:rFonts w:hint="eastAsia" w:eastAsia="宋体" w:cs="黑体"/>
          <w:color w:val="auto"/>
          <w:sz w:val="21"/>
          <w:szCs w:val="21"/>
          <w:highlight w:val="none"/>
          <w:lang w:val="en-US" w:eastAsia="zh-CN"/>
        </w:rPr>
        <w:t>2</w:t>
      </w:r>
      <w:r>
        <w:rPr>
          <w:rFonts w:hint="eastAsia" w:eastAsia="宋体" w:cs="黑体"/>
          <w:color w:val="auto"/>
          <w:sz w:val="21"/>
          <w:szCs w:val="21"/>
          <w:highlight w:val="none"/>
        </w:rPr>
        <w:t>天内已在本院自行完成实验室检查</w:t>
      </w:r>
      <w:r>
        <w:rPr>
          <w:rFonts w:hint="eastAsia" w:eastAsia="宋体" w:cs="黑体"/>
          <w:color w:val="auto"/>
          <w:sz w:val="21"/>
          <w:szCs w:val="21"/>
          <w:highlight w:val="none"/>
          <w:lang w:eastAsia="zh-CN"/>
        </w:rPr>
        <w:t>（</w:t>
      </w:r>
      <w:r>
        <w:rPr>
          <w:rFonts w:hint="eastAsia" w:eastAsia="宋体" w:cs="黑体"/>
          <w:color w:val="auto"/>
          <w:sz w:val="21"/>
          <w:szCs w:val="21"/>
          <w:highlight w:val="none"/>
          <w:lang w:val="en-US" w:eastAsia="zh-CN"/>
        </w:rPr>
        <w:t>空腹状态下</w:t>
      </w:r>
      <w:r>
        <w:rPr>
          <w:rFonts w:hint="eastAsia" w:eastAsia="宋体" w:cs="黑体"/>
          <w:color w:val="auto"/>
          <w:sz w:val="21"/>
          <w:szCs w:val="21"/>
          <w:highlight w:val="none"/>
          <w:lang w:eastAsia="zh-CN"/>
        </w:rPr>
        <w:t>）</w:t>
      </w:r>
      <w:r>
        <w:rPr>
          <w:rFonts w:hint="eastAsia" w:eastAsia="宋体" w:cs="黑体"/>
          <w:color w:val="auto"/>
          <w:sz w:val="21"/>
          <w:szCs w:val="21"/>
          <w:highlight w:val="none"/>
        </w:rPr>
        <w:t>，检查结果可纳入参考。</w:t>
      </w:r>
    </w:p>
    <w:p w14:paraId="6B34CD20">
      <w:pPr>
        <w:pStyle w:val="2"/>
        <w:keepNext w:val="0"/>
        <w:keepLines w:val="0"/>
        <w:pageBreakBefore w:val="0"/>
        <w:widowControl w:val="0"/>
        <w:numPr>
          <w:ilvl w:val="0"/>
          <w:numId w:val="6"/>
        </w:numPr>
        <w:kinsoku/>
        <w:wordWrap/>
        <w:overflowPunct/>
        <w:topLinePunct w:val="0"/>
        <w:autoSpaceDE w:val="0"/>
        <w:autoSpaceDN w:val="0"/>
        <w:bidi w:val="0"/>
        <w:adjustRightInd w:val="0"/>
        <w:snapToGrid/>
        <w:ind w:firstLine="420" w:firstLineChars="200"/>
        <w:textAlignment w:val="auto"/>
        <w:rPr>
          <w:rFonts w:hint="default" w:ascii="Times New Roman" w:hAnsi="Times New Roman" w:eastAsia="宋体" w:cs="黑体"/>
          <w:color w:val="auto"/>
          <w:sz w:val="21"/>
          <w:szCs w:val="21"/>
          <w:highlight w:val="none"/>
          <w:lang w:val="en-US" w:eastAsia="zh-CN"/>
        </w:rPr>
      </w:pPr>
      <w:r>
        <w:rPr>
          <w:rFonts w:hint="eastAsia" w:eastAsia="宋体" w:cs="黑体"/>
          <w:color w:val="auto"/>
          <w:sz w:val="21"/>
          <w:szCs w:val="21"/>
          <w:highlight w:val="none"/>
          <w:lang w:val="en-US" w:eastAsia="zh-CN"/>
        </w:rPr>
        <w:t>以第一次服用试验产品或对照产品的日期作为第1天。</w:t>
      </w:r>
    </w:p>
    <w:p w14:paraId="225442B8">
      <w:pPr>
        <w:pStyle w:val="2"/>
        <w:keepNext w:val="0"/>
        <w:keepLines w:val="0"/>
        <w:pageBreakBefore w:val="0"/>
        <w:widowControl w:val="0"/>
        <w:numPr>
          <w:ilvl w:val="0"/>
          <w:numId w:val="6"/>
        </w:numPr>
        <w:kinsoku/>
        <w:wordWrap/>
        <w:overflowPunct/>
        <w:topLinePunct w:val="0"/>
        <w:autoSpaceDE w:val="0"/>
        <w:autoSpaceDN w:val="0"/>
        <w:bidi w:val="0"/>
        <w:adjustRightInd w:val="0"/>
        <w:snapToGrid/>
        <w:ind w:firstLine="420" w:firstLineChars="200"/>
        <w:textAlignment w:val="auto"/>
        <w:rPr>
          <w:rFonts w:hint="default" w:ascii="Times New Roman" w:hAnsi="Times New Roman" w:eastAsia="宋体" w:cs="黑体"/>
          <w:color w:val="auto"/>
          <w:sz w:val="21"/>
          <w:szCs w:val="21"/>
          <w:highlight w:val="none"/>
          <w:lang w:val="en-US" w:eastAsia="zh-CN"/>
        </w:rPr>
      </w:pPr>
      <w:r>
        <w:rPr>
          <w:rFonts w:hint="default" w:ascii="Times New Roman" w:hAnsi="Times New Roman" w:eastAsia="宋体" w:cs="黑体"/>
          <w:color w:val="auto"/>
          <w:sz w:val="21"/>
          <w:szCs w:val="21"/>
          <w:highlight w:val="none"/>
        </w:rPr>
        <w:t>育龄期女性受试者</w:t>
      </w:r>
      <w:r>
        <w:rPr>
          <w:rFonts w:hint="eastAsia" w:ascii="Times New Roman" w:hAnsi="Times New Roman" w:eastAsia="宋体" w:cs="黑体"/>
          <w:color w:val="auto"/>
          <w:sz w:val="21"/>
          <w:szCs w:val="21"/>
          <w:highlight w:val="none"/>
          <w:lang w:val="en-US" w:eastAsia="zh-CN"/>
        </w:rPr>
        <w:t>筛选期</w:t>
      </w:r>
      <w:r>
        <w:rPr>
          <w:rFonts w:hint="default" w:ascii="Times New Roman" w:hAnsi="Times New Roman" w:eastAsia="宋体" w:cs="黑体"/>
          <w:color w:val="auto"/>
          <w:sz w:val="21"/>
          <w:szCs w:val="21"/>
          <w:highlight w:val="none"/>
        </w:rPr>
        <w:t>需进行尿/血清妊娠试验</w:t>
      </w:r>
      <w:r>
        <w:rPr>
          <w:rFonts w:hint="eastAsia" w:ascii="Times New Roman" w:hAnsi="Times New Roman" w:eastAsia="宋体" w:cs="黑体"/>
          <w:color w:val="auto"/>
          <w:sz w:val="21"/>
          <w:szCs w:val="21"/>
          <w:highlight w:val="none"/>
          <w:lang w:eastAsia="zh-CN"/>
        </w:rPr>
        <w:t>。</w:t>
      </w:r>
    </w:p>
    <w:p w14:paraId="47C78ECA">
      <w:pPr>
        <w:pStyle w:val="2"/>
        <w:keepNext w:val="0"/>
        <w:keepLines w:val="0"/>
        <w:pageBreakBefore w:val="0"/>
        <w:widowControl w:val="0"/>
        <w:numPr>
          <w:ilvl w:val="0"/>
          <w:numId w:val="6"/>
        </w:numPr>
        <w:kinsoku/>
        <w:wordWrap/>
        <w:overflowPunct/>
        <w:topLinePunct w:val="0"/>
        <w:autoSpaceDE w:val="0"/>
        <w:autoSpaceDN w:val="0"/>
        <w:bidi w:val="0"/>
        <w:adjustRightInd w:val="0"/>
        <w:snapToGrid/>
        <w:ind w:firstLine="420" w:firstLineChars="200"/>
        <w:textAlignment w:val="auto"/>
        <w:rPr>
          <w:rFonts w:hint="default" w:ascii="Times New Roman" w:hAnsi="Times New Roman" w:eastAsia="宋体" w:cs="黑体"/>
          <w:color w:val="auto"/>
          <w:sz w:val="21"/>
          <w:szCs w:val="21"/>
          <w:highlight w:val="none"/>
          <w:lang w:val="en-US" w:eastAsia="zh-CN"/>
        </w:rPr>
      </w:pPr>
      <w:r>
        <w:rPr>
          <w:rFonts w:hint="default" w:ascii="Times New Roman" w:hAnsi="Times New Roman" w:eastAsia="宋体" w:cs="黑体"/>
          <w:color w:val="auto"/>
          <w:sz w:val="21"/>
          <w:szCs w:val="21"/>
          <w:highlight w:val="none"/>
          <w:lang w:val="en-US" w:eastAsia="zh-CN"/>
        </w:rPr>
        <w:t>如受试者已完成筛选相关评估，符合入组标准，不符合任何一条排除标准，研究者将获得受试者的随机号及分组信息</w:t>
      </w:r>
      <w:r>
        <w:rPr>
          <w:rFonts w:hint="eastAsia" w:eastAsia="宋体" w:cs="黑体"/>
          <w:color w:val="auto"/>
          <w:sz w:val="21"/>
          <w:szCs w:val="21"/>
          <w:highlight w:val="none"/>
          <w:lang w:val="en-US" w:eastAsia="zh-CN"/>
        </w:rPr>
        <w:t>。受试者随机成功时间为入组的时间。</w:t>
      </w:r>
    </w:p>
    <w:p w14:paraId="6D80AC57">
      <w:pPr>
        <w:pStyle w:val="2"/>
        <w:keepNext w:val="0"/>
        <w:keepLines w:val="0"/>
        <w:pageBreakBefore w:val="0"/>
        <w:widowControl w:val="0"/>
        <w:numPr>
          <w:ilvl w:val="0"/>
          <w:numId w:val="6"/>
        </w:numPr>
        <w:kinsoku/>
        <w:wordWrap/>
        <w:overflowPunct/>
        <w:topLinePunct w:val="0"/>
        <w:autoSpaceDE w:val="0"/>
        <w:autoSpaceDN w:val="0"/>
        <w:bidi w:val="0"/>
        <w:adjustRightInd w:val="0"/>
        <w:snapToGrid/>
        <w:ind w:firstLine="420" w:firstLineChars="200"/>
        <w:textAlignment w:val="auto"/>
        <w:rPr>
          <w:rFonts w:hint="default" w:ascii="Times New Roman" w:hAnsi="Times New Roman" w:eastAsia="宋体" w:cs="黑体"/>
          <w:color w:val="auto"/>
          <w:sz w:val="21"/>
          <w:szCs w:val="21"/>
          <w:highlight w:val="none"/>
          <w:lang w:val="en-US" w:eastAsia="zh-CN"/>
        </w:rPr>
      </w:pPr>
      <w:r>
        <w:rPr>
          <w:rFonts w:hint="eastAsia" w:eastAsia="宋体" w:cs="黑体"/>
          <w:color w:val="auto"/>
          <w:sz w:val="21"/>
          <w:szCs w:val="21"/>
          <w:highlight w:val="none"/>
          <w:lang w:val="en-US" w:eastAsia="zh-CN"/>
        </w:rPr>
        <w:t>试验周期内</w:t>
      </w:r>
      <w:r>
        <w:rPr>
          <w:rFonts w:hint="eastAsia" w:ascii="Times New Roman" w:hAnsi="Times New Roman" w:eastAsia="宋体" w:cs="黑体"/>
          <w:color w:val="auto"/>
          <w:sz w:val="21"/>
          <w:szCs w:val="21"/>
          <w:highlight w:val="none"/>
          <w:lang w:val="en-US" w:eastAsia="zh-CN"/>
        </w:rPr>
        <w:t>，</w:t>
      </w:r>
      <w:r>
        <w:rPr>
          <w:rFonts w:hint="default" w:ascii="Times New Roman" w:hAnsi="Times New Roman" w:eastAsia="宋体" w:cs="黑体"/>
          <w:color w:val="auto"/>
          <w:sz w:val="21"/>
          <w:szCs w:val="21"/>
          <w:highlight w:val="none"/>
          <w:lang w:val="en-US" w:eastAsia="zh-CN"/>
        </w:rPr>
        <w:t>若受试者符合退出标准中任意一条，提前终止临床试验的，应及时联系经授权人员，将剩余</w:t>
      </w:r>
      <w:r>
        <w:rPr>
          <w:rFonts w:hint="eastAsia" w:ascii="Times New Roman" w:hAnsi="Times New Roman" w:eastAsia="宋体" w:cs="黑体"/>
          <w:color w:val="auto"/>
          <w:sz w:val="21"/>
          <w:szCs w:val="21"/>
          <w:highlight w:val="none"/>
          <w:lang w:val="en-US" w:eastAsia="zh-CN"/>
        </w:rPr>
        <w:t>物资</w:t>
      </w:r>
      <w:r>
        <w:rPr>
          <w:rFonts w:hint="default" w:ascii="Times New Roman" w:hAnsi="Times New Roman" w:eastAsia="宋体" w:cs="黑体"/>
          <w:color w:val="auto"/>
          <w:sz w:val="21"/>
          <w:szCs w:val="21"/>
          <w:highlight w:val="none"/>
          <w:lang w:val="en-US" w:eastAsia="zh-CN"/>
        </w:rPr>
        <w:t>寄回。</w:t>
      </w:r>
    </w:p>
    <w:p w14:paraId="18E28682">
      <w:pPr>
        <w:pStyle w:val="2"/>
        <w:keepNext w:val="0"/>
        <w:keepLines w:val="0"/>
        <w:pageBreakBefore w:val="0"/>
        <w:widowControl w:val="0"/>
        <w:numPr>
          <w:ilvl w:val="0"/>
          <w:numId w:val="6"/>
        </w:numPr>
        <w:kinsoku/>
        <w:wordWrap/>
        <w:overflowPunct/>
        <w:topLinePunct w:val="0"/>
        <w:autoSpaceDE w:val="0"/>
        <w:autoSpaceDN w:val="0"/>
        <w:bidi w:val="0"/>
        <w:adjustRightInd w:val="0"/>
        <w:snapToGrid/>
        <w:ind w:firstLine="420" w:firstLineChars="200"/>
        <w:textAlignment w:val="auto"/>
        <w:rPr>
          <w:rFonts w:hint="default" w:ascii="Times New Roman" w:hAnsi="Times New Roman" w:eastAsia="宋体" w:cs="黑体"/>
          <w:color w:val="auto"/>
          <w:sz w:val="21"/>
          <w:szCs w:val="21"/>
          <w:highlight w:val="none"/>
          <w:lang w:val="en-US" w:eastAsia="zh-CN"/>
        </w:rPr>
        <w:sectPr>
          <w:pgSz w:w="16838" w:h="11906" w:orient="landscape"/>
          <w:pgMar w:top="1803" w:right="1440" w:bottom="1803" w:left="1440" w:header="851" w:footer="992" w:gutter="0"/>
          <w:pgBorders>
            <w:top w:val="none" w:sz="0" w:space="0"/>
            <w:left w:val="none" w:sz="0" w:space="0"/>
            <w:bottom w:val="none" w:sz="0" w:space="0"/>
            <w:right w:val="none" w:sz="0" w:space="0"/>
          </w:pgBorders>
          <w:pgNumType w:fmt="decimal"/>
          <w:cols w:space="0" w:num="1"/>
          <w:rtlGutter w:val="0"/>
          <w:docGrid w:type="lines" w:linePitch="319" w:charSpace="0"/>
        </w:sectPr>
      </w:pPr>
      <w:r>
        <w:rPr>
          <w:rFonts w:hint="default" w:ascii="Times New Roman" w:hAnsi="Times New Roman" w:eastAsia="宋体" w:cs="黑体"/>
          <w:b w:val="0"/>
          <w:bCs w:val="0"/>
          <w:color w:val="auto"/>
          <w:sz w:val="21"/>
          <w:szCs w:val="21"/>
          <w:highlight w:val="none"/>
          <w:lang w:val="en-US" w:eastAsia="zh-CN"/>
        </w:rPr>
        <w:t>末次访视</w:t>
      </w:r>
      <w:r>
        <w:rPr>
          <w:rFonts w:hint="eastAsia" w:eastAsia="宋体" w:cs="黑体"/>
          <w:b w:val="0"/>
          <w:bCs w:val="0"/>
          <w:color w:val="auto"/>
          <w:sz w:val="21"/>
          <w:szCs w:val="21"/>
          <w:highlight w:val="none"/>
          <w:lang w:val="en-US" w:eastAsia="zh-CN"/>
        </w:rPr>
        <w:t>时间为</w:t>
      </w:r>
      <w:r>
        <w:rPr>
          <w:rFonts w:hint="default" w:ascii="Times New Roman" w:hAnsi="Times New Roman" w:eastAsia="宋体" w:cs="黑体"/>
          <w:b w:val="0"/>
          <w:bCs w:val="0"/>
          <w:color w:val="auto"/>
          <w:sz w:val="21"/>
          <w:szCs w:val="21"/>
          <w:highlight w:val="none"/>
          <w:lang w:val="en-US" w:eastAsia="zh-CN"/>
        </w:rPr>
        <w:t>第21(±1)天</w:t>
      </w:r>
      <w:r>
        <w:rPr>
          <w:rFonts w:hint="eastAsia" w:eastAsia="宋体" w:cs="黑体"/>
          <w:color w:val="auto"/>
          <w:sz w:val="21"/>
          <w:szCs w:val="21"/>
          <w:highlight w:val="none"/>
          <w:lang w:val="en-US" w:eastAsia="zh-CN"/>
        </w:rPr>
        <w:t>，受试者需在</w:t>
      </w:r>
      <w:r>
        <w:rPr>
          <w:rFonts w:hint="default" w:ascii="Times New Roman" w:hAnsi="Times New Roman" w:eastAsia="宋体" w:cs="黑体"/>
          <w:color w:val="auto"/>
          <w:sz w:val="21"/>
          <w:szCs w:val="21"/>
          <w:highlight w:val="none"/>
          <w:lang w:val="en-US" w:eastAsia="zh-CN"/>
        </w:rPr>
        <w:t>完成服用后次日空腹状态</w:t>
      </w:r>
      <w:r>
        <w:rPr>
          <w:rFonts w:hint="eastAsia" w:eastAsia="宋体" w:cs="黑体"/>
          <w:color w:val="auto"/>
          <w:sz w:val="21"/>
          <w:szCs w:val="21"/>
          <w:highlight w:val="none"/>
          <w:lang w:val="en-US" w:eastAsia="zh-CN"/>
        </w:rPr>
        <w:t>下采集血样。</w:t>
      </w:r>
    </w:p>
    <w:p w14:paraId="3126D231">
      <w:pPr>
        <w:pStyle w:val="3"/>
        <w:keepNext w:val="0"/>
        <w:keepLines w:val="0"/>
        <w:pageBreakBefore w:val="0"/>
        <w:widowControl w:val="0"/>
        <w:numPr>
          <w:ilvl w:val="0"/>
          <w:numId w:val="1"/>
        </w:numPr>
        <w:kinsoku/>
        <w:wordWrap/>
        <w:overflowPunct/>
        <w:topLinePunct w:val="0"/>
        <w:autoSpaceDE/>
        <w:autoSpaceDN/>
        <w:bidi w:val="0"/>
        <w:adjustRightInd/>
        <w:snapToGrid/>
        <w:spacing w:before="0" w:line="240" w:lineRule="auto"/>
        <w:textAlignment w:val="auto"/>
        <w:rPr>
          <w:rFonts w:ascii="Times New Roman" w:hAnsi="Times New Roman" w:cs="黑体"/>
          <w:b/>
          <w:bCs/>
          <w:color w:val="auto"/>
          <w:szCs w:val="28"/>
          <w:highlight w:val="none"/>
        </w:rPr>
      </w:pPr>
      <w:bookmarkStart w:id="12" w:name="_Toc1638"/>
      <w:bookmarkStart w:id="13" w:name="_Toc24128"/>
      <w:r>
        <w:rPr>
          <w:rFonts w:hint="eastAsia" w:ascii="Times New Roman" w:hAnsi="Times New Roman" w:cs="黑体"/>
          <w:b/>
          <w:bCs/>
          <w:color w:val="auto"/>
          <w:szCs w:val="28"/>
          <w:highlight w:val="none"/>
          <w:lang w:eastAsia="zh-CN"/>
        </w:rPr>
        <w:t>试验</w:t>
      </w:r>
      <w:r>
        <w:rPr>
          <w:rFonts w:hint="eastAsia" w:ascii="Times New Roman" w:hAnsi="Times New Roman" w:cs="黑体"/>
          <w:b/>
          <w:bCs/>
          <w:color w:val="auto"/>
          <w:szCs w:val="28"/>
          <w:highlight w:val="none"/>
        </w:rPr>
        <w:t>背景</w:t>
      </w:r>
      <w:bookmarkEnd w:id="12"/>
      <w:bookmarkEnd w:id="13"/>
    </w:p>
    <w:p w14:paraId="6193F529">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2013年中国肿瘤登记年报显示，全国新发肿瘤病例312万，死亡肿瘤病例 270万，相当于每小时有356人被诊断为肿瘤、308人死于肿瘤；2015年中国肿瘤登记年报显示，全国共有新发肿瘤病例429万，死亡肿瘤病例281万，相当于每小时有490人被诊断为肿瘤、321人死于肿瘤。比较2013、2015年报数据发现，我国肿瘤发病率及死亡率均在升高。WHO预计未来20年，全世界新发肿瘤病例会增加70%，有近一半出现在亚洲，其中大部分在中国，中国新增肿瘤病例高居全球第一位，全世界24%的肿瘤死亡患者在中国。肿瘤已经成为我国名副其实的常见疾病，并成为我国居民第一死亡原因</w:t>
      </w:r>
      <w:r>
        <w:rPr>
          <w:rFonts w:hint="eastAsia" w:ascii="Times New Roman" w:hAnsi="Times New Roman" w:cs="宋体"/>
          <w:color w:val="auto"/>
          <w:highlight w:val="none"/>
          <w:vertAlign w:val="superscript"/>
        </w:rPr>
        <w:fldChar w:fldCharType="begin" w:fldLock="1"/>
      </w:r>
      <w:r>
        <w:rPr>
          <w:rFonts w:hint="eastAsia" w:ascii="Times New Roman" w:hAnsi="Times New Roman" w:cs="宋体"/>
          <w:color w:val="auto"/>
          <w:highlight w:val="none"/>
          <w:vertAlign w:val="superscript"/>
        </w:rPr>
        <w:instrText xml:space="preserve">ADDIN CSL_CITATION {"citationItems":[{"id":"ITEM-1","itemData":{"container-title":"肿瘤代谢与营养电子杂志","id":"ITEM-1","issue":"2","issued":{"date-parts":[["2016"]]},"page":"5","title":"肿瘤患者特殊医学用途配方食品应用专家共识","type":"article-journal","volume":"3"},"uris":["http://www.mendeley.com/documents/?uuid=47f05c33-b2aa-4dd7-a6d7-6d7e414fc09b"]}],"mendeley":{"formattedCitation":"&lt;sup&gt;[1]&lt;/sup&gt;","plainTextFormattedCitation":"[1]","previouslyFormattedCitation":"&lt;sup&gt;[1]&lt;/sup&gt;"},"properties":{"noteIndex":0},"schema":"https://github.com/citation-style-language/schema/raw/master/csl-citation.json"}</w:instrText>
      </w:r>
      <w:r>
        <w:rPr>
          <w:rFonts w:hint="eastAsia" w:ascii="Times New Roman" w:hAnsi="Times New Roman" w:cs="宋体"/>
          <w:color w:val="auto"/>
          <w:highlight w:val="none"/>
          <w:vertAlign w:val="superscript"/>
        </w:rPr>
        <w:fldChar w:fldCharType="separate"/>
      </w:r>
      <w:r>
        <w:rPr>
          <w:rFonts w:hint="eastAsia" w:ascii="Times New Roman" w:hAnsi="Times New Roman" w:cs="宋体"/>
          <w:color w:val="auto"/>
          <w:highlight w:val="none"/>
          <w:vertAlign w:val="superscript"/>
        </w:rPr>
        <w:t>[1]</w:t>
      </w:r>
      <w:r>
        <w:rPr>
          <w:rFonts w:hint="eastAsia" w:ascii="Times New Roman" w:hAnsi="Times New Roman" w:cs="宋体"/>
          <w:color w:val="auto"/>
          <w:highlight w:val="none"/>
          <w:vertAlign w:val="superscript"/>
        </w:rPr>
        <w:fldChar w:fldCharType="end"/>
      </w:r>
      <w:r>
        <w:rPr>
          <w:rFonts w:hint="eastAsia" w:ascii="Times New Roman" w:hAnsi="Times New Roman" w:cs="宋体"/>
          <w:color w:val="auto"/>
          <w:highlight w:val="none"/>
        </w:rPr>
        <w:t>。在我国，男性和女性的前5位肿瘤死因中胃癌均占第一位，其次依序为：男性食管癌、肝癌、肺癌和大肠癌；女性宫颈癌、食管癌、肝癌和肺癌。由此可见，胃肠道肿瘤是危害我国人民健康的主要恶性肿瘤</w:t>
      </w:r>
      <w:r>
        <w:rPr>
          <w:rFonts w:hint="eastAsia" w:ascii="Times New Roman" w:hAnsi="Times New Roman" w:cs="宋体"/>
          <w:color w:val="auto"/>
          <w:highlight w:val="none"/>
          <w:vertAlign w:val="superscript"/>
        </w:rPr>
        <w:fldChar w:fldCharType="begin" w:fldLock="1"/>
      </w:r>
      <w:r>
        <w:rPr>
          <w:rFonts w:hint="eastAsia" w:ascii="Times New Roman" w:hAnsi="Times New Roman" w:cs="宋体"/>
          <w:color w:val="auto"/>
          <w:highlight w:val="none"/>
          <w:vertAlign w:val="superscript"/>
        </w:rPr>
        <w:instrText xml:space="preserve">ADDIN CSL_CITATION {"citationItems":[{"id":"ITEM-1","itemData":{"author":[{"dropping-particle":"","family":"钟喨","given":"","non-dropping-particle":"","parse-names":false,"suffix":""},{"dropping-particle":"","family":"陈克敏","given":"","non-dropping-particle":"","parse-names":false,"suffix":""}],"container-title":"中国医学计算机成像杂志","id":"ITEM-1","issue":"2","issued":{"date-parts":[["2001"]]},"page":"4","title":"胃肠道肿瘤流行病学","type":"article-journal","volume":"7"},"uris":["http://www.mendeley.com/documents/?uuid=295ae390-f9f7-4fed-92a9-2b6f1bf24682"]}],"mendeley":{"formattedCitation":"&lt;sup&gt;[2]&lt;/sup&gt;","plainTextFormattedCitation":"[2]","previouslyFormattedCitation":"&lt;sup&gt;[2]&lt;/sup&gt;"},"properties":{"noteIndex":0},"schema":"https://github.com/citation-style-language/schema/raw/master/csl-citation.json"}</w:instrText>
      </w:r>
      <w:r>
        <w:rPr>
          <w:rFonts w:hint="eastAsia" w:ascii="Times New Roman" w:hAnsi="Times New Roman" w:cs="宋体"/>
          <w:color w:val="auto"/>
          <w:highlight w:val="none"/>
          <w:vertAlign w:val="superscript"/>
        </w:rPr>
        <w:fldChar w:fldCharType="separate"/>
      </w:r>
      <w:r>
        <w:rPr>
          <w:rFonts w:hint="eastAsia" w:ascii="Times New Roman" w:hAnsi="Times New Roman" w:cs="宋体"/>
          <w:color w:val="auto"/>
          <w:highlight w:val="none"/>
          <w:vertAlign w:val="superscript"/>
        </w:rPr>
        <w:t>[2]</w:t>
      </w:r>
      <w:r>
        <w:rPr>
          <w:rFonts w:hint="eastAsia" w:ascii="Times New Roman" w:hAnsi="Times New Roman" w:cs="宋体"/>
          <w:color w:val="auto"/>
          <w:highlight w:val="none"/>
          <w:vertAlign w:val="superscript"/>
        </w:rPr>
        <w:fldChar w:fldCharType="end"/>
      </w:r>
      <w:r>
        <w:rPr>
          <w:rFonts w:hint="eastAsia" w:ascii="Times New Roman" w:hAnsi="Times New Roman" w:cs="宋体"/>
          <w:color w:val="auto"/>
          <w:highlight w:val="none"/>
        </w:rPr>
        <w:t>。</w:t>
      </w:r>
    </w:p>
    <w:p w14:paraId="4A986271">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营养不良及机体消耗是肿瘤患者常见的致死因素，直接影响肿瘤的效果，增加并发症发生率，降低生存质量，甚至影响预后</w:t>
      </w:r>
      <w:r>
        <w:rPr>
          <w:rFonts w:hint="eastAsia" w:ascii="Times New Roman" w:hAnsi="Times New Roman" w:cs="宋体"/>
          <w:color w:val="auto"/>
          <w:highlight w:val="none"/>
          <w:vertAlign w:val="superscript"/>
        </w:rPr>
        <w:fldChar w:fldCharType="begin" w:fldLock="1"/>
      </w:r>
      <w:r>
        <w:rPr>
          <w:rFonts w:hint="eastAsia" w:ascii="Times New Roman" w:hAnsi="Times New Roman" w:cs="宋体"/>
          <w:color w:val="auto"/>
          <w:highlight w:val="none"/>
          <w:vertAlign w:val="superscript"/>
        </w:rPr>
        <w:instrText xml:space="preserve">ADDIN CSL_CITATION {"citationItems":[{"id":"ITEM-1","itemData":{"container-title":"中华外科杂志","id":"ITEM-1","issue":"11","issued":{"date-parts":[["2017"]]},"page":"29","title":"肿瘤患者营养支持指南","type":"article-journal","volume":"55"},"uris":["http://www.mendeley.com/documents/?uuid=d0fe7e22-87f7-411b-b633-172d21501f5a"]},{"id":"ITEM-2","itemData":{"ISSN":"0731-5724","author":[{"dropping-particle":"","family":"Illa","given":"Petr","non-dropping-particle":"","parse-names":false,"suffix":""},{"dropping-particle":"","family":"Tomiskova","given":"Marcela","non-dropping-particle":"","parse-names":false,"suffix":""},{"dropping-particle":"","family":"Skrickova","given":"Jana","non-dropping-particle":"","parse-names":false,"suffix":""}],"container-title":"Journal of the American college of nutrition","id":"ITEM-2","issue":"5","issued":{"date-parts":[["2015"]]},"page":"425-429","publisher":"Taylor &amp; Francis","title":"Nutritional risk screening predicts tumor response in lung cancer patients","type":"article-journal","volume":"34"},"uris":["http://www.mendeley.com/documents/?uuid=eeb49824-6c10-4f5b-a485-80e73206e535"]},{"id":"ITEM-3","itemData":{"ISSN":"1432-1262","author":[{"dropping-particle":"","family":"Yamano","given":"Tomoki","non-dropping-particle":"","parse-names":false,"suffix":""},{"dropping-particle":"","family":"Yoshimura","given":"Mie","non-dropping-particle":"","parse-names":false,"suffix":""},{"dropping-particle":"","family":"Kobayashi","given":"Masayoshi","non-dropping-particle":"","parse-names":false,"suffix":""},{"dropping-particle":"","family":"Beppu","given":"Naohito","non-dropping-particle":"","parse-names":false,"suffix":""},{"dropping-particle":"","family":"Hamanaka","given":"Michiko","non-dropping-particle":"","parse-names":false,"suffix":""},{"dropping-particle":"","family":"Babaya","given":"Akihito","non-dropping-particle":"","parse-names":false,"suffix":""},{"dropping-particle":"","family":"Tsukamoto","given":"Kiyoshi","non-dropping-particle":"","parse-names":false,"suffix":""},{"dropping-particle":"","family":"Noda","given":"Masafumi","non-dropping-particle":"","parse-names":false,"suffix":""},{"dropping-particle":"","family":"Matsubara","given":"Nagahide","non-dropping-particle":"","parse-names":false,"suffix":""},{"dropping-particle":"","family":"Tomita","given":"Naohiro","non-dropping-particle":"","parse-names":false,"suffix":""}],"container-title":"International journal of colorectal disease","id":"ITEM-3","issue":"4","issued":{"date-parts":[["2016"]]},"page":"877-884","publisher":"Springer","title":"Malnutrition in rectal cancer patients receiving preoperative chemoradiotherapy is common and associated with treatment tolerability and anastomotic leakage","type":"article-journal","volume":"31"},"uris":["http://www.mendeley.com/documents/?uuid=f5e236f4-33d2-4533-9722-a7be0e02e5ed"]},{"id":"ITEM-4","itemData":{"ISSN":"0261-5614","author":[{"dropping-particle":"","family":"Schütte","given":"Kerstin","non-dropping-particle":"","parse-names":false,"suffix":""},{"dropping-particle":"","family":"Tippelt","given":"Bernadett","non-dropping-particle":"","parse-names":false,"suffix":""},{"dropping-particle":"","family":"Schulz","given":"Christian","non-dropping-particle":"","parse-names":false,"suffix":""},{"dropping-particle":"","family":"Röhl","given":"Friedrich-Wilhelm","non-dropping-particle":"","parse-names":false,"suffix":""},{"dropping-particle":"","family":"Feneberg","given":"Anja","non-dropping-particle":"","parse-names":false,"suffix":""},{"dropping-particle":"","family":"Seidensticker","given":"Ricarda","non-dropping-particle":"","parse-names":false,"suffix":""},{"dropping-particle":"","family":"Arend","given":"Jörg","non-dropping-particle":"","parse-names":false,"suffix":""},{"dropping-particle":"","family":"Malfertheiner","given":"Peter","non-dropping-particle":"","parse-names":false,"suffix":""}],"container-title":"Clinical nutrition","id":"ITEM-4","issue":"6","issued":{"date-parts":[["2015"]]},"page":"1122-1127","publisher":"Elsevier","title":"Malnutrition is a prognostic factor in patients with hepatocellular carcinoma (HCC)","type":"article-journal","volume":"34"},"uris":["http://www.mendeley.com/documents/?uuid=84be134e-a3cb-47ef-b90a-81da337facaf"]},{"id":"ITEM-5","itemData":{"ISSN":"0003-4932","author":[{"dropping-particle":"","family":"Reisinger","given":"Kostan W","non-dropping-particle":"","parse-names":false,"suffix":""},{"dropping-particle":"","family":"Vugt","given":"Jeroen L A","non-dropping-particle":"van","parse-names":false,"suffix":""},{"dropping-particle":"","family":"Tegels","given":"Juul J W","non-dropping-particle":"","parse-names":false,"suffix":""},{"dropping-particle":"","family":"Snijders","given":"Claire","non-dropping-particle":"","parse-names":false,"suffix":""},{"dropping-particle":"","family":"Hulsewé","given":"Karel W E","non-dropping-particle":"","parse-names":false,"suffix":""},{"dropping-particle":"","family":"Hoofwijk","given":"Anton G M","non-dropping-particle":"","parse-names":false,"suffix":""},{"dropping-particle":"","family":"Stoot","given":"Jan H","non-dropping-particle":"","parse-names":false,"suffix":""},{"dropping-particle":"","family":"Meyenfeldt","given":"Maarten F","non-dropping-particle":"Von","parse-names":false,"suffix":""},{"dropping-particle":"","family":"Beets","given":"Geerard L","non-dropping-particle":"","parse-names":false,"suffix":""},{"dropping-particle":"","family":"Derikx","given":"Joep P M","non-dropping-particle":"","parse-names":false,"suffix":""}],"container-title":"Annals of surgery","id":"ITEM-5","issue":"2","issued":{"date-parts":[["2015"]]},"page":"345-352","publisher":"LWW","title":"Functional compromise reflected by sarcopenia, frailty, and nutritional depletion predicts adverse postoperative outcome after colorectal cancer surgery","type":"article-journal","volume":"261"},"uris":["http://www.mendeley.com/documents/?uuid=3f068af1-9bc1-4361-8fc6-60a888e711cb"]}],"mendeley":{"formattedCitation":"&lt;sup&gt;[3–7]&lt;/sup&gt;","plainTextFormattedCitation":"[3–7]","previouslyFormattedCitation":"&lt;sup&gt;[3–7]&lt;/sup&gt;"},"properties":{"noteIndex":0},"schema":"https://github.com/citation-style-language/schema/raw/master/csl-citation.json"}</w:instrText>
      </w:r>
      <w:r>
        <w:rPr>
          <w:rFonts w:hint="eastAsia" w:ascii="Times New Roman" w:hAnsi="Times New Roman" w:cs="宋体"/>
          <w:color w:val="auto"/>
          <w:highlight w:val="none"/>
          <w:vertAlign w:val="superscript"/>
        </w:rPr>
        <w:fldChar w:fldCharType="separate"/>
      </w:r>
      <w:r>
        <w:rPr>
          <w:rFonts w:hint="eastAsia" w:ascii="Times New Roman" w:hAnsi="Times New Roman" w:cs="宋体"/>
          <w:color w:val="auto"/>
          <w:highlight w:val="none"/>
          <w:vertAlign w:val="superscript"/>
        </w:rPr>
        <w:t>[3–7]</w:t>
      </w:r>
      <w:r>
        <w:rPr>
          <w:rFonts w:hint="eastAsia" w:ascii="Times New Roman" w:hAnsi="Times New Roman" w:cs="宋体"/>
          <w:color w:val="auto"/>
          <w:highlight w:val="none"/>
          <w:vertAlign w:val="superscript"/>
        </w:rPr>
        <w:fldChar w:fldCharType="end"/>
      </w:r>
      <w:r>
        <w:rPr>
          <w:rFonts w:hint="eastAsia" w:ascii="Times New Roman" w:hAnsi="Times New Roman" w:cs="宋体"/>
          <w:color w:val="auto"/>
          <w:highlight w:val="none"/>
        </w:rPr>
        <w:t>。肿瘤患者营养不良的原因及发生机制很复杂，涉及肿瘤本身和肿瘤治疗。目前的一般观点是，肿瘤患者的营养不良主要与宿主厌食、机体代谢异常、肿瘤因子的作用、肿瘤治疗影响等因素有关</w:t>
      </w:r>
      <w:r>
        <w:rPr>
          <w:rFonts w:hint="eastAsia" w:ascii="Times New Roman" w:hAnsi="Times New Roman" w:cs="宋体"/>
          <w:color w:val="auto"/>
          <w:highlight w:val="none"/>
          <w:vertAlign w:val="superscript"/>
        </w:rPr>
        <w:fldChar w:fldCharType="begin" w:fldLock="1"/>
      </w:r>
      <w:r>
        <w:rPr>
          <w:rFonts w:hint="eastAsia" w:ascii="Times New Roman" w:hAnsi="Times New Roman" w:cs="宋体"/>
          <w:color w:val="auto"/>
          <w:highlight w:val="none"/>
          <w:vertAlign w:val="superscript"/>
        </w:rPr>
        <w:instrText xml:space="preserve">ADDIN CSL_CITATION {"citationItems":[{"id":"ITEM-1","itemData":{"ISSN":"0899-9007","author":[{"dropping-particle":"","family":"Horstman","given":"Astrid M","non-dropping-particle":"","parse-names":false,"suffix":""},{"dropping-particle":"","family":"Sheffield-Moore","given":"Melinda","non-dropping-particle":"","parse-names":false,"suffix":""}],"container-title":"Nutrition","id":"ITEM-1","issue":"4","issued":{"date-parts":[["2015"]]},"page":"605-607","publisher":"Elsevier","title":"Nutritional/metabolic response in older cancer patients","type":"article-journal","volume":"31"},"uris":["http://www.mendeley.com/documents/?uuid=7006e398-e6cc-4366-b9c4-7f05d4d6a220"]}],"mendeley":{"formattedCitation":"&lt;sup&gt;[8]&lt;/sup&gt;","plainTextFormattedCitation":"[8]","previouslyFormattedCitation":"&lt;sup&gt;[8]&lt;/sup&gt;"},"properties":{"noteIndex":0},"schema":"https://github.com/citation-style-language/schema/raw/master/csl-citation.json"}</w:instrText>
      </w:r>
      <w:r>
        <w:rPr>
          <w:rFonts w:hint="eastAsia" w:ascii="Times New Roman" w:hAnsi="Times New Roman" w:cs="宋体"/>
          <w:color w:val="auto"/>
          <w:highlight w:val="none"/>
          <w:vertAlign w:val="superscript"/>
        </w:rPr>
        <w:fldChar w:fldCharType="separate"/>
      </w:r>
      <w:r>
        <w:rPr>
          <w:rFonts w:hint="eastAsia" w:ascii="Times New Roman" w:hAnsi="Times New Roman" w:cs="宋体"/>
          <w:color w:val="auto"/>
          <w:highlight w:val="none"/>
          <w:vertAlign w:val="superscript"/>
        </w:rPr>
        <w:t>[8]</w:t>
      </w:r>
      <w:r>
        <w:rPr>
          <w:rFonts w:hint="eastAsia" w:ascii="Times New Roman" w:hAnsi="Times New Roman" w:cs="宋体"/>
          <w:color w:val="auto"/>
          <w:highlight w:val="none"/>
          <w:vertAlign w:val="superscript"/>
        </w:rPr>
        <w:fldChar w:fldCharType="end"/>
      </w:r>
      <w:r>
        <w:rPr>
          <w:rFonts w:hint="eastAsia" w:ascii="Times New Roman" w:hAnsi="Times New Roman" w:cs="宋体"/>
          <w:color w:val="auto"/>
          <w:highlight w:val="none"/>
          <w:vertAlign w:val="superscript"/>
        </w:rPr>
        <w:fldChar w:fldCharType="begin" w:fldLock="1"/>
      </w:r>
      <w:r>
        <w:rPr>
          <w:rFonts w:hint="eastAsia" w:ascii="Times New Roman" w:hAnsi="Times New Roman" w:cs="宋体"/>
          <w:color w:val="auto"/>
          <w:highlight w:val="none"/>
          <w:vertAlign w:val="superscript"/>
        </w:rPr>
        <w:instrText xml:space="preserve">ADDIN CSL_CITATION {"citationItems":[{"id":"ITEM-1","itemData":{"author":[{"dropping-particle":"","family":"吴国豪","given":"","non-dropping-particle":"","parse-names":false,"suffix":""},{"dropping-particle":"","family":"曹冬兴","given":"","non-dropping-particle":"","parse-names":false,"suffix":""},{"dropping-particle":"","family":"魏嘉","given":"","non-dropping-particle":"","parse-names":false,"suffix":""},{"dropping-particle":"","family":"全应军","given":"","non-dropping-particle":"","parse-names":false,"suffix":""},{"dropping-particle":"","family":"吴肇汉","given":"","non-dropping-particle":"","parse-names":false,"suffix":""}],"id":"ITEM-1","issued":{"date-parts":[["0"]]},"title":"恶性肿瘤患者能量,物质代谢及机体组成变化","type":"article-journal"},"uris":["http://www.mendeley.com/documents/?uuid=3b8605ff-b04e-4077-9c65-1e0435346532"]}],"mendeley":{"formattedCitation":"&lt;sup&gt;[9]&lt;/sup&gt;","plainTextFormattedCitation":"[9]","previouslyFormattedCitation":"&lt;sup&gt;[9]&lt;/sup&gt;"},"properties":{"noteIndex":0},"schema":"https://github.com/citation-style-language/schema/raw/master/csl-citation.json"}</w:instrText>
      </w:r>
      <w:r>
        <w:rPr>
          <w:rFonts w:hint="eastAsia" w:ascii="Times New Roman" w:hAnsi="Times New Roman" w:cs="宋体"/>
          <w:color w:val="auto"/>
          <w:highlight w:val="none"/>
          <w:vertAlign w:val="superscript"/>
        </w:rPr>
        <w:fldChar w:fldCharType="separate"/>
      </w:r>
      <w:r>
        <w:rPr>
          <w:rFonts w:hint="eastAsia" w:ascii="Times New Roman" w:hAnsi="Times New Roman" w:cs="宋体"/>
          <w:color w:val="auto"/>
          <w:highlight w:val="none"/>
          <w:vertAlign w:val="superscript"/>
        </w:rPr>
        <w:t>[9]</w:t>
      </w:r>
      <w:r>
        <w:rPr>
          <w:rFonts w:hint="eastAsia" w:ascii="Times New Roman" w:hAnsi="Times New Roman" w:cs="宋体"/>
          <w:color w:val="auto"/>
          <w:highlight w:val="none"/>
          <w:vertAlign w:val="superscript"/>
        </w:rPr>
        <w:fldChar w:fldCharType="end"/>
      </w:r>
      <w:r>
        <w:rPr>
          <w:rFonts w:hint="eastAsia" w:ascii="Times New Roman" w:hAnsi="Times New Roman" w:cs="宋体"/>
          <w:color w:val="auto"/>
          <w:highlight w:val="none"/>
        </w:rPr>
        <w:t>。众多因素可能同时或相继作用，导致肿瘤患者营养不良的发生和发展。营养素摄入不足是肿瘤患者营养不良的主要原因，而厌食则是肿瘤患者营养素摄入不足的主要原因</w:t>
      </w:r>
      <w:r>
        <w:rPr>
          <w:rFonts w:hint="eastAsia" w:ascii="Times New Roman" w:hAnsi="Times New Roman" w:cs="宋体"/>
          <w:color w:val="auto"/>
          <w:highlight w:val="none"/>
          <w:vertAlign w:val="superscript"/>
        </w:rPr>
        <w:fldChar w:fldCharType="begin" w:fldLock="1"/>
      </w:r>
      <w:r>
        <w:rPr>
          <w:rFonts w:hint="eastAsia" w:ascii="Times New Roman" w:hAnsi="Times New Roman" w:cs="宋体"/>
          <w:color w:val="auto"/>
          <w:highlight w:val="none"/>
          <w:vertAlign w:val="superscript"/>
        </w:rPr>
        <w:instrText xml:space="preserve">ADDIN CSL_CITATION {"citationItems":[{"id":"ITEM-1","itemData":{"ISSN":"0899-9007","author":[{"dropping-particle":"","family":"Horstman","given":"Astrid M","non-dropping-particle":"","parse-names":false,"suffix":""},{"dropping-particle":"","family":"Sheffield-Moore","given":"Melinda","non-dropping-particle":"","parse-names":false,"suffix":""}],"container-title":"Nutrition","id":"ITEM-1","issue":"4","issued":{"date-parts":[["2015"]]},"page":"605-607","publisher":"Elsevier","title":"Nutritional/metabolic response in older cancer patients","type":"article-journal","volume":"31"},"uris":["http://www.mendeley.com/documents/?uuid=7006e398-e6cc-4366-b9c4-7f05d4d6a220"]}],"mendeley":{"formattedCitation":"&lt;sup&gt;[8]&lt;/sup&gt;","plainTextFormattedCitation":"[8]"},"properties":{"noteIndex":0},"schema":"https://github.com/citation-style-language/schema/raw/master/csl-citation.json"}</w:instrText>
      </w:r>
      <w:r>
        <w:rPr>
          <w:rFonts w:hint="eastAsia" w:ascii="Times New Roman" w:hAnsi="Times New Roman" w:cs="宋体"/>
          <w:color w:val="auto"/>
          <w:highlight w:val="none"/>
          <w:vertAlign w:val="superscript"/>
        </w:rPr>
        <w:fldChar w:fldCharType="separate"/>
      </w:r>
      <w:r>
        <w:rPr>
          <w:rFonts w:hint="eastAsia" w:ascii="Times New Roman" w:hAnsi="Times New Roman" w:cs="宋体"/>
          <w:color w:val="auto"/>
          <w:highlight w:val="none"/>
          <w:vertAlign w:val="superscript"/>
        </w:rPr>
        <w:t>[8]</w:t>
      </w:r>
      <w:r>
        <w:rPr>
          <w:rFonts w:hint="eastAsia" w:ascii="Times New Roman" w:hAnsi="Times New Roman" w:cs="宋体"/>
          <w:color w:val="auto"/>
          <w:highlight w:val="none"/>
          <w:vertAlign w:val="superscript"/>
        </w:rPr>
        <w:fldChar w:fldCharType="end"/>
      </w:r>
      <w:r>
        <w:rPr>
          <w:rFonts w:hint="eastAsia" w:ascii="Times New Roman" w:hAnsi="Times New Roman" w:cs="宋体"/>
          <w:color w:val="auto"/>
          <w:highlight w:val="none"/>
        </w:rPr>
        <w:t>。肿瘤患者厌食主要是大脑进食调节中枢功能障碍所致，化疗、放疗或手术治疗，味觉、嗅觉异常，心理因素（压抑、焦虑）和肿瘤疼痛等也可影响食欲及进食习惯。此外，肿瘤生长导致胃肠道机械性梗阻、胃排空延迟、消化吸收障碍、体液异常丢失等均可导致摄食减少。肿瘤患者营养不良的另一重要原因是营养素代谢异常，包括机体能量消耗改变、碳水化合物代谢异常、蛋白质转变率增加、骨骼肌消耗、内脏蛋白质消耗、血浆氨基酸谱异常、瘦体重下降、脂肪分解和脂肪酸氧化增加、体脂储存下降，以及水、电解质失衡等，是导致营养不良和恶病质的主要原因</w:t>
      </w:r>
      <w:r>
        <w:rPr>
          <w:rFonts w:hint="eastAsia" w:ascii="Times New Roman" w:hAnsi="Times New Roman" w:cs="宋体"/>
          <w:color w:val="auto"/>
          <w:highlight w:val="none"/>
          <w:vertAlign w:val="superscript"/>
        </w:rPr>
        <w:fldChar w:fldCharType="begin" w:fldLock="1"/>
      </w:r>
      <w:r>
        <w:rPr>
          <w:rFonts w:hint="eastAsia" w:ascii="Times New Roman" w:hAnsi="Times New Roman" w:cs="宋体"/>
          <w:color w:val="auto"/>
          <w:highlight w:val="none"/>
          <w:vertAlign w:val="superscript"/>
        </w:rPr>
        <w:instrText xml:space="preserve">ADDIN CSL_CITATION {"citationItems":[{"id":"ITEM-1","itemData":{"ISBN":"2090-3170","author":[{"dropping-particle":"","family":"Frost","given":"Andra R","non-dropping-particle":"","parse-names":false,"suffix":""},{"dropping-particle":"","family":"Hurst","given":"Douglas R","non-dropping-particle":"","parse-names":false,"suffix":""},{"dropping-particle":"","family":"Shevde","given":"Lalita A","non-dropping-particle":"","parse-names":false,"suffix":""},{"dropping-particle":"","family":"Samant","given":"Rajeev S","non-dropping-particle":"","parse-names":false,"suffix":""}],"container-title":"International Journal of Breast Cancer","id":"ITEM-1","issued":{"date-parts":[["2012"]]},"publisher":"Hindawi","title":"The influence of the cancer microenvironment on the process of metastasis","type":"article","volume":"2012"},"uris":["http://www.mendeley.com/documents/?uuid=18ffea01-6792-476c-b1dc-d6d393be1ad3"]},{"id":"ITEM-2","itemData":{"ISSN":"1566-5240","author":[{"dropping-particle":"","family":"Camussi","given":"Giovanni","non-dropping-particle":"","parse-names":false,"suffix":""},{"dropping-particle":"","family":"C Deregibus","given":"M","non-dropping-particle":"","parse-names":false,"suffix":""},{"dropping-particle":"","family":"Tetta","given":"C","non-dropping-particle":"","parse-names":false,"suffix":""}],"container-title":"Current molecular medicine","id":"ITEM-2","issue":"1","issued":{"date-parts":[["2013"]]},"page":"58-67","publisher":"Bentham Science Publishers","title":"Tumor-derived microvesicles and the cancer microenvironment","type":"article-journal","volume":"13"},"uris":["http://www.mendeley.com/documents/?uuid=afa74e07-2719-4d8c-b673-6e614cea6ce3"]}],"mendeley":{"formattedCitation":"&lt;sup&gt;[10,11]&lt;/sup&gt;","plainTextFormattedCitation":"[10,11]","previouslyFormattedCitation":"&lt;sup&gt;[10,11]&lt;/sup&gt;"},"properties":{"noteIndex":0},"schema":"https://github.com/citation-style-language/schema/raw/master/csl-citation.json"}</w:instrText>
      </w:r>
      <w:r>
        <w:rPr>
          <w:rFonts w:hint="eastAsia" w:ascii="Times New Roman" w:hAnsi="Times New Roman" w:cs="宋体"/>
          <w:color w:val="auto"/>
          <w:highlight w:val="none"/>
          <w:vertAlign w:val="superscript"/>
        </w:rPr>
        <w:fldChar w:fldCharType="separate"/>
      </w:r>
      <w:r>
        <w:rPr>
          <w:rFonts w:hint="eastAsia" w:ascii="Times New Roman" w:hAnsi="Times New Roman" w:cs="宋体"/>
          <w:color w:val="auto"/>
          <w:highlight w:val="none"/>
          <w:vertAlign w:val="superscript"/>
        </w:rPr>
        <w:t>[10,11]</w:t>
      </w:r>
      <w:r>
        <w:rPr>
          <w:rFonts w:hint="eastAsia" w:ascii="Times New Roman" w:hAnsi="Times New Roman" w:cs="宋体"/>
          <w:color w:val="auto"/>
          <w:highlight w:val="none"/>
          <w:vertAlign w:val="superscript"/>
        </w:rPr>
        <w:fldChar w:fldCharType="end"/>
      </w:r>
      <w:r>
        <w:rPr>
          <w:rFonts w:hint="eastAsia" w:ascii="Times New Roman" w:hAnsi="Times New Roman" w:cs="宋体"/>
          <w:color w:val="auto"/>
          <w:highlight w:val="none"/>
        </w:rPr>
        <w:t>。此外，肿瘤患者营养不良还与肿瘤细胞产生的促炎细胞因子、促分解代谢因子，肿瘤细胞生长产生的微环境导致的炎症反应，以及宿主针对肿瘤做出的免疫应答等因素导致的机体分解代谢亢进状态密切相关；这种分解状态加速了营养不良和恶病质的进程</w:t>
      </w:r>
      <w:r>
        <w:rPr>
          <w:rFonts w:hint="eastAsia" w:ascii="Times New Roman" w:hAnsi="Times New Roman" w:cs="宋体"/>
          <w:color w:val="auto"/>
          <w:highlight w:val="none"/>
          <w:vertAlign w:val="superscript"/>
        </w:rPr>
        <w:fldChar w:fldCharType="begin" w:fldLock="1"/>
      </w:r>
      <w:r>
        <w:rPr>
          <w:rFonts w:hint="eastAsia" w:ascii="Times New Roman" w:hAnsi="Times New Roman" w:cs="宋体"/>
          <w:color w:val="auto"/>
          <w:highlight w:val="none"/>
          <w:vertAlign w:val="superscript"/>
        </w:rPr>
        <w:instrText xml:space="preserve">ADDIN CSL_CITATION {"citationItems":[{"id":"ITEM-1","itemData":{"ISSN":"1699-048X","author":[{"dropping-particle":"","family":"Cruz-Merino","given":"Luis","non-dropping-particle":"","parse-names":false,"suffix":""},{"dropping-particle":"","family":"Henao-Carrasco","given":"Fernando","non-dropping-particle":"","parse-names":false,"suffix":""},{"dropping-particle":"","family":"García-Manrique","given":"Teresa","non-dropping-particle":"","parse-names":false,"suffix":""},{"dropping-particle":"","family":"Fernández-Salguero","given":"Pedro M","non-dropping-particle":"","parse-names":false,"suffix":""},{"dropping-particle":"","family":"Villena","given":"Manuel Codes-Manuel","non-dropping-particle":"de","parse-names":false,"suffix":""}],"container-title":"Clinical and Translational Oncology","id":"ITEM-1","issue":"11","issued":{"date-parts":[["2009"]]},"page":"715-720","title":"Role of transforming growth factor β in cancer microenvironment","type":"article-journal","volume":"11"},"uris":["http://www.mendeley.com/documents/?uuid=6711e5b6-8738-4a2b-9c47-965a606d4e57"]},{"id":"ITEM-2","itemData":{"ISSN":"1470-2045","author":[{"dropping-particle":"","family":"Fearon","given":"Kenneth","non-dropping-particle":"","parse-names":false,"suffix":""},{"dropping-particle":"","family":"Strasser","given":"Florian","non-dropping-particle":"","parse-names":false,"suffix":""},{"dropping-particle":"","family":"Anker","given":"Stefan D","non-dropping-particle":"","parse-names":false,"suffix":""},{"dropping-particle":"","family":"Bosaeus","given":"Ingvar","non-dropping-particle":"","parse-names":false,"suffix":""},{"dropping-particle":"","family":"Bruera","given":"Eduardo","non-dropping-particle":"","parse-names":false,"suffix":""},{"dropping-particle":"","family":"Fainsinger","given":"Robin L","non-dropping-particle":"","parse-names":false,"suffix":""},{"dropping-particle":"","family":"Jatoi","given":"Aminah","non-dropping-particle":"","parse-names":false,"suffix":""},{"dropping-particle":"","family":"Loprinzi","given":"Charles","non-dropping-particle":"","parse-names":false,"suffix":""},{"dropping-particle":"","family":"MacDonald","given":"Neil","non-dropping-particle":"","parse-names":false,"suffix":""},{"dropping-particle":"","family":"Mantovani","given":"Giovanni","non-dropping-particle":"","parse-names":false,"suffix":""}],"container-title":"The lancet oncology","id":"ITEM-2","issue":"5","issued":{"date-parts":[["2011"]]},"page":"489-495","publisher":"Elsevier","title":"Definition and classification of cancer cachexia: an international consensus","type":"article-journal","volume":"12"},"uris":["http://www.mendeley.com/documents/?uuid=e887d1d8-9258-4ab7-ba58-23a29ba06ced"]},{"id":"ITEM-3","itemData":{"ISSN":"0962-9351","author":[{"dropping-particle":"","family":"Inácio Pinto","given":"Nelson","non-dropping-particle":"","parse-names":false,"suffix":""},{"dropping-particle":"","family":"Carnier","given":"June","non-dropping-particle":"","parse-names":false,"suffix":""},{"dropping-particle":"","family":"Oyama","given":"Lila M","non-dropping-particle":"","parse-names":false,"suffix":""},{"dropping-particle":"","family":"Otoch","given":"Jose Pinhata","non-dropping-particle":"","parse-names":false,"suffix":""},{"dropping-particle":"","family":"Alcântara","given":"Paulo Sergio","non-dropping-particle":"","parse-names":false,"suffix":""},{"dropping-particle":"","family":"Tokeshi","given":"Flavio","non-dropping-particle":"","parse-names":false,"suffix":""},{"dropping-particle":"","family":"Nascimento","given":"Claudia M","non-dropping-particle":"","parse-names":false,"suffix":""}],"container-title":"Mediators of inflammation","id":"ITEM-3","issued":{"date-parts":[["2015"]]},"publisher":"Hindawi","title":"Cancer as a proinflammatory environment: metastasis and cachexia","type":"article-journal","volume":"2015"},"uris":["http://www.mendeley.com/documents/?uuid=684c39cc-1ca1-48ae-8795-47578821d085"]}],"mendeley":{"formattedCitation":"&lt;sup&gt;[12–14]&lt;/sup&gt;","plainTextFormattedCitation":"[12–14]","previouslyFormattedCitation":"&lt;sup&gt;[12–14]&lt;/sup&gt;"},"properties":{"noteIndex":0},"schema":"https://github.com/citation-style-language/schema/raw/master/csl-citation.json"}</w:instrText>
      </w:r>
      <w:r>
        <w:rPr>
          <w:rFonts w:hint="eastAsia" w:ascii="Times New Roman" w:hAnsi="Times New Roman" w:cs="宋体"/>
          <w:color w:val="auto"/>
          <w:highlight w:val="none"/>
          <w:vertAlign w:val="superscript"/>
        </w:rPr>
        <w:fldChar w:fldCharType="separate"/>
      </w:r>
      <w:r>
        <w:rPr>
          <w:rFonts w:hint="eastAsia" w:ascii="Times New Roman" w:hAnsi="Times New Roman" w:cs="宋体"/>
          <w:color w:val="auto"/>
          <w:highlight w:val="none"/>
          <w:vertAlign w:val="superscript"/>
        </w:rPr>
        <w:t>[12–14]</w:t>
      </w:r>
      <w:r>
        <w:rPr>
          <w:rFonts w:hint="eastAsia" w:ascii="Times New Roman" w:hAnsi="Times New Roman" w:cs="宋体"/>
          <w:color w:val="auto"/>
          <w:highlight w:val="none"/>
          <w:vertAlign w:val="superscript"/>
        </w:rPr>
        <w:fldChar w:fldCharType="end"/>
      </w:r>
      <w:r>
        <w:rPr>
          <w:rFonts w:hint="eastAsia" w:ascii="Times New Roman" w:hAnsi="Times New Roman" w:cs="宋体"/>
          <w:color w:val="auto"/>
          <w:highlight w:val="none"/>
        </w:rPr>
        <w:t>。</w:t>
      </w:r>
    </w:p>
    <w:p w14:paraId="4191556E">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恶液质是一种以持续性骨骼肌减少，伴有或不伴有脂肪组织减少，不能被传统的营养治疗所逆转且可导致进展性功能损伤的一种多因子综合征</w:t>
      </w:r>
      <w:r>
        <w:rPr>
          <w:rFonts w:hint="eastAsia" w:ascii="Times New Roman" w:hAnsi="Times New Roman" w:cs="宋体"/>
          <w:color w:val="auto"/>
          <w:highlight w:val="none"/>
          <w:vertAlign w:val="superscript"/>
        </w:rPr>
        <w:fldChar w:fldCharType="begin" w:fldLock="1"/>
      </w:r>
      <w:r>
        <w:rPr>
          <w:rFonts w:hint="eastAsia" w:ascii="Times New Roman" w:hAnsi="Times New Roman" w:cs="宋体"/>
          <w:color w:val="auto"/>
          <w:highlight w:val="none"/>
          <w:vertAlign w:val="superscript"/>
        </w:rPr>
        <w:instrText xml:space="preserve">ADDIN CSL_CITATION {"citationItems":[{"id":"ITEM-1","itemData":{"author":[{"dropping-particle":"","family":"吴海涛","given":"","non-dropping-particle":"","parse-names":false,"suffix":""},{"dropping-particle":"","family":"王畅","given":"","non-dropping-particle":"","parse-names":false,"suffix":""},{"dropping-particle":"","family":"李薇","given":"","non-dropping-particle":"","parse-names":false,"suffix":""}],"container-title":"肿瘤代谢与营养电子杂志","id":"ITEM-1","issue":"3","issued":{"date-parts":[["2018"]]},"page":"5","title":"肿瘤恶液质的诊治","type":"article-journal","volume":"5"},"uris":["http://www.mendeley.com/documents/?uuid=18537744-c994-43a0-a1d7-186e9f3ec54a"]}],"mendeley":{"formattedCitation":"&lt;sup&gt;[15]&lt;/sup&gt;","plainTextFormattedCitation":"[15]","previouslyFormattedCitation":"&lt;sup&gt;[15]&lt;/sup&gt;"},"properties":{"noteIndex":0},"schema":"https://github.com/citation-style-language/schema/raw/master/csl-citation.json"}</w:instrText>
      </w:r>
      <w:r>
        <w:rPr>
          <w:rFonts w:hint="eastAsia" w:ascii="Times New Roman" w:hAnsi="Times New Roman" w:cs="宋体"/>
          <w:color w:val="auto"/>
          <w:highlight w:val="none"/>
          <w:vertAlign w:val="superscript"/>
        </w:rPr>
        <w:fldChar w:fldCharType="separate"/>
      </w:r>
      <w:r>
        <w:rPr>
          <w:rFonts w:hint="eastAsia" w:ascii="Times New Roman" w:hAnsi="Times New Roman" w:cs="宋体"/>
          <w:color w:val="auto"/>
          <w:highlight w:val="none"/>
          <w:vertAlign w:val="superscript"/>
        </w:rPr>
        <w:t>[15]</w:t>
      </w:r>
      <w:r>
        <w:rPr>
          <w:rFonts w:hint="eastAsia" w:ascii="Times New Roman" w:hAnsi="Times New Roman" w:cs="宋体"/>
          <w:color w:val="auto"/>
          <w:highlight w:val="none"/>
          <w:vertAlign w:val="superscript"/>
        </w:rPr>
        <w:fldChar w:fldCharType="end"/>
      </w:r>
      <w:r>
        <w:rPr>
          <w:rFonts w:hint="eastAsia" w:ascii="Times New Roman" w:hAnsi="Times New Roman" w:cs="宋体"/>
          <w:color w:val="auto"/>
          <w:highlight w:val="none"/>
        </w:rPr>
        <w:t>。肿瘤恶液质是各种晚期恶性肿瘤一种常见的并发症，它以骨骼、内脏的肌肉消耗为特征，伴有食欲减退、厌食、饱胀感、体重下降、肌肉萎缩、乏力、贫血、水肿、低蛋白血症等多种临床表现</w:t>
      </w:r>
      <w:r>
        <w:rPr>
          <w:rFonts w:hint="eastAsia" w:ascii="Times New Roman" w:hAnsi="Times New Roman" w:cs="宋体"/>
          <w:color w:val="auto"/>
          <w:highlight w:val="none"/>
          <w:vertAlign w:val="superscript"/>
        </w:rPr>
        <w:fldChar w:fldCharType="begin" w:fldLock="1"/>
      </w:r>
      <w:r>
        <w:rPr>
          <w:rFonts w:hint="eastAsia" w:ascii="Times New Roman" w:hAnsi="Times New Roman" w:cs="宋体"/>
          <w:color w:val="auto"/>
          <w:highlight w:val="none"/>
          <w:vertAlign w:val="superscript"/>
        </w:rPr>
        <w:instrText xml:space="preserve">ADDIN CSL_CITATION {"citationItems":[{"id":"ITEM-1","itemData":{"container-title":"中华外科杂志","id":"ITEM-1","issue":"11","issued":{"date-parts":[["2017"]]},"page":"29","title":"肿瘤患者营养支持指南","type":"article-journal","volume":"55"},"uris":["http://www.mendeley.com/documents/?uuid=d0fe7e22-87f7-411b-b633-172d21501f5a"]}],"mendeley":{"formattedCitation":"&lt;sup&gt;[3]&lt;/sup&gt;","plainTextFormattedCitation":"[3]","previouslyFormattedCitation":"&lt;sup&gt;[3]&lt;/sup&gt;"},"properties":{"noteIndex":0},"schema":"https://github.com/citation-style-language/schema/raw/master/csl-citation.json"}</w:instrText>
      </w:r>
      <w:r>
        <w:rPr>
          <w:rFonts w:hint="eastAsia" w:ascii="Times New Roman" w:hAnsi="Times New Roman" w:cs="宋体"/>
          <w:color w:val="auto"/>
          <w:highlight w:val="none"/>
          <w:vertAlign w:val="superscript"/>
        </w:rPr>
        <w:fldChar w:fldCharType="separate"/>
      </w:r>
      <w:r>
        <w:rPr>
          <w:rFonts w:hint="eastAsia" w:ascii="Times New Roman" w:hAnsi="Times New Roman" w:cs="宋体"/>
          <w:color w:val="auto"/>
          <w:highlight w:val="none"/>
          <w:vertAlign w:val="superscript"/>
        </w:rPr>
        <w:t>[3]</w:t>
      </w:r>
      <w:r>
        <w:rPr>
          <w:rFonts w:hint="eastAsia" w:ascii="Times New Roman" w:hAnsi="Times New Roman" w:cs="宋体"/>
          <w:color w:val="auto"/>
          <w:highlight w:val="none"/>
          <w:vertAlign w:val="superscript"/>
        </w:rPr>
        <w:fldChar w:fldCharType="end"/>
      </w:r>
      <w:r>
        <w:rPr>
          <w:rFonts w:hint="eastAsia" w:ascii="Times New Roman" w:hAnsi="Times New Roman" w:cs="宋体"/>
          <w:color w:val="auto"/>
          <w:highlight w:val="none"/>
        </w:rPr>
        <w:t>。恶液质严重影响患者的生活质量，降低机体对治疗的敏感性与耐受性。60%~80%的肿瘤患者可能出现肿瘤恶液质，可发生在肿瘤发展的任意过程中，约20%的恶性肿瘤患者死于肿瘤恶液质</w:t>
      </w:r>
      <w:r>
        <w:rPr>
          <w:rFonts w:hint="eastAsia" w:ascii="Times New Roman" w:hAnsi="Times New Roman" w:cs="宋体"/>
          <w:color w:val="auto"/>
          <w:highlight w:val="none"/>
          <w:vertAlign w:val="superscript"/>
        </w:rPr>
        <w:fldChar w:fldCharType="begin" w:fldLock="1"/>
      </w:r>
      <w:r>
        <w:rPr>
          <w:rFonts w:hint="eastAsia" w:ascii="Times New Roman" w:hAnsi="Times New Roman" w:cs="宋体"/>
          <w:color w:val="auto"/>
          <w:highlight w:val="none"/>
          <w:vertAlign w:val="superscript"/>
        </w:rPr>
        <w:instrText xml:space="preserve">ADDIN CSL_CITATION {"citationItems":[{"id":"ITEM-1","itemData":{"ISSN":"1474-1768","author":[{"dropping-particle":"","family":"Argilés","given":"Josep M","non-dropping-particle":"","parse-names":false,"suffix":""},{"dropping-particle":"","family":"Busquets","given":"Sílvia","non-dropping-particle":"","parse-names":false,"suffix":""},{"dropping-particle":"","family":"Stemmler","given":"Britta","non-dropping-particle":"","parse-names":false,"suffix":""},{"dropping-particle":"","family":"Lopez-Soriano","given":"Francisco J","non-dropping-particle":"","parse-names":false,"suffix":""}],"container-title":"Nature Reviews Cancer","id":"ITEM-1","issue":"11","issued":{"date-parts":[["2014"]]},"page":"754-762","publisher":"Nature Publishing Group","title":"Cancer cachexia: understanding the molecular basis","type":"article-journal","volume":"14"},"uris":["http://www.mendeley.com/documents/?uuid=6941c766-25e8-4113-bd81-fa47ff077d78"]}],"mendeley":{"formattedCitation":"&lt;sup&gt;[16]&lt;/sup&gt;","plainTextFormattedCitation":"[16]","previouslyFormattedCitation":"&lt;sup&gt;[16]&lt;/sup&gt;"},"properties":{"noteIndex":0},"schema":"https://github.com/citation-style-language/schema/raw/master/csl-citation.json"}</w:instrText>
      </w:r>
      <w:r>
        <w:rPr>
          <w:rFonts w:hint="eastAsia" w:ascii="Times New Roman" w:hAnsi="Times New Roman" w:cs="宋体"/>
          <w:color w:val="auto"/>
          <w:highlight w:val="none"/>
          <w:vertAlign w:val="superscript"/>
        </w:rPr>
        <w:fldChar w:fldCharType="separate"/>
      </w:r>
      <w:r>
        <w:rPr>
          <w:rFonts w:hint="eastAsia" w:ascii="Times New Roman" w:hAnsi="Times New Roman" w:cs="宋体"/>
          <w:color w:val="auto"/>
          <w:highlight w:val="none"/>
          <w:vertAlign w:val="superscript"/>
        </w:rPr>
        <w:t>[16]</w:t>
      </w:r>
      <w:r>
        <w:rPr>
          <w:rFonts w:hint="eastAsia" w:ascii="Times New Roman" w:hAnsi="Times New Roman" w:cs="宋体"/>
          <w:color w:val="auto"/>
          <w:highlight w:val="none"/>
          <w:vertAlign w:val="superscript"/>
        </w:rPr>
        <w:fldChar w:fldCharType="end"/>
      </w:r>
      <w:r>
        <w:rPr>
          <w:rFonts w:hint="eastAsia" w:ascii="Times New Roman" w:hAnsi="Times New Roman" w:cs="宋体"/>
          <w:color w:val="auto"/>
          <w:highlight w:val="none"/>
        </w:rPr>
        <w:t>。</w:t>
      </w:r>
    </w:p>
    <w:p w14:paraId="41D99ED8">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鉴于营养不良及恶液质在肿瘤患者中的普遍性，以及所产生的严重后果，营养治疗应该成为肿瘤治疗的基础措施与常规手段，成为与手术、放疗、化疗并重的第四疗法，用于肿瘤患者的全程治疗。对于饮食摄入不足、存在营养不良或营养风险的肿瘤患者，营养支持可增加机体营养素的摄入量，改善机体的营养状态、组织器官功能和生活质量。此外，营养支持还能增加肿瘤患者手术、放化疗耐受力，减少手术并发症，减少放化疗中断，减轻放化疗不良反应。美国肠外肠内营养学会、欧洲肠外肠内营养学会、中华医学会肠外肠内营养学分会及中国抗癌协会肿瘤营养与支持治疗专业委员会等权威机构均强调了营养治疗在肿瘤患者综合治疗中的重要性</w:t>
      </w:r>
      <w:r>
        <w:rPr>
          <w:rFonts w:hint="eastAsia" w:ascii="Times New Roman" w:hAnsi="Times New Roman" w:cs="宋体"/>
          <w:color w:val="auto"/>
          <w:highlight w:val="none"/>
          <w:vertAlign w:val="superscript"/>
        </w:rPr>
        <w:fldChar w:fldCharType="begin" w:fldLock="1"/>
      </w:r>
      <w:r>
        <w:rPr>
          <w:rFonts w:hint="eastAsia" w:ascii="Times New Roman" w:hAnsi="Times New Roman" w:cs="宋体"/>
          <w:color w:val="auto"/>
          <w:highlight w:val="none"/>
          <w:vertAlign w:val="superscript"/>
        </w:rPr>
        <w:instrText xml:space="preserve">ADDIN CSL_CITATION {"citationItems":[{"id":"ITEM-1","itemData":{"container-title":"肿瘤代谢与营养电子杂志","id":"ITEM-1","issue":"4","issued":{"date-parts":[["2017"]]},"page":"12","title":"恶性肿瘤患者膳食营养处方专家共识","type":"article-journal","volume":"4"},"uris":["http://www.mendeley.com/documents/?uuid=ad26726e-6328-4f7b-8c00-c42d5fea0fd5"]},{"id":"ITEM-2","itemData":{"ISSN":"0261-5614","author":[{"dropping-particle":"","family":"Arends","given":"Jann","non-dropping-particle":"","parse-names":false,"suffix":""},{"dropping-particle":"","family":"Bachmann","given":"Patrick","non-dropping-particle":"","parse-names":false,"suffix":""},{"dropping-particle":"","family":"Baracos","given":"Vickie","non-dropping-particle":"","parse-names":false,"suffix":""},{"dropping-particle":"","family":"Barthelemy","given":"Nicole","non-dropping-particle":"","parse-names":false,"suffix":""},{"dropping-particle":"","family":"Bertz","given":"Hartmut","non-dropping-particle":"","parse-names":false,"suffix":""},{"dropping-particle":"","family":"Bozzetti","given":"Federico","non-dropping-particle":"","parse-names":false,"suffix":""},{"dropping-particle":"","family":"Fearon","given":"Ken","non-dropping-particle":"","parse-names":false,"suffix":""},{"dropping-particle":"","family":"Hütterer","given":"Elisabeth","non-dropping-particle":"","parse-names":false,"suffix":""},{"dropping-particle":"","family":"Isenring","given":"Elizabeth","non-dropping-particle":"","parse-names":false,"suffix":""},{"dropping-particle":"","family":"Kaasa","given":"Stein","non-dropping-particle":"","parse-names":false,"suffix":""}],"container-title":"Clinical nutrition","id":"ITEM-2","issue":"1","issued":{"date-parts":[["2017"]]},"page":"11-48","publisher":"Elsevier","title":"ESPEN guidelines on nutrition in cancer patients","type":"article-journal","volume":"36"},"uris":["http://www.mendeley.com/documents/?uuid=33d04dc8-7eda-4c59-88a9-fb970d09215c"]},{"id":"ITEM-3","itemData":{"ISSN":"0148-6071","author":[{"dropping-particle":"","family":"August","given":"David Allen","non-dropping-particle":"","parse-names":false,"suffix":""},{"dropping-particle":"","family":"Huhmann","given":"Maureen B","non-dropping-particle":"","parse-names":false,"suffix":""}],"container-title":"JPEN. Journal of parenteral and enteral nutrition","id":"ITEM-3","issue":"5","issued":{"date-parts":[["2009"]]},"page":"472-500","publisher":"Rutgers University","title":"ASPEN clinical guidelines: nutrition support therapy during adult anticancer treatment and in hematopoietic cell transplantation","type":"article-journal","volume":"33"},"uris":["http://www.mendeley.com/documents/?uuid=4f537b23-b1f3-4e3e-8c69-73bb413270ad"]}],"mendeley":{"formattedCitation":"&lt;sup&gt;[17–19]&lt;/sup&gt;","plainTextFormattedCitation":"[17–19]","previouslyFormattedCitation":"&lt;sup&gt;[17–19]&lt;/sup&gt;"},"properties":{"noteIndex":0},"schema":"https://github.com/citation-style-language/schema/raw/master/csl-citation.json"}</w:instrText>
      </w:r>
      <w:r>
        <w:rPr>
          <w:rFonts w:hint="eastAsia" w:ascii="Times New Roman" w:hAnsi="Times New Roman" w:cs="宋体"/>
          <w:color w:val="auto"/>
          <w:highlight w:val="none"/>
          <w:vertAlign w:val="superscript"/>
        </w:rPr>
        <w:fldChar w:fldCharType="separate"/>
      </w:r>
      <w:r>
        <w:rPr>
          <w:rFonts w:hint="eastAsia" w:ascii="Times New Roman" w:hAnsi="Times New Roman" w:cs="宋体"/>
          <w:color w:val="auto"/>
          <w:highlight w:val="none"/>
          <w:vertAlign w:val="superscript"/>
        </w:rPr>
        <w:t>[17–19]</w:t>
      </w:r>
      <w:r>
        <w:rPr>
          <w:rFonts w:hint="eastAsia" w:ascii="Times New Roman" w:hAnsi="Times New Roman" w:cs="宋体"/>
          <w:color w:val="auto"/>
          <w:highlight w:val="none"/>
          <w:vertAlign w:val="superscript"/>
        </w:rPr>
        <w:fldChar w:fldCharType="end"/>
      </w:r>
      <w:r>
        <w:rPr>
          <w:rFonts w:hint="eastAsia" w:ascii="Times New Roman" w:hAnsi="Times New Roman" w:cs="宋体"/>
          <w:color w:val="auto"/>
          <w:highlight w:val="none"/>
        </w:rPr>
        <w:t>。</w:t>
      </w:r>
    </w:p>
    <w:p w14:paraId="61ECDBCB">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君蓓力是专为肿瘤患者设计特殊医学用途特定全营养配方食品，高蛋白、高脂肪、低碳水化合物的能量构成，添加免疫营养成分ω-3多不饱和脂肪酸、L-精氨酸、核苷酸，为营养不良的肿瘤患者提供营养支持。</w:t>
      </w:r>
    </w:p>
    <w:p w14:paraId="3828B129">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b/>
          <w:bCs/>
          <w:color w:val="auto"/>
          <w:highlight w:val="none"/>
        </w:rPr>
      </w:pPr>
      <w:r>
        <w:rPr>
          <w:rFonts w:hint="eastAsia" w:ascii="Times New Roman" w:hAnsi="Times New Roman" w:cs="宋体"/>
          <w:b/>
          <w:bCs/>
          <w:color w:val="auto"/>
          <w:highlight w:val="none"/>
        </w:rPr>
        <w:t>高能量密度</w:t>
      </w:r>
    </w:p>
    <w:p w14:paraId="491C7799">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肿瘤患者，特别是肺、胰腺、肝脏及卵巢肿瘤患者体重丢失前，静息能量消耗升高，而且肿瘤患者由于多种原因饮食习惯改变，常常难以充分摄入足够的微量及宏量营养素。为改善营养不良肿瘤患者的营养状况，一个主要目标是增加能量和蛋白质的摄入，高能量密度配方可减少摄入容量，从而保证较好的依从性。G.P.Hubbard 等人对不同能量密度产品的依从性进行了相关研究，结果发现，能量密度越高，依从性越好</w:t>
      </w:r>
      <w:r>
        <w:rPr>
          <w:rFonts w:hint="eastAsia" w:ascii="Times New Roman" w:hAnsi="Times New Roman" w:cs="宋体"/>
          <w:color w:val="auto"/>
          <w:highlight w:val="none"/>
          <w:vertAlign w:val="superscript"/>
        </w:rPr>
        <w:fldChar w:fldCharType="begin" w:fldLock="1"/>
      </w:r>
      <w:r>
        <w:rPr>
          <w:rFonts w:hint="eastAsia" w:ascii="Times New Roman" w:hAnsi="Times New Roman" w:cs="宋体"/>
          <w:color w:val="auto"/>
          <w:highlight w:val="none"/>
          <w:vertAlign w:val="superscript"/>
        </w:rPr>
        <w:instrText xml:space="preserve">ADDIN CSL_CITATION {"citationItems":[{"id":"ITEM-1","itemData":{"ISSN":"0261-5614","author":[{"dropping-particle":"","family":"Hubbard","given":"Gary P","non-dropping-particle":"","parse-names":false,"suffix":""},{"dropping-particle":"","family":"Elia","given":"Marinos","non-dropping-particle":"","parse-names":false,"suffix":""},{"dropping-particle":"","family":"Holdoway","given":"Anne","non-dropping-particle":"","parse-names":false,"suffix":""},{"dropping-particle":"","family":"Stratton","given":"Rebecca J","non-dropping-particle":"","parse-names":false,"suffix":""}],"container-title":"Clinical nutrition","id":"ITEM-1","issue":"3","issued":{"date-parts":[["2012"]]},"page":"293-312","publisher":"Elsevier","title":"A systematic review of compliance to oral nutritional supplements","type":"article-journal","volume":"31"},"uris":["http://www.mendeley.com/documents/?uuid=dde3a67f-85d3-4c2e-9f8a-dd2b6627bd8a"]}],"mendeley":{"formattedCitation":"&lt;sup&gt;[20]&lt;/sup&gt;","plainTextFormattedCitation":"[20]","previouslyFormattedCitation":"&lt;sup&gt;[20]&lt;/sup&gt;"},"properties":{"noteIndex":0},"schema":"https://github.com/citation-style-language/schema/raw/master/csl-citation.json"}</w:instrText>
      </w:r>
      <w:r>
        <w:rPr>
          <w:rFonts w:hint="eastAsia" w:ascii="Times New Roman" w:hAnsi="Times New Roman" w:cs="宋体"/>
          <w:color w:val="auto"/>
          <w:highlight w:val="none"/>
          <w:vertAlign w:val="superscript"/>
        </w:rPr>
        <w:fldChar w:fldCharType="separate"/>
      </w:r>
      <w:r>
        <w:rPr>
          <w:rFonts w:hint="eastAsia" w:ascii="Times New Roman" w:hAnsi="Times New Roman" w:cs="宋体"/>
          <w:color w:val="auto"/>
          <w:highlight w:val="none"/>
          <w:vertAlign w:val="superscript"/>
        </w:rPr>
        <w:t>[20]</w:t>
      </w:r>
      <w:r>
        <w:rPr>
          <w:rFonts w:hint="eastAsia" w:ascii="Times New Roman" w:hAnsi="Times New Roman" w:cs="宋体"/>
          <w:color w:val="auto"/>
          <w:highlight w:val="none"/>
          <w:vertAlign w:val="superscript"/>
        </w:rPr>
        <w:fldChar w:fldCharType="end"/>
      </w:r>
      <w:r>
        <w:rPr>
          <w:rFonts w:hint="eastAsia" w:ascii="Times New Roman" w:hAnsi="Times New Roman" w:cs="宋体"/>
          <w:color w:val="auto"/>
          <w:highlight w:val="none"/>
        </w:rPr>
        <w:t>。</w:t>
      </w:r>
    </w:p>
    <w:p w14:paraId="61F063BE">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b/>
          <w:bCs/>
          <w:color w:val="auto"/>
          <w:highlight w:val="none"/>
        </w:rPr>
      </w:pPr>
      <w:r>
        <w:rPr>
          <w:rFonts w:hint="eastAsia" w:ascii="Times New Roman" w:hAnsi="Times New Roman" w:cs="宋体"/>
          <w:b/>
          <w:bCs/>
          <w:color w:val="auto"/>
          <w:highlight w:val="none"/>
        </w:rPr>
        <w:t>高蛋白</w:t>
      </w:r>
    </w:p>
    <w:p w14:paraId="187BCF9D">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为了补偿糖异生和骨骼肌蛋白水解的增加，建议肿瘤患者增加蛋白质的供应。蛋白质摄入增加可以促进肿瘤患者肌肉蛋白质合成代谢，发挥纠正负氮平衡、修复损伤组织、合成蛋白质的作用，尤其是手术创伤大的肿瘤患者更应补充较多的蛋白质</w:t>
      </w:r>
      <w:r>
        <w:rPr>
          <w:rFonts w:hint="eastAsia" w:ascii="Times New Roman" w:hAnsi="Times New Roman" w:cs="宋体"/>
          <w:color w:val="auto"/>
          <w:highlight w:val="none"/>
          <w:vertAlign w:val="superscript"/>
        </w:rPr>
        <w:fldChar w:fldCharType="begin" w:fldLock="1"/>
      </w:r>
      <w:r>
        <w:rPr>
          <w:rFonts w:hint="eastAsia" w:ascii="Times New Roman" w:hAnsi="Times New Roman" w:cs="宋体"/>
          <w:color w:val="auto"/>
          <w:highlight w:val="none"/>
          <w:vertAlign w:val="superscript"/>
        </w:rPr>
        <w:instrText xml:space="preserve">ADDIN CSL_CITATION {"citationItems":[{"id":"ITEM-1","itemData":{"ISSN":"0261-5614","author":[{"dropping-particle":"","family":"Bozzetti","given":"Federico","non-dropping-particle":"","parse-names":false,"suffix":""},{"dropping-particle":"","family":"Forbes","given":"Alastair","non-dropping-particle":"","parse-names":false,"suffix":""}],"container-title":"Clinical Nutrition","id":"ITEM-1","issue":"4","issued":{"date-parts":[["2009"]]},"page":"359-364","publisher":"Elsevier","title":"The ESPEN clinical practice Guidelines on Parenteral Nutrition: present status and perspectives for future research","type":"article-journal","volume":"28"},"uris":["http://www.mendeley.com/documents/?uuid=5273984a-295e-4561-810f-932b9e2abe05"]}],"mendeley":{"formattedCitation":"&lt;sup&gt;[21]&lt;/sup&gt;","plainTextFormattedCitation":"[21]","previouslyFormattedCitation":"&lt;sup&gt;[21]&lt;/sup&gt;"},"properties":{"noteIndex":0},"schema":"https://github.com/citation-style-language/schema/raw/master/csl-citation.json"}</w:instrText>
      </w:r>
      <w:r>
        <w:rPr>
          <w:rFonts w:hint="eastAsia" w:ascii="Times New Roman" w:hAnsi="Times New Roman" w:cs="宋体"/>
          <w:color w:val="auto"/>
          <w:highlight w:val="none"/>
          <w:vertAlign w:val="superscript"/>
        </w:rPr>
        <w:fldChar w:fldCharType="separate"/>
      </w:r>
      <w:r>
        <w:rPr>
          <w:rFonts w:hint="eastAsia" w:ascii="Times New Roman" w:hAnsi="Times New Roman" w:cs="宋体"/>
          <w:color w:val="auto"/>
          <w:highlight w:val="none"/>
          <w:vertAlign w:val="superscript"/>
        </w:rPr>
        <w:t>[21]</w:t>
      </w:r>
      <w:r>
        <w:rPr>
          <w:rFonts w:hint="eastAsia" w:ascii="Times New Roman" w:hAnsi="Times New Roman" w:cs="宋体"/>
          <w:color w:val="auto"/>
          <w:highlight w:val="none"/>
          <w:vertAlign w:val="superscript"/>
        </w:rPr>
        <w:fldChar w:fldCharType="end"/>
      </w:r>
      <w:r>
        <w:rPr>
          <w:rFonts w:hint="eastAsia" w:ascii="Times New Roman" w:hAnsi="Times New Roman" w:cs="宋体"/>
          <w:color w:val="auto"/>
          <w:highlight w:val="none"/>
        </w:rPr>
        <w:t>。</w:t>
      </w:r>
    </w:p>
    <w:p w14:paraId="3FEC887B">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君蓓力特定全营养配方食品蛋白来源为酪蛋白，100%优质蛋白来源，优质蛋白氨基酸模式符合人体蛋白质氨基酸模式，吸收利用率高，易于合成人体所需要的蛋白质。肿瘤等消耗性疾病患者多伴随有蛋白质营养不良，导致免疫力下降，补充1.2~1.5 g/kg/d优质蛋白质可明显改善免疫功能。</w:t>
      </w:r>
    </w:p>
    <w:p w14:paraId="3ECAC870">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b/>
          <w:bCs/>
          <w:color w:val="auto"/>
          <w:highlight w:val="none"/>
        </w:rPr>
      </w:pPr>
      <w:r>
        <w:rPr>
          <w:rFonts w:hint="eastAsia" w:ascii="Times New Roman" w:hAnsi="Times New Roman" w:cs="宋体"/>
          <w:b/>
          <w:bCs/>
          <w:color w:val="auto"/>
          <w:highlight w:val="none"/>
        </w:rPr>
        <w:t>高脂肪、低碳水化合物</w:t>
      </w:r>
    </w:p>
    <w:p w14:paraId="1AD694F2">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肿瘤细胞主要通过葡萄糖来满足能量需求，对脂肪酸和酮体的利用率很低。基于这样的原理，为适应肿瘤患者的代谢改变，可以调整脂肪和碳水化合物的供能比。Körber及其同事研究发现，肿瘤患者的脂质氧化增加，外源性脂质利用增加。建议提供脂肪而不是碳水化合物作为能量来源，50%的非蛋白质热量应该由脂肪提供</w:t>
      </w:r>
      <w:r>
        <w:rPr>
          <w:rFonts w:hint="eastAsia" w:ascii="Times New Roman" w:hAnsi="Times New Roman" w:cs="宋体"/>
          <w:color w:val="auto"/>
          <w:highlight w:val="none"/>
          <w:vertAlign w:val="superscript"/>
        </w:rPr>
        <w:fldChar w:fldCharType="begin" w:fldLock="1"/>
      </w:r>
      <w:r>
        <w:rPr>
          <w:rFonts w:hint="eastAsia" w:ascii="Times New Roman" w:hAnsi="Times New Roman" w:cs="宋体"/>
          <w:color w:val="auto"/>
          <w:highlight w:val="none"/>
          <w:vertAlign w:val="superscript"/>
        </w:rPr>
        <w:instrText xml:space="preserve">ADDIN CSL_CITATION {"citationItems":[{"id":"ITEM-1","itemData":{"ISSN":"1476-5640","author":[{"dropping-particle":"","family":"Körber","given":"J","non-dropping-particle":"","parse-names":false,"suffix":""},{"dropping-particle":"","family":"Pricelius","given":"S","non-dropping-particle":"","parse-names":false,"suffix":""},{"dropping-particle":"","family":"Heidrich","given":"M","non-dropping-particle":"","parse-names":false,"suffix":""},{"dropping-particle":"","family":"Müller","given":"M J","non-dropping-particle":"","parse-names":false,"suffix":""}],"container-title":"European journal of clinical nutrition","id":"ITEM-1","issue":"9","issued":{"date-parts":[["1999"]]},"page":"740-745","publisher":"Nature Publishing Group","title":"Increased lipid utilization in weight losing and weight stable cancer patients with normal body weight","type":"article-journal","volume":"53"},"uris":["http://www.mendeley.com/documents/?uuid=555e0ec4-789e-443a-b062-e203d2dd9008"]}],"mendeley":{"formattedCitation":"&lt;sup&gt;[23]&lt;/sup&gt;","plainTextFormattedCitation":"[23]","previouslyFormattedCitation":"&lt;sup&gt;[23]&lt;/sup&gt;"},"properties":{"noteIndex":0},"schema":"https://github.com/citation-style-language/schema/raw/master/csl-citation.json"}</w:instrText>
      </w:r>
      <w:r>
        <w:rPr>
          <w:rFonts w:hint="eastAsia" w:ascii="Times New Roman" w:hAnsi="Times New Roman" w:cs="宋体"/>
          <w:color w:val="auto"/>
          <w:highlight w:val="none"/>
          <w:vertAlign w:val="superscript"/>
        </w:rPr>
        <w:fldChar w:fldCharType="separate"/>
      </w:r>
      <w:r>
        <w:rPr>
          <w:rFonts w:hint="eastAsia" w:ascii="Times New Roman" w:hAnsi="Times New Roman" w:cs="宋体"/>
          <w:color w:val="auto"/>
          <w:highlight w:val="none"/>
          <w:vertAlign w:val="superscript"/>
        </w:rPr>
        <w:t>[22]</w:t>
      </w:r>
      <w:r>
        <w:rPr>
          <w:rFonts w:hint="eastAsia" w:ascii="Times New Roman" w:hAnsi="Times New Roman" w:cs="宋体"/>
          <w:color w:val="auto"/>
          <w:highlight w:val="none"/>
          <w:vertAlign w:val="superscript"/>
        </w:rPr>
        <w:fldChar w:fldCharType="end"/>
      </w:r>
      <w:r>
        <w:rPr>
          <w:rFonts w:hint="eastAsia" w:ascii="Times New Roman" w:hAnsi="Times New Roman" w:cs="宋体"/>
          <w:color w:val="auto"/>
          <w:highlight w:val="none"/>
        </w:rPr>
        <w:t>。Bozetti F等报告：脂肪供能30%~50%的营养方案是可以接受的。适当高脂饮食可维持体重及细胞质量</w:t>
      </w:r>
      <w:r>
        <w:rPr>
          <w:rFonts w:hint="eastAsia" w:ascii="Times New Roman" w:hAnsi="Times New Roman" w:cs="宋体"/>
          <w:color w:val="auto"/>
          <w:highlight w:val="none"/>
          <w:vertAlign w:val="superscript"/>
        </w:rPr>
        <w:fldChar w:fldCharType="begin" w:fldLock="1"/>
      </w:r>
      <w:r>
        <w:rPr>
          <w:rFonts w:hint="eastAsia" w:ascii="Times New Roman" w:hAnsi="Times New Roman" w:cs="宋体"/>
          <w:color w:val="auto"/>
          <w:highlight w:val="none"/>
          <w:vertAlign w:val="superscript"/>
        </w:rPr>
        <w:instrText xml:space="preserve">ADDIN CSL_CITATION {"citationItems":[{"id":"ITEM-1","itemData":{"ISSN":"0261-5614","author":[{"dropping-particle":"","family":"Bozzetti","given":"Federico","non-dropping-particle":"","parse-names":false,"suffix":""},{"dropping-particle":"","family":"Forbes","given":"Alastair","non-dropping-particle":"","parse-names":false,"suffix":""}],"container-title":"Clinical Nutrition","id":"ITEM-1","issue":"4","issued":{"date-parts":[["2009"]]},"page":"359-364","publisher":"Elsevier","title":"The ESPEN clinical practice Guidelines on Parenteral Nutrition: present status and perspectives for future research","type":"article-journal","volume":"28"},"uris":["http://www.mendeley.com/documents/?uuid=5273984a-295e-4561-810f-932b9e2abe05"]}],"mendeley":{"formattedCitation":"&lt;sup&gt;[21]&lt;/sup&gt;","plainTextFormattedCitation":"[21]","previouslyFormattedCitation":"&lt;sup&gt;[21]&lt;/sup&gt;"},"properties":{"noteIndex":0},"schema":"https://github.com/citation-style-language/schema/raw/master/csl-citation.json"}</w:instrText>
      </w:r>
      <w:r>
        <w:rPr>
          <w:rFonts w:hint="eastAsia" w:ascii="Times New Roman" w:hAnsi="Times New Roman" w:cs="宋体"/>
          <w:color w:val="auto"/>
          <w:highlight w:val="none"/>
          <w:vertAlign w:val="superscript"/>
        </w:rPr>
        <w:fldChar w:fldCharType="separate"/>
      </w:r>
      <w:r>
        <w:rPr>
          <w:rFonts w:hint="eastAsia" w:ascii="Times New Roman" w:hAnsi="Times New Roman" w:cs="宋体"/>
          <w:color w:val="auto"/>
          <w:highlight w:val="none"/>
          <w:vertAlign w:val="superscript"/>
        </w:rPr>
        <w:t>[21]</w:t>
      </w:r>
      <w:r>
        <w:rPr>
          <w:rFonts w:hint="eastAsia" w:ascii="Times New Roman" w:hAnsi="Times New Roman" w:cs="宋体"/>
          <w:color w:val="auto"/>
          <w:highlight w:val="none"/>
          <w:vertAlign w:val="superscript"/>
        </w:rPr>
        <w:fldChar w:fldCharType="end"/>
      </w:r>
      <w:r>
        <w:rPr>
          <w:rFonts w:hint="eastAsia" w:ascii="Times New Roman" w:hAnsi="Times New Roman" w:cs="宋体"/>
          <w:color w:val="auto"/>
          <w:highlight w:val="none"/>
        </w:rPr>
        <w:t>。胃肠道肿瘤化疗患者的研究显示，接受常规饮食的患者体重减轻，而接受适当高脂饮食、尤其以单不饱和脂肪酸为主要能源的患者，在整个研究过程中其体重增加且身体细胞质量维持稳定</w:t>
      </w:r>
      <w:r>
        <w:rPr>
          <w:rFonts w:hint="eastAsia" w:ascii="Times New Roman" w:hAnsi="Times New Roman" w:cs="宋体"/>
          <w:color w:val="auto"/>
          <w:highlight w:val="none"/>
          <w:vertAlign w:val="superscript"/>
        </w:rPr>
        <w:fldChar w:fldCharType="begin" w:fldLock="1"/>
      </w:r>
      <w:r>
        <w:rPr>
          <w:rFonts w:hint="eastAsia" w:ascii="Times New Roman" w:hAnsi="Times New Roman" w:cs="宋体"/>
          <w:color w:val="auto"/>
          <w:highlight w:val="none"/>
          <w:vertAlign w:val="superscript"/>
        </w:rPr>
        <w:instrText xml:space="preserve">ADDIN CSL_CITATION {"citationItems":[{"id":"ITEM-1","itemData":{"ISSN":"1465-3621","author":[{"dropping-particle":"","family":"Yoshikawa","given":"Takaki","non-dropping-particle":"","parse-names":false,"suffix":""},{"dropping-particle":"","family":"Hiki","given":"Naoki","non-dropping-particle":"","parse-names":false,"suffix":""},{"dropping-particle":"","family":"Taguri","given":"Masataka","non-dropping-particle":"","parse-names":false,"suffix":""},{"dropping-particle":"","family":"Sano","given":"Takeshi","non-dropping-particle":"","parse-names":false,"suffix":""},{"dropping-particle":"","family":"Nunobe","given":"Souya","non-dropping-particle":"","parse-names":false,"suffix":""},{"dropping-particle":"","family":"Taniguchi","given":"Hideki","non-dropping-particle":"","parse-names":false,"suffix":""},{"dropping-particle":"","family":"Fukushima","given":"Ryoji","non-dropping-particle":"","parse-names":false,"suffix":""},{"dropping-particle":"","family":"Cho","given":"Haruhiko","non-dropping-particle":"","parse-names":false,"suffix":""},{"dropping-particle":"","family":"Morita","given":"Satoshi","non-dropping-particle":"","parse-names":false,"suffix":""},{"dropping-particle":"","family":"Tsuburaya","given":"Akira","non-dropping-particle":"","parse-names":false,"suffix":""}],"container-title":"Japanese Journal of Clinical Oncology","id":"ITEM-1","issue":"5","issued":{"date-parts":[["2012"]]},"page":"459-462","publisher":"Oxford University Press","title":"A phase III trial to evaluate the effect of perioperative nutrition enriched with eicosapentaenoic acid on body weight loss after total gastrectomy for T2–T4a gastric cancer","type":"article-journal","volume":"42"},"uris":["http://www.mendeley.com/documents/?uuid=7a80c6a8-0fb1-4fff-b31b-76aeb70ffe2e"]}],"mendeley":{"formattedCitation":"&lt;sup&gt;[24]&lt;/sup&gt;","plainTextFormattedCitation":"[24]","previouslyFormattedCitation":"&lt;sup&gt;[24]&lt;/sup&gt;"},"properties":{"noteIndex":0},"schema":"https://github.com/citation-style-language/schema/raw/master/csl-citation.json"}</w:instrText>
      </w:r>
      <w:r>
        <w:rPr>
          <w:rFonts w:hint="eastAsia" w:ascii="Times New Roman" w:hAnsi="Times New Roman" w:cs="宋体"/>
          <w:color w:val="auto"/>
          <w:highlight w:val="none"/>
          <w:vertAlign w:val="superscript"/>
        </w:rPr>
        <w:fldChar w:fldCharType="separate"/>
      </w:r>
      <w:r>
        <w:rPr>
          <w:rFonts w:hint="eastAsia" w:ascii="Times New Roman" w:hAnsi="Times New Roman" w:cs="宋体"/>
          <w:color w:val="auto"/>
          <w:highlight w:val="none"/>
          <w:vertAlign w:val="superscript"/>
        </w:rPr>
        <w:t>[24]</w:t>
      </w:r>
      <w:r>
        <w:rPr>
          <w:rFonts w:hint="eastAsia" w:ascii="Times New Roman" w:hAnsi="Times New Roman" w:cs="宋体"/>
          <w:color w:val="auto"/>
          <w:highlight w:val="none"/>
          <w:vertAlign w:val="superscript"/>
        </w:rPr>
        <w:fldChar w:fldCharType="end"/>
      </w:r>
      <w:r>
        <w:rPr>
          <w:rFonts w:hint="eastAsia" w:ascii="Times New Roman" w:hAnsi="Times New Roman" w:cs="宋体"/>
          <w:color w:val="auto"/>
          <w:highlight w:val="none"/>
        </w:rPr>
        <w:t>。</w:t>
      </w:r>
    </w:p>
    <w:p w14:paraId="14C22D11">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b/>
          <w:bCs/>
          <w:color w:val="auto"/>
          <w:highlight w:val="none"/>
        </w:rPr>
      </w:pPr>
      <w:r>
        <w:rPr>
          <w:rFonts w:hint="eastAsia" w:ascii="Times New Roman" w:hAnsi="Times New Roman" w:cs="宋体"/>
          <w:b/>
          <w:bCs/>
          <w:color w:val="auto"/>
          <w:highlight w:val="none"/>
        </w:rPr>
        <w:t>ω-3多不饱和脂肪酸、L-精氨酸、核苷酸</w:t>
      </w:r>
    </w:p>
    <w:p w14:paraId="3DE544AA">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ω-3PUFA是形成免疫平衡的必要基质，维持T淋巴细胞功能的同时减少炎症反应。对于接受手术治疗的肿瘤患者，大量的临床研究结果证实围手术期合理补充ω-3PUFA有助于减轻术后炎症反应、提高机体免疫力，甚至改善器官功能、降低感染等并发症发生率及病死率，同时缩短住院时间</w:t>
      </w:r>
      <w:r>
        <w:rPr>
          <w:rFonts w:hint="eastAsia" w:ascii="Times New Roman" w:hAnsi="Times New Roman" w:cs="宋体"/>
          <w:color w:val="auto"/>
          <w:highlight w:val="none"/>
        </w:rPr>
        <w:fldChar w:fldCharType="begin" w:fldLock="1"/>
      </w:r>
      <w:r>
        <w:rPr>
          <w:rFonts w:hint="eastAsia" w:ascii="Times New Roman" w:hAnsi="Times New Roman" w:cs="宋体"/>
          <w:color w:val="auto"/>
          <w:highlight w:val="none"/>
        </w:rPr>
        <w:instrText xml:space="preserve">ADDIN CSL_CITATION {"citationItems":[{"id":"ITEM-1","itemData":{"ISSN":"1471-2407","author":[{"dropping-particle":"","family":"Yu","given":"Jing","non-dropping-particle":"","parse-names":false,"suffix":""},{"dropping-particle":"","family":"Liu","given":"Lian","non-dropping-particle":"","parse-names":false,"suffix":""},{"dropping-particle":"","family":"Zhang","given":"Yue","non-dropping-particle":"","parse-names":false,"suffix":""},{"dropping-particle":"","family":"Wei","given":"Jia","non-dropping-particle":"","parse-names":false,"suffix":""},{"dropping-particle":"","family":"Yang","given":"Fan","non-dropping-particle":"","parse-names":false,"suffix":""}],"container-title":"BMC cancer","id":"ITEM-1","issue":"1","issued":{"date-parts":[["2017"]]},"page":"1-9","publisher":"Springer","title":"Effects of omega-3 fatty acids on patients undergoing surgery for gastrointestinal malignancy: a systematic review and meta-analysis","type":"article-journal","volume":"17"},"uris":["http://www.mendeley.com/documents/?uuid=dfd42071-addf-4003-9f75-9bd9eb87893f"]},{"id":"ITEM-2","itemData":{"author":[{"dropping-particle":"","family":"Xie","given":"Hai","non-dropping-particle":"","parse-names":false,"suffix":""},{"dropping-particle":"","family":"Chang","given":"Yan-na","non-dropping-particle":"","parse-names":false,"suffix":""}],"container-title":"OncoTargets and therapy","id":"ITEM-2","issued":{"date-parts":[["2016"]]},"page":"7435","publisher":"Dove Press","title":"Omega-3 polyunsaturated fatty acids in the prevention of postoperative complications in colorectal cancer: a meta-analysis","type":"article-journal","volume":"9"},"uris":["http://www.mendeley.com/documents/?uuid=3c884073-3782-4d2a-987d-222d40956bba"]}],"mendeley":{"formattedCitation":"&lt;sup&gt;[25,26]&lt;/sup&gt;","plainTextFormattedCitation":"[25,26]","previouslyFormattedCitation":"&lt;sup&gt;[25,26]&lt;/sup&gt;"},"properties":{"noteIndex":0},"schema":"https://github.com/citation-style-language/schema/raw/master/csl-citation.json"}</w:instrText>
      </w:r>
      <w:r>
        <w:rPr>
          <w:rFonts w:hint="eastAsia" w:ascii="Times New Roman" w:hAnsi="Times New Roman" w:cs="宋体"/>
          <w:color w:val="auto"/>
          <w:highlight w:val="none"/>
        </w:rPr>
        <w:fldChar w:fldCharType="separate"/>
      </w:r>
      <w:r>
        <w:rPr>
          <w:rFonts w:hint="eastAsia" w:ascii="Times New Roman" w:hAnsi="Times New Roman" w:cs="宋体"/>
          <w:color w:val="auto"/>
          <w:highlight w:val="none"/>
          <w:vertAlign w:val="superscript"/>
        </w:rPr>
        <w:t>[25,26]</w:t>
      </w:r>
      <w:r>
        <w:rPr>
          <w:rFonts w:hint="eastAsia" w:ascii="Times New Roman" w:hAnsi="Times New Roman" w:cs="宋体"/>
          <w:color w:val="auto"/>
          <w:highlight w:val="none"/>
        </w:rPr>
        <w:fldChar w:fldCharType="end"/>
      </w:r>
      <w:r>
        <w:rPr>
          <w:rFonts w:hint="eastAsia" w:ascii="Times New Roman" w:hAnsi="Times New Roman" w:cs="宋体"/>
          <w:color w:val="auto"/>
          <w:highlight w:val="none"/>
        </w:rPr>
        <w:t>。此外，ω-3脂肪酸还可以改善不同肿瘤治疗方案的疗效和毒性，调节肿瘤细胞对化疗药物的反应</w:t>
      </w:r>
      <w:r>
        <w:rPr>
          <w:rFonts w:hint="eastAsia" w:ascii="Times New Roman" w:hAnsi="Times New Roman" w:cs="宋体"/>
          <w:color w:val="auto"/>
          <w:highlight w:val="none"/>
          <w:vertAlign w:val="superscript"/>
        </w:rPr>
        <w:fldChar w:fldCharType="begin" w:fldLock="1"/>
      </w:r>
      <w:r>
        <w:rPr>
          <w:rFonts w:hint="eastAsia" w:ascii="Times New Roman" w:hAnsi="Times New Roman" w:cs="宋体"/>
          <w:color w:val="auto"/>
          <w:highlight w:val="none"/>
          <w:vertAlign w:val="superscript"/>
        </w:rPr>
        <w:instrText xml:space="preserve">ADDIN CSL_CITATION {"citationItems":[{"id":"ITEM-1","itemData":{"container-title":"肿瘤代谢与营养电子杂志","id":"ITEM-1","issue":"2","issued":{"date-parts":[["2016"]]},"page":"5","title":"肿瘤患者特殊医学用途配方食品应用专家共识","type":"article-journal","volume":"3"},"uris":["http://www.mendeley.com/documents/?uuid=a1dff4ea-43e6-4485-8975-b44d4ae8621b"]}],"mendeley":{"formattedCitation":"&lt;sup&gt;[1]&lt;/sup&gt;","plainTextFormattedCitation":"[1]","previouslyFormattedCitation":"&lt;sup&gt;[1]&lt;/sup&gt;"},"properties":{"noteIndex":0},"schema":"https://github.com/citation-style-language/schema/raw/master/csl-citation.json"}</w:instrText>
      </w:r>
      <w:r>
        <w:rPr>
          <w:rFonts w:hint="eastAsia" w:ascii="Times New Roman" w:hAnsi="Times New Roman" w:cs="宋体"/>
          <w:color w:val="auto"/>
          <w:highlight w:val="none"/>
          <w:vertAlign w:val="superscript"/>
        </w:rPr>
        <w:fldChar w:fldCharType="separate"/>
      </w:r>
      <w:r>
        <w:rPr>
          <w:rFonts w:hint="eastAsia" w:ascii="Times New Roman" w:hAnsi="Times New Roman" w:cs="宋体"/>
          <w:color w:val="auto"/>
          <w:highlight w:val="none"/>
          <w:vertAlign w:val="superscript"/>
        </w:rPr>
        <w:t>[1]</w:t>
      </w:r>
      <w:r>
        <w:rPr>
          <w:rFonts w:hint="eastAsia" w:ascii="Times New Roman" w:hAnsi="Times New Roman" w:cs="宋体"/>
          <w:color w:val="auto"/>
          <w:highlight w:val="none"/>
          <w:vertAlign w:val="superscript"/>
        </w:rPr>
        <w:fldChar w:fldCharType="end"/>
      </w:r>
      <w:r>
        <w:rPr>
          <w:rFonts w:hint="eastAsia" w:ascii="Times New Roman" w:hAnsi="Times New Roman" w:cs="宋体"/>
          <w:color w:val="auto"/>
          <w:highlight w:val="none"/>
        </w:rPr>
        <w:t>。一项针对25例乳腺癌转移患者的开放标记单组研究结果显示DHA的服用耐受性良好，肿瘤对化疗的敏感性提高</w:t>
      </w:r>
      <w:r>
        <w:rPr>
          <w:rFonts w:hint="eastAsia" w:ascii="Times New Roman" w:hAnsi="Times New Roman" w:cs="宋体"/>
          <w:color w:val="auto"/>
          <w:highlight w:val="none"/>
          <w:vertAlign w:val="superscript"/>
        </w:rPr>
        <w:fldChar w:fldCharType="begin" w:fldLock="1"/>
      </w:r>
      <w:r>
        <w:rPr>
          <w:rFonts w:hint="eastAsia" w:ascii="Times New Roman" w:hAnsi="Times New Roman" w:cs="宋体"/>
          <w:color w:val="auto"/>
          <w:highlight w:val="none"/>
          <w:vertAlign w:val="superscript"/>
        </w:rPr>
        <w:instrText xml:space="preserve">ADDIN CSL_CITATION {"citationItems":[{"id":"ITEM-1","itemData":{"ISSN":"1532-1827","author":[{"dropping-particle":"","family":"Bougnoux","given":"P","non-dropping-particle":"","parse-names":false,"suffix":""},{"dropping-particle":"","family":"Hajjaji","given":"N","non-dropping-particle":"","parse-names":false,"suffix":""},{"dropping-particle":"","family":"Ferrasson","given":"M N","non-dropping-particle":"","parse-names":false,"suffix":""},{"dropping-particle":"","family":"Giraudeau","given":"B","non-dropping-particle":"","parse-names":false,"suffix":""},{"dropping-particle":"","family":"Couet","given":"C","non-dropping-particle":"","parse-names":false,"suffix":""},{"dropping-particle":"","family":"Floch","given":"O","non-dropping-particle":"Le","parse-names":false,"suffix":""}],"container-title":"British journal of cancer","id":"ITEM-1","issue":"12","issued":{"date-parts":[["2009"]]},"page":"1978-1985","publisher":"Nature Publishing Group","title":"Improving outcome of chemotherapy of metastatic breast cancer by docosahexaenoic acid: a phase II trial","type":"article-journal","volume":"101"},"uris":["http://www.mendeley.com/documents/?uuid=7f82a8fc-7dbb-4ce7-b84c-fe9ec4faf24f"]}],"mendeley":{"formattedCitation":"&lt;sup&gt;[27]&lt;/sup&gt;","plainTextFormattedCitation":"[27]","previouslyFormattedCitation":"&lt;sup&gt;[27]&lt;/sup&gt;"},"properties":{"noteIndex":0},"schema":"https://github.com/citation-style-language/schema/raw/master/csl-citation.json"}</w:instrText>
      </w:r>
      <w:r>
        <w:rPr>
          <w:rFonts w:hint="eastAsia" w:ascii="Times New Roman" w:hAnsi="Times New Roman" w:cs="宋体"/>
          <w:color w:val="auto"/>
          <w:highlight w:val="none"/>
          <w:vertAlign w:val="superscript"/>
        </w:rPr>
        <w:fldChar w:fldCharType="separate"/>
      </w:r>
      <w:r>
        <w:rPr>
          <w:rFonts w:hint="eastAsia" w:ascii="Times New Roman" w:hAnsi="Times New Roman" w:cs="宋体"/>
          <w:color w:val="auto"/>
          <w:highlight w:val="none"/>
          <w:vertAlign w:val="superscript"/>
        </w:rPr>
        <w:t>[27]</w:t>
      </w:r>
      <w:r>
        <w:rPr>
          <w:rFonts w:hint="eastAsia" w:ascii="Times New Roman" w:hAnsi="Times New Roman" w:cs="宋体"/>
          <w:color w:val="auto"/>
          <w:highlight w:val="none"/>
          <w:vertAlign w:val="superscript"/>
        </w:rPr>
        <w:fldChar w:fldCharType="end"/>
      </w:r>
      <w:r>
        <w:rPr>
          <w:rFonts w:hint="eastAsia" w:ascii="Times New Roman" w:hAnsi="Times New Roman" w:cs="宋体"/>
          <w:color w:val="auto"/>
          <w:highlight w:val="none"/>
        </w:rPr>
        <w:t>。另一项基于RCT的meta分析研究发现，在肠内营养或肠外营养中添加ω-3PUFA可有效减轻胃肠道肿瘤患者的术后并发症，如感染、炎症反应，并可缩短住院时间</w:t>
      </w:r>
      <w:r>
        <w:rPr>
          <w:rFonts w:hint="eastAsia" w:ascii="Times New Roman" w:hAnsi="Times New Roman" w:cs="宋体"/>
          <w:color w:val="auto"/>
          <w:highlight w:val="none"/>
          <w:vertAlign w:val="superscript"/>
        </w:rPr>
        <w:fldChar w:fldCharType="begin" w:fldLock="1"/>
      </w:r>
      <w:r>
        <w:rPr>
          <w:rFonts w:hint="eastAsia" w:ascii="Times New Roman" w:hAnsi="Times New Roman" w:cs="宋体"/>
          <w:color w:val="auto"/>
          <w:highlight w:val="none"/>
          <w:vertAlign w:val="superscript"/>
        </w:rPr>
        <w:instrText xml:space="preserve">ADDIN CSL_CITATION {"citationItems":[{"id":"ITEM-1","itemData":{"ISSN":"1471-2407","author":[{"dropping-particle":"","family":"Yu","given":"Jing","non-dropping-particle":"","parse-names":false,"suffix":""},{"dropping-particle":"","family":"Liu","given":"Lian","non-dropping-particle":"","parse-names":false,"suffix":""},{"dropping-particle":"","family":"Zhang","given":"Yue","non-dropping-particle":"","parse-names":false,"suffix":""},{"dropping-particle":"","family":"Wei","given":"Jia","non-dropping-particle":"","parse-names":false,"suffix":""},{"dropping-particle":"","family":"Yang","given":"Fan","non-dropping-particle":"","parse-names":false,"suffix":""}],"container-title":"BMC cancer","id":"ITEM-1","issue":"1","issued":{"date-parts":[["2017"]]},"page":"1-9","publisher":"Springer","title":"Effects of omega-3 fatty acids on patients undergoing surgery for gastrointestinal malignancy: a systematic review and meta-analysis","type":"article-journal","volume":"17"},"uris":["http://www.mendeley.com/documents/?uuid=dfd42071-addf-4003-9f75-9bd9eb87893f"]}],"mendeley":{"formattedCitation":"&lt;sup&gt;[25]&lt;/sup&gt;","plainTextFormattedCitation":"[25]","previouslyFormattedCitation":"&lt;sup&gt;[25]&lt;/sup&gt;"},"properties":{"noteIndex":0},"schema":"https://github.com/citation-style-language/schema/raw/master/csl-citation.json"}</w:instrText>
      </w:r>
      <w:r>
        <w:rPr>
          <w:rFonts w:hint="eastAsia" w:ascii="Times New Roman" w:hAnsi="Times New Roman" w:cs="宋体"/>
          <w:color w:val="auto"/>
          <w:highlight w:val="none"/>
          <w:vertAlign w:val="superscript"/>
        </w:rPr>
        <w:fldChar w:fldCharType="separate"/>
      </w:r>
      <w:r>
        <w:rPr>
          <w:rFonts w:hint="eastAsia" w:ascii="Times New Roman" w:hAnsi="Times New Roman" w:cs="宋体"/>
          <w:color w:val="auto"/>
          <w:highlight w:val="none"/>
          <w:vertAlign w:val="superscript"/>
        </w:rPr>
        <w:t>[25]</w:t>
      </w:r>
      <w:r>
        <w:rPr>
          <w:rFonts w:hint="eastAsia" w:ascii="Times New Roman" w:hAnsi="Times New Roman" w:cs="宋体"/>
          <w:color w:val="auto"/>
          <w:highlight w:val="none"/>
          <w:vertAlign w:val="superscript"/>
        </w:rPr>
        <w:fldChar w:fldCharType="end"/>
      </w:r>
      <w:r>
        <w:rPr>
          <w:rFonts w:hint="eastAsia" w:ascii="Times New Roman" w:hAnsi="Times New Roman" w:cs="宋体"/>
          <w:color w:val="auto"/>
          <w:highlight w:val="none"/>
        </w:rPr>
        <w:t>。</w:t>
      </w:r>
    </w:p>
    <w:p w14:paraId="6459BB10">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添加具有免疫调节作用的营养素如精氨酸、核苷酸等，能够改善肿瘤患者的营养状况，减缓体重丢失，增加瘦体重，减少感染发生率，改善肠道功能，缩短住院时间，改善生活质量，节约治疗费用，具有较高的成本-效益优势。精氨酸在人体内能够抑制肿瘤细胞的生长，在肿瘤患者的营养治疗时可适量添加。临床研究表面，0.5 g/100kcal精氨酸即能起到增强患者免疫功能，减少术后感染的作用。核苷酸在肿瘤肠内营养制剂中也广泛应用。关于免疫增强型EN制剂在围手术期中应用的15项Meta分析中，多数结果显示，免疫增强型EN制剂可改善肿瘤患者的免疫功能，降低感染性并发症发生率，缩短住院时间，改善临床预后。其中头颈部肿瘤及上消化道恶性肿瘤患者使用免疫增强型EN制剂在维持机体瘦体重、降低术后感染并发症发生率方面具有明显优势。</w:t>
      </w:r>
    </w:p>
    <w:p w14:paraId="4B18CAD6">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b/>
          <w:bCs/>
          <w:color w:val="auto"/>
          <w:highlight w:val="none"/>
        </w:rPr>
      </w:pPr>
      <w:r>
        <w:rPr>
          <w:rFonts w:hint="eastAsia" w:ascii="Times New Roman" w:hAnsi="Times New Roman" w:cs="宋体"/>
          <w:b/>
          <w:bCs/>
          <w:color w:val="auto"/>
          <w:highlight w:val="none"/>
        </w:rPr>
        <w:t>中链甘油三酯（MCT）</w:t>
      </w:r>
    </w:p>
    <w:p w14:paraId="6B087C3B">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肿瘤患者常因RT或CT造成粘膜损伤而出现消化不良或吸收不良</w:t>
      </w:r>
      <w:r>
        <w:rPr>
          <w:rFonts w:hint="eastAsia" w:ascii="Times New Roman" w:hAnsi="Times New Roman" w:cs="宋体"/>
          <w:color w:val="auto"/>
          <w:highlight w:val="none"/>
          <w:vertAlign w:val="superscript"/>
        </w:rPr>
        <w:fldChar w:fldCharType="begin" w:fldLock="1"/>
      </w:r>
      <w:r>
        <w:rPr>
          <w:rFonts w:hint="eastAsia" w:ascii="Times New Roman" w:hAnsi="Times New Roman" w:cs="宋体"/>
          <w:color w:val="auto"/>
          <w:highlight w:val="none"/>
          <w:vertAlign w:val="superscript"/>
        </w:rPr>
        <w:instrText xml:space="preserve">ADDIN CSL_CITATION {"citationItems":[{"id":"ITEM-1","itemData":{"ISSN":"0017-6192","author":[{"dropping-particle":"","family":"Lorenz","given":"K J","non-dropping-particle":"","parse-names":false,"suffix":""},{"dropping-particle":"","family":"Müller","given":"V","non-dropping-particle":"","parse-names":false,"suffix":""},{"dropping-particle":"","family":"Maier","given":"H","non-dropping-particle":"","parse-names":false,"suffix":""}],"container-title":"HNO","id":"ITEM-1","issue":"11","issued":{"date-parts":[["1997"]]},"page":"939-950","title":"Enteral feeding therapy in patients with head and neck neoplasms","type":"article-journal","volume":"45"},"uris":["http://www.mendeley.com/documents/?uuid=a2ac0182-2fe4-4972-a4cd-da3cc6537f37"]}],"mendeley":{"formattedCitation":"&lt;sup&gt;[28]&lt;/sup&gt;","plainTextFormattedCitation":"[28]","previouslyFormattedCitation":"&lt;sup&gt;[28]&lt;/sup&gt;"},"properties":{"noteIndex":0},"schema":"https://github.com/citation-style-language/schema/raw/master/csl-citation.json"}</w:instrText>
      </w:r>
      <w:r>
        <w:rPr>
          <w:rFonts w:hint="eastAsia" w:ascii="Times New Roman" w:hAnsi="Times New Roman" w:cs="宋体"/>
          <w:color w:val="auto"/>
          <w:highlight w:val="none"/>
          <w:vertAlign w:val="superscript"/>
        </w:rPr>
        <w:fldChar w:fldCharType="separate"/>
      </w:r>
      <w:r>
        <w:rPr>
          <w:rFonts w:hint="eastAsia" w:ascii="Times New Roman" w:hAnsi="Times New Roman" w:cs="宋体"/>
          <w:color w:val="auto"/>
          <w:highlight w:val="none"/>
          <w:vertAlign w:val="superscript"/>
        </w:rPr>
        <w:t>[28]</w:t>
      </w:r>
      <w:r>
        <w:rPr>
          <w:rFonts w:hint="eastAsia" w:ascii="Times New Roman" w:hAnsi="Times New Roman" w:cs="宋体"/>
          <w:color w:val="auto"/>
          <w:highlight w:val="none"/>
          <w:vertAlign w:val="superscript"/>
        </w:rPr>
        <w:fldChar w:fldCharType="end"/>
      </w:r>
      <w:r>
        <w:rPr>
          <w:rFonts w:hint="eastAsia" w:ascii="Times New Roman" w:hAnsi="Times New Roman" w:cs="宋体"/>
          <w:color w:val="auto"/>
          <w:highlight w:val="none"/>
        </w:rPr>
        <w:t>。MCT在体内通过小肠黏膜快速吸收，直接通过小肠毛细血管进入门静脉，快速转移到肝内供能，小肠对MCT的吸收能力比长链甘油三酯大，有助于避免任何形式的严重吸收不良的肠道副作用。对于脂肪吸收不良或营养状况不佳的患者（如胰腺癌或胃肠癌患者）来说，是特殊营养支持的重要组成部分。</w:t>
      </w:r>
    </w:p>
    <w:p w14:paraId="7F8DF420">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b/>
          <w:bCs/>
          <w:color w:val="auto"/>
          <w:highlight w:val="none"/>
        </w:rPr>
      </w:pPr>
      <w:r>
        <w:rPr>
          <w:rFonts w:hint="eastAsia" w:ascii="Times New Roman" w:hAnsi="Times New Roman" w:cs="宋体"/>
          <w:b/>
          <w:bCs/>
          <w:color w:val="auto"/>
          <w:highlight w:val="none"/>
        </w:rPr>
        <w:t>特定全营养配方食品</w:t>
      </w:r>
    </w:p>
    <w:p w14:paraId="2544201E">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特定全营养配方食品提供蛋白质、脂肪、碳水化合物、维生素、矿物质，可作为单一营养来源满足目标人群在特定疾病或医学状况下的营养需求，也可作为营养补充与常规饮食搭配使用。</w:t>
      </w:r>
    </w:p>
    <w:p w14:paraId="3998E67C">
      <w:pPr>
        <w:pStyle w:val="3"/>
        <w:keepNext w:val="0"/>
        <w:keepLines w:val="0"/>
        <w:pageBreakBefore w:val="0"/>
        <w:widowControl w:val="0"/>
        <w:numPr>
          <w:ilvl w:val="0"/>
          <w:numId w:val="1"/>
        </w:numPr>
        <w:kinsoku/>
        <w:wordWrap/>
        <w:overflowPunct/>
        <w:topLinePunct w:val="0"/>
        <w:autoSpaceDE/>
        <w:autoSpaceDN/>
        <w:bidi w:val="0"/>
        <w:adjustRightInd/>
        <w:snapToGrid/>
        <w:spacing w:before="0" w:line="240" w:lineRule="auto"/>
        <w:textAlignment w:val="auto"/>
        <w:rPr>
          <w:rFonts w:ascii="Times New Roman" w:hAnsi="Times New Roman" w:cs="黑体"/>
          <w:b/>
          <w:bCs/>
          <w:color w:val="auto"/>
          <w:szCs w:val="28"/>
          <w:highlight w:val="none"/>
        </w:rPr>
      </w:pPr>
      <w:bookmarkStart w:id="14" w:name="_Toc8313"/>
      <w:bookmarkStart w:id="15" w:name="_Toc32277"/>
      <w:r>
        <w:rPr>
          <w:rFonts w:hint="eastAsia" w:ascii="Times New Roman" w:hAnsi="Times New Roman" w:cs="黑体"/>
          <w:b/>
          <w:bCs/>
          <w:color w:val="auto"/>
          <w:szCs w:val="28"/>
          <w:highlight w:val="none"/>
          <w:lang w:eastAsia="zh-CN"/>
        </w:rPr>
        <w:t>试验</w:t>
      </w:r>
      <w:r>
        <w:rPr>
          <w:rFonts w:hint="eastAsia" w:ascii="Times New Roman" w:hAnsi="Times New Roman" w:cs="黑体"/>
          <w:b/>
          <w:bCs/>
          <w:color w:val="auto"/>
          <w:szCs w:val="28"/>
          <w:highlight w:val="none"/>
          <w:lang w:val="en-US" w:eastAsia="zh-CN"/>
        </w:rPr>
        <w:t>内容、</w:t>
      </w:r>
      <w:r>
        <w:rPr>
          <w:rFonts w:hint="eastAsia" w:ascii="Times New Roman" w:hAnsi="Times New Roman" w:cs="黑体"/>
          <w:b/>
          <w:bCs/>
          <w:color w:val="auto"/>
          <w:szCs w:val="28"/>
          <w:highlight w:val="none"/>
        </w:rPr>
        <w:t>目的及</w:t>
      </w:r>
      <w:r>
        <w:rPr>
          <w:rFonts w:hint="eastAsia" w:ascii="Times New Roman" w:hAnsi="Times New Roman" w:cs="黑体"/>
          <w:b/>
          <w:bCs/>
          <w:color w:val="auto"/>
          <w:szCs w:val="28"/>
          <w:highlight w:val="none"/>
          <w:lang w:eastAsia="zh-CN"/>
        </w:rPr>
        <w:t>试验</w:t>
      </w:r>
      <w:r>
        <w:rPr>
          <w:rFonts w:hint="eastAsia" w:ascii="Times New Roman" w:hAnsi="Times New Roman" w:cs="黑体"/>
          <w:b/>
          <w:bCs/>
          <w:color w:val="auto"/>
          <w:szCs w:val="28"/>
          <w:highlight w:val="none"/>
        </w:rPr>
        <w:t>指标</w:t>
      </w:r>
      <w:bookmarkEnd w:id="14"/>
      <w:bookmarkEnd w:id="15"/>
    </w:p>
    <w:p w14:paraId="17D849A4">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16" w:name="_Toc22934"/>
      <w:bookmarkStart w:id="17" w:name="_Toc21907"/>
      <w:r>
        <w:rPr>
          <w:rFonts w:hint="eastAsia" w:ascii="Times New Roman" w:hAnsi="Times New Roman" w:cs="黑体"/>
          <w:b/>
          <w:bCs w:val="0"/>
          <w:color w:val="auto"/>
          <w:szCs w:val="24"/>
          <w:highlight w:val="none"/>
          <w:lang w:val="en-US" w:eastAsia="zh-CN"/>
        </w:rPr>
        <w:t>试验内容</w:t>
      </w:r>
      <w:bookmarkEnd w:id="16"/>
    </w:p>
    <w:p w14:paraId="29513CEC">
      <w:pPr>
        <w:pStyle w:val="5"/>
        <w:rPr>
          <w:rFonts w:ascii="Times New Roman" w:hAnsi="Times New Roman"/>
          <w:color w:val="auto"/>
          <w:highlight w:val="none"/>
        </w:rPr>
      </w:pPr>
      <w:r>
        <w:rPr>
          <w:rFonts w:hint="eastAsia" w:ascii="Times New Roman" w:hAnsi="Times New Roman"/>
          <w:color w:val="auto"/>
          <w:highlight w:val="none"/>
        </w:rPr>
        <w:t>通过随机、平行对照、多中心临床试验验证君蓓力作为肿瘤患者部分营养来源的临床安全性、营养充足性及特殊医学用途临床效果。</w:t>
      </w:r>
    </w:p>
    <w:p w14:paraId="3B48341B">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18" w:name="_Toc18201"/>
      <w:r>
        <w:rPr>
          <w:rFonts w:hint="eastAsia" w:ascii="Times New Roman" w:hAnsi="Times New Roman" w:cs="黑体"/>
          <w:b/>
          <w:bCs w:val="0"/>
          <w:color w:val="auto"/>
          <w:szCs w:val="24"/>
          <w:highlight w:val="none"/>
        </w:rPr>
        <w:t>主要目的</w:t>
      </w:r>
      <w:bookmarkEnd w:id="17"/>
      <w:bookmarkEnd w:id="18"/>
    </w:p>
    <w:p w14:paraId="50E33FF6">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观察试验用产品对前白蛋白的影响，评估并比较君蓓力与等能量对照产品（速熠素，特殊医学用途肿瘤全营养配方食品）对结直肠癌患者的营养充足性。</w:t>
      </w:r>
    </w:p>
    <w:p w14:paraId="4305444C">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val="0"/>
          <w:color w:val="auto"/>
          <w:szCs w:val="24"/>
          <w:highlight w:val="none"/>
        </w:rPr>
      </w:pPr>
      <w:bookmarkStart w:id="19" w:name="_Toc26480"/>
      <w:bookmarkStart w:id="20" w:name="_Toc16226"/>
      <w:r>
        <w:rPr>
          <w:rFonts w:hint="eastAsia" w:ascii="Times New Roman" w:hAnsi="Times New Roman" w:cs="黑体"/>
          <w:b/>
          <w:bCs w:val="0"/>
          <w:color w:val="auto"/>
          <w:szCs w:val="24"/>
          <w:highlight w:val="none"/>
        </w:rPr>
        <w:t>主要</w:t>
      </w:r>
      <w:r>
        <w:rPr>
          <w:rFonts w:hint="eastAsia" w:ascii="Times New Roman" w:hAnsi="Times New Roman" w:cs="黑体"/>
          <w:b/>
          <w:bCs w:val="0"/>
          <w:color w:val="auto"/>
          <w:szCs w:val="24"/>
          <w:highlight w:val="none"/>
          <w:lang w:val="en-US" w:eastAsia="zh-CN"/>
        </w:rPr>
        <w:t>疗效</w:t>
      </w:r>
      <w:r>
        <w:rPr>
          <w:rFonts w:hint="eastAsia" w:ascii="Times New Roman" w:hAnsi="Times New Roman" w:cs="黑体"/>
          <w:b/>
          <w:bCs w:val="0"/>
          <w:color w:val="auto"/>
          <w:szCs w:val="24"/>
          <w:highlight w:val="none"/>
        </w:rPr>
        <w:t>指标</w:t>
      </w:r>
      <w:bookmarkEnd w:id="19"/>
      <w:bookmarkEnd w:id="20"/>
    </w:p>
    <w:p w14:paraId="11076879">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于基线（第0(±1)天空腹状态）、末次访视（第21(±1)天空腹状态）收集前白蛋白的数据。比较两组末次访视与基线前白蛋白的水平变化。</w:t>
      </w:r>
    </w:p>
    <w:p w14:paraId="7E9070EF">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Δ前白蛋白=前白蛋白</w:t>
      </w:r>
      <w:r>
        <w:rPr>
          <w:rFonts w:hint="eastAsia" w:ascii="Times New Roman" w:hAnsi="Times New Roman" w:cs="宋体" w:eastAsiaTheme="minorEastAsia"/>
          <w:color w:val="auto"/>
          <w:highlight w:val="none"/>
          <w:vertAlign w:val="subscript"/>
        </w:rPr>
        <w:t>（</w:t>
      </w:r>
      <w:r>
        <w:rPr>
          <w:rFonts w:hint="eastAsia" w:ascii="Times New Roman" w:hAnsi="Times New Roman" w:cs="宋体" w:eastAsiaTheme="minorEastAsia"/>
          <w:color w:val="auto"/>
          <w:highlight w:val="none"/>
          <w:vertAlign w:val="subscript"/>
          <w:lang w:val="en-US" w:eastAsia="zh-CN"/>
        </w:rPr>
        <w:t>末次访视，</w:t>
      </w:r>
      <w:r>
        <w:rPr>
          <w:rFonts w:hint="eastAsia" w:ascii="Times New Roman" w:hAnsi="Times New Roman" w:cs="宋体" w:eastAsiaTheme="minorEastAsia"/>
          <w:color w:val="auto"/>
          <w:highlight w:val="none"/>
          <w:vertAlign w:val="subscript"/>
        </w:rPr>
        <w:t>第21(±1)天</w:t>
      </w:r>
      <w:r>
        <w:rPr>
          <w:rFonts w:hint="eastAsia" w:ascii="Times New Roman" w:hAnsi="Times New Roman" w:cs="宋体" w:eastAsiaTheme="minorEastAsia"/>
          <w:color w:val="auto"/>
          <w:highlight w:val="none"/>
          <w:vertAlign w:val="subscript"/>
          <w:lang w:val="en-US" w:eastAsia="zh-CN"/>
        </w:rPr>
        <w:t>空腹状态</w:t>
      </w:r>
      <w:r>
        <w:rPr>
          <w:rFonts w:hint="eastAsia" w:ascii="Times New Roman" w:hAnsi="Times New Roman" w:cs="宋体" w:eastAsiaTheme="minorEastAsia"/>
          <w:color w:val="auto"/>
          <w:highlight w:val="none"/>
          <w:vertAlign w:val="subscript"/>
        </w:rPr>
        <w:t>）</w:t>
      </w:r>
      <w:r>
        <w:rPr>
          <w:rFonts w:hint="eastAsia" w:ascii="Times New Roman" w:hAnsi="Times New Roman" w:cs="宋体"/>
          <w:color w:val="auto"/>
          <w:highlight w:val="none"/>
        </w:rPr>
        <w:t>-前白蛋白</w:t>
      </w:r>
      <w:r>
        <w:rPr>
          <w:rFonts w:hint="eastAsia" w:ascii="Times New Roman" w:hAnsi="Times New Roman" w:cs="宋体" w:eastAsiaTheme="minorEastAsia"/>
          <w:color w:val="auto"/>
          <w:highlight w:val="none"/>
          <w:vertAlign w:val="subscript"/>
        </w:rPr>
        <w:t>（基线，第</w:t>
      </w:r>
      <w:r>
        <w:rPr>
          <w:rFonts w:hint="eastAsia" w:cs="宋体" w:eastAsiaTheme="minorEastAsia"/>
          <w:color w:val="auto"/>
          <w:highlight w:val="none"/>
          <w:vertAlign w:val="subscript"/>
          <w:lang w:eastAsia="zh-CN"/>
        </w:rPr>
        <w:t>0(±1)</w:t>
      </w:r>
      <w:r>
        <w:rPr>
          <w:rFonts w:hint="eastAsia" w:ascii="Times New Roman" w:hAnsi="Times New Roman" w:cs="宋体" w:eastAsiaTheme="minorEastAsia"/>
          <w:color w:val="auto"/>
          <w:highlight w:val="none"/>
          <w:vertAlign w:val="subscript"/>
        </w:rPr>
        <w:t>天空腹状态）</w:t>
      </w:r>
    </w:p>
    <w:p w14:paraId="390AC75F">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21" w:name="_Toc30867"/>
      <w:bookmarkStart w:id="22" w:name="_Toc20731"/>
      <w:r>
        <w:rPr>
          <w:rFonts w:hint="eastAsia" w:ascii="Times New Roman" w:hAnsi="Times New Roman" w:cs="黑体"/>
          <w:b/>
          <w:bCs w:val="0"/>
          <w:color w:val="auto"/>
          <w:szCs w:val="24"/>
          <w:highlight w:val="none"/>
        </w:rPr>
        <w:t>次要目的</w:t>
      </w:r>
      <w:bookmarkEnd w:id="21"/>
      <w:bookmarkEnd w:id="22"/>
    </w:p>
    <w:p w14:paraId="2B44972F">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与等能量对照产品相比，评估君蓓力对结直肠癌患者的临床安全性、营养充足性及特殊医学用途临床效果，包括营养充足性指标、肌肉指标、炎症相关指标、免疫相关指标、代谢相关指标和临床结局指标等。</w:t>
      </w:r>
    </w:p>
    <w:p w14:paraId="1F74F2A7">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val="0"/>
          <w:color w:val="auto"/>
          <w:szCs w:val="24"/>
          <w:highlight w:val="none"/>
        </w:rPr>
      </w:pPr>
      <w:bookmarkStart w:id="23" w:name="_Toc25877"/>
      <w:bookmarkStart w:id="24" w:name="_Toc29529"/>
      <w:r>
        <w:rPr>
          <w:rFonts w:hint="eastAsia" w:ascii="Times New Roman" w:hAnsi="Times New Roman" w:cs="黑体"/>
          <w:b/>
          <w:bCs w:val="0"/>
          <w:color w:val="auto"/>
          <w:szCs w:val="24"/>
          <w:highlight w:val="none"/>
        </w:rPr>
        <w:t>次要</w:t>
      </w:r>
      <w:r>
        <w:rPr>
          <w:rFonts w:hint="eastAsia" w:ascii="Times New Roman" w:hAnsi="Times New Roman" w:cs="黑体"/>
          <w:b/>
          <w:bCs w:val="0"/>
          <w:color w:val="auto"/>
          <w:szCs w:val="24"/>
          <w:highlight w:val="none"/>
          <w:lang w:val="en-US" w:eastAsia="zh-CN"/>
        </w:rPr>
        <w:t>疗效</w:t>
      </w:r>
      <w:r>
        <w:rPr>
          <w:rFonts w:hint="eastAsia" w:ascii="Times New Roman" w:hAnsi="Times New Roman" w:cs="黑体"/>
          <w:b/>
          <w:bCs w:val="0"/>
          <w:color w:val="auto"/>
          <w:szCs w:val="24"/>
          <w:highlight w:val="none"/>
        </w:rPr>
        <w:t>指标</w:t>
      </w:r>
      <w:bookmarkEnd w:id="23"/>
      <w:bookmarkEnd w:id="24"/>
      <w:bookmarkStart w:id="232" w:name="_GoBack"/>
      <w:bookmarkEnd w:id="232"/>
    </w:p>
    <w:p w14:paraId="37E46FDF">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olor w:val="auto"/>
          <w:highlight w:val="none"/>
        </w:rPr>
      </w:pPr>
      <w:r>
        <w:rPr>
          <w:rFonts w:hint="eastAsia" w:ascii="Times New Roman" w:hAnsi="Times New Roman"/>
          <w:color w:val="auto"/>
          <w:highlight w:val="none"/>
        </w:rPr>
        <w:t>于基线（</w:t>
      </w:r>
      <w:r>
        <w:rPr>
          <w:rFonts w:hint="eastAsia" w:ascii="Times New Roman" w:hAnsi="Times New Roman" w:cs="宋体"/>
          <w:color w:val="auto"/>
          <w:highlight w:val="none"/>
        </w:rPr>
        <w:t>第</w:t>
      </w:r>
      <w:r>
        <w:rPr>
          <w:rFonts w:hint="eastAsia" w:cs="宋体"/>
          <w:color w:val="auto"/>
          <w:highlight w:val="none"/>
          <w:lang w:eastAsia="zh-CN"/>
        </w:rPr>
        <w:t>0(±1)</w:t>
      </w:r>
      <w:r>
        <w:rPr>
          <w:rFonts w:hint="eastAsia" w:ascii="Times New Roman" w:hAnsi="Times New Roman" w:cs="宋体"/>
          <w:color w:val="auto"/>
          <w:highlight w:val="none"/>
        </w:rPr>
        <w:t>天空腹状态</w:t>
      </w:r>
      <w:r>
        <w:rPr>
          <w:rFonts w:hint="eastAsia" w:ascii="Times New Roman" w:hAnsi="Times New Roman"/>
          <w:color w:val="auto"/>
          <w:highlight w:val="none"/>
        </w:rPr>
        <w:t>）、末次访视（第21(±1)天空腹状态）收集以下数据，比较两组末次访视与基线次要指标的水平变化。</w:t>
      </w:r>
    </w:p>
    <w:p w14:paraId="4C79D548">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hint="eastAsia" w:ascii="Times New Roman" w:hAnsi="Times New Roman" w:cs="宋体"/>
          <w:color w:val="auto"/>
          <w:highlight w:val="none"/>
        </w:rPr>
      </w:pPr>
      <w:r>
        <w:rPr>
          <w:rFonts w:hint="eastAsia" w:ascii="Times New Roman" w:hAnsi="Times New Roman" w:cs="宋体"/>
          <w:color w:val="auto"/>
          <w:highlight w:val="none"/>
        </w:rPr>
        <w:t>营养充足性指标：体重、血清白蛋白、血红蛋白</w:t>
      </w:r>
    </w:p>
    <w:p w14:paraId="79BF8AF9">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hint="eastAsia" w:ascii="Times New Roman" w:hAnsi="Times New Roman" w:cs="宋体"/>
          <w:color w:val="auto"/>
          <w:highlight w:val="none"/>
        </w:rPr>
      </w:pPr>
      <w:r>
        <w:rPr>
          <w:rFonts w:hint="eastAsia" w:ascii="Times New Roman" w:hAnsi="Times New Roman" w:cs="宋体"/>
          <w:color w:val="auto"/>
          <w:highlight w:val="none"/>
        </w:rPr>
        <w:t>特殊医学用途临床效果指标：</w:t>
      </w:r>
    </w:p>
    <w:p w14:paraId="3AF9027C">
      <w:pPr>
        <w:pStyle w:val="5"/>
        <w:keepNext w:val="0"/>
        <w:keepLines w:val="0"/>
        <w:pageBreakBefore w:val="0"/>
        <w:widowControl w:val="0"/>
        <w:numPr>
          <w:ilvl w:val="1"/>
          <w:numId w:val="3"/>
        </w:numPr>
        <w:tabs>
          <w:tab w:val="left" w:pos="420"/>
        </w:tabs>
        <w:kinsoku/>
        <w:wordWrap/>
        <w:overflowPunct/>
        <w:topLinePunct w:val="0"/>
        <w:autoSpaceDE/>
        <w:autoSpaceDN/>
        <w:bidi w:val="0"/>
        <w:adjustRightInd/>
        <w:snapToGrid/>
        <w:ind w:left="633" w:leftChars="104" w:hanging="415" w:hangingChars="198"/>
        <w:textAlignment w:val="auto"/>
        <w:rPr>
          <w:rFonts w:hint="eastAsia" w:ascii="Times New Roman" w:hAnsi="Times New Roman" w:cs="宋体"/>
          <w:color w:val="auto"/>
          <w:highlight w:val="none"/>
          <w:lang w:val="en-US" w:eastAsia="zh-CN"/>
        </w:rPr>
      </w:pPr>
      <w:r>
        <w:rPr>
          <w:rFonts w:hint="eastAsia" w:ascii="Times New Roman" w:hAnsi="Times New Roman" w:cs="宋体"/>
          <w:color w:val="auto"/>
          <w:highlight w:val="none"/>
          <w:lang w:val="en-US" w:eastAsia="zh-CN"/>
        </w:rPr>
        <w:t>肌肉指标：握力、肌肉量、骨骼肌、去脂体重指数</w:t>
      </w:r>
    </w:p>
    <w:p w14:paraId="1C2F7481">
      <w:pPr>
        <w:pStyle w:val="5"/>
        <w:keepNext w:val="0"/>
        <w:keepLines w:val="0"/>
        <w:pageBreakBefore w:val="0"/>
        <w:widowControl w:val="0"/>
        <w:numPr>
          <w:ilvl w:val="1"/>
          <w:numId w:val="3"/>
        </w:numPr>
        <w:tabs>
          <w:tab w:val="left" w:pos="420"/>
        </w:tabs>
        <w:kinsoku/>
        <w:wordWrap/>
        <w:overflowPunct/>
        <w:topLinePunct w:val="0"/>
        <w:autoSpaceDE/>
        <w:autoSpaceDN/>
        <w:bidi w:val="0"/>
        <w:adjustRightInd/>
        <w:snapToGrid/>
        <w:ind w:left="633" w:leftChars="104" w:hanging="415" w:hangingChars="198"/>
        <w:textAlignment w:val="auto"/>
        <w:rPr>
          <w:rFonts w:hint="eastAsia" w:ascii="Times New Roman" w:hAnsi="Times New Roman" w:cs="宋体"/>
          <w:color w:val="auto"/>
          <w:highlight w:val="none"/>
          <w:lang w:val="en-US" w:eastAsia="zh-CN"/>
        </w:rPr>
      </w:pPr>
      <w:r>
        <w:rPr>
          <w:rFonts w:hint="eastAsia" w:ascii="Times New Roman" w:hAnsi="Times New Roman" w:cs="宋体"/>
          <w:color w:val="auto"/>
          <w:highlight w:val="none"/>
          <w:lang w:val="en-US" w:eastAsia="zh-CN"/>
        </w:rPr>
        <w:t>炎性相关指标：C反应蛋白</w:t>
      </w:r>
    </w:p>
    <w:p w14:paraId="33175FC2">
      <w:pPr>
        <w:pStyle w:val="5"/>
        <w:keepNext w:val="0"/>
        <w:keepLines w:val="0"/>
        <w:pageBreakBefore w:val="0"/>
        <w:widowControl w:val="0"/>
        <w:numPr>
          <w:ilvl w:val="1"/>
          <w:numId w:val="3"/>
        </w:numPr>
        <w:tabs>
          <w:tab w:val="left" w:pos="420"/>
        </w:tabs>
        <w:kinsoku/>
        <w:wordWrap/>
        <w:overflowPunct/>
        <w:topLinePunct w:val="0"/>
        <w:autoSpaceDE/>
        <w:autoSpaceDN/>
        <w:bidi w:val="0"/>
        <w:adjustRightInd/>
        <w:snapToGrid/>
        <w:ind w:left="633" w:leftChars="104" w:hanging="415" w:hangingChars="198"/>
        <w:textAlignment w:val="auto"/>
        <w:rPr>
          <w:rFonts w:hint="eastAsia" w:ascii="Times New Roman" w:hAnsi="Times New Roman" w:cs="宋体"/>
          <w:color w:val="auto"/>
          <w:highlight w:val="none"/>
          <w:lang w:val="en-US" w:eastAsia="zh-CN"/>
        </w:rPr>
      </w:pPr>
      <w:r>
        <w:rPr>
          <w:rFonts w:hint="eastAsia" w:ascii="Times New Roman" w:hAnsi="Times New Roman" w:cs="宋体"/>
          <w:color w:val="auto"/>
          <w:highlight w:val="none"/>
          <w:lang w:val="en-US" w:eastAsia="zh-CN"/>
        </w:rPr>
        <w:t>免疫相关指标：中性粒细胞/淋巴细胞比值</w:t>
      </w:r>
    </w:p>
    <w:p w14:paraId="099BD01D">
      <w:pPr>
        <w:pStyle w:val="5"/>
        <w:keepNext w:val="0"/>
        <w:keepLines w:val="0"/>
        <w:pageBreakBefore w:val="0"/>
        <w:widowControl w:val="0"/>
        <w:numPr>
          <w:ilvl w:val="1"/>
          <w:numId w:val="3"/>
        </w:numPr>
        <w:tabs>
          <w:tab w:val="left" w:pos="420"/>
        </w:tabs>
        <w:kinsoku/>
        <w:wordWrap/>
        <w:overflowPunct/>
        <w:topLinePunct w:val="0"/>
        <w:autoSpaceDE/>
        <w:autoSpaceDN/>
        <w:bidi w:val="0"/>
        <w:adjustRightInd/>
        <w:snapToGrid/>
        <w:ind w:left="633" w:leftChars="104" w:hanging="415" w:hangingChars="198"/>
        <w:textAlignment w:val="auto"/>
        <w:rPr>
          <w:rFonts w:hint="eastAsia" w:ascii="Times New Roman" w:hAnsi="Times New Roman" w:cs="宋体"/>
          <w:color w:val="auto"/>
          <w:highlight w:val="none"/>
          <w:lang w:val="en-US" w:eastAsia="zh-CN"/>
        </w:rPr>
      </w:pPr>
      <w:r>
        <w:rPr>
          <w:rFonts w:hint="eastAsia" w:ascii="Times New Roman" w:hAnsi="Times New Roman" w:cs="宋体"/>
          <w:color w:val="auto"/>
          <w:highlight w:val="none"/>
          <w:lang w:val="en-US" w:eastAsia="zh-CN"/>
        </w:rPr>
        <w:t>代谢相关指标：空腹胰岛素、空腹血糖、空腹血脂</w:t>
      </w:r>
    </w:p>
    <w:p w14:paraId="21C929C6">
      <w:pPr>
        <w:pStyle w:val="5"/>
        <w:keepNext w:val="0"/>
        <w:keepLines w:val="0"/>
        <w:pageBreakBefore w:val="0"/>
        <w:widowControl w:val="0"/>
        <w:numPr>
          <w:ilvl w:val="1"/>
          <w:numId w:val="3"/>
        </w:numPr>
        <w:tabs>
          <w:tab w:val="left" w:pos="420"/>
        </w:tabs>
        <w:kinsoku/>
        <w:wordWrap/>
        <w:overflowPunct/>
        <w:topLinePunct w:val="0"/>
        <w:autoSpaceDE/>
        <w:autoSpaceDN/>
        <w:bidi w:val="0"/>
        <w:adjustRightInd/>
        <w:snapToGrid/>
        <w:ind w:left="633" w:leftChars="104" w:hanging="415" w:hangingChars="198"/>
        <w:textAlignment w:val="auto"/>
        <w:rPr>
          <w:rFonts w:hint="eastAsia" w:ascii="Times New Roman" w:hAnsi="Times New Roman" w:cs="宋体"/>
          <w:color w:val="auto"/>
          <w:highlight w:val="none"/>
          <w:lang w:val="en-US" w:eastAsia="zh-CN"/>
        </w:rPr>
      </w:pPr>
      <w:r>
        <w:rPr>
          <w:rFonts w:hint="eastAsia" w:ascii="Times New Roman" w:hAnsi="Times New Roman" w:cs="宋体"/>
          <w:color w:val="auto"/>
          <w:highlight w:val="none"/>
          <w:lang w:val="en-US" w:eastAsia="zh-CN"/>
        </w:rPr>
        <w:t>临床结局指标：生活质量SF-12量表</w:t>
      </w:r>
    </w:p>
    <w:p w14:paraId="2F5C2CEA">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val="0"/>
          <w:color w:val="auto"/>
          <w:szCs w:val="24"/>
          <w:highlight w:val="none"/>
        </w:rPr>
      </w:pPr>
      <w:bookmarkStart w:id="25" w:name="_Toc12650"/>
      <w:bookmarkStart w:id="26" w:name="_Toc25923"/>
      <w:r>
        <w:rPr>
          <w:rFonts w:hint="eastAsia" w:ascii="Times New Roman" w:hAnsi="Times New Roman" w:cs="黑体"/>
          <w:b/>
          <w:bCs w:val="0"/>
          <w:color w:val="auto"/>
          <w:szCs w:val="24"/>
          <w:highlight w:val="none"/>
          <w:lang w:eastAsia="zh-CN"/>
        </w:rPr>
        <w:t>临床安全性</w:t>
      </w:r>
      <w:r>
        <w:rPr>
          <w:rFonts w:hint="eastAsia" w:ascii="Times New Roman" w:hAnsi="Times New Roman" w:cs="黑体"/>
          <w:b/>
          <w:bCs w:val="0"/>
          <w:color w:val="auto"/>
          <w:szCs w:val="24"/>
          <w:highlight w:val="none"/>
        </w:rPr>
        <w:t>指标</w:t>
      </w:r>
      <w:bookmarkEnd w:id="25"/>
      <w:bookmarkEnd w:id="26"/>
    </w:p>
    <w:p w14:paraId="3D589306">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rPr>
        <w:t>生命体征</w:t>
      </w:r>
      <w:r>
        <w:rPr>
          <w:rFonts w:hint="eastAsia" w:ascii="Times New Roman" w:hAnsi="Times New Roman" w:cs="宋体"/>
          <w:color w:val="auto"/>
          <w:szCs w:val="21"/>
          <w:highlight w:val="none"/>
          <w:lang w:eastAsia="zh-CN"/>
        </w:rPr>
        <w:t>（</w:t>
      </w:r>
      <w:r>
        <w:rPr>
          <w:rFonts w:hint="eastAsia" w:ascii="Times New Roman" w:hAnsi="Times New Roman" w:eastAsia="宋体" w:cs="宋体"/>
          <w:color w:val="auto"/>
          <w:szCs w:val="21"/>
          <w:highlight w:val="none"/>
        </w:rPr>
        <w:t>体温</w:t>
      </w:r>
      <w:r>
        <w:rPr>
          <w:rFonts w:hint="eastAsia" w:ascii="Times New Roman" w:hAnsi="Times New Roman" w:cs="宋体"/>
          <w:color w:val="auto"/>
          <w:szCs w:val="21"/>
          <w:highlight w:val="none"/>
          <w:lang w:eastAsia="zh-CN"/>
        </w:rPr>
        <w:t>、脉搏</w:t>
      </w:r>
      <w:r>
        <w:rPr>
          <w:rFonts w:hint="eastAsia" w:ascii="Times New Roman" w:hAnsi="Times New Roman" w:eastAsia="宋体" w:cs="宋体"/>
          <w:color w:val="auto"/>
          <w:szCs w:val="21"/>
          <w:highlight w:val="none"/>
        </w:rPr>
        <w:t>、</w:t>
      </w:r>
      <w:r>
        <w:rPr>
          <w:rFonts w:hint="eastAsia" w:ascii="Times New Roman" w:hAnsi="Times New Roman" w:cs="宋体"/>
          <w:color w:val="auto"/>
          <w:szCs w:val="21"/>
          <w:highlight w:val="none"/>
          <w:lang w:val="en-US" w:eastAsia="zh-CN"/>
        </w:rPr>
        <w:t>呼吸</w:t>
      </w:r>
      <w:r>
        <w:rPr>
          <w:rFonts w:hint="eastAsia" w:ascii="Times New Roman" w:hAnsi="Times New Roman" w:eastAsia="宋体" w:cs="宋体"/>
          <w:color w:val="auto"/>
          <w:szCs w:val="21"/>
          <w:highlight w:val="none"/>
        </w:rPr>
        <w:t>、血压</w:t>
      </w:r>
      <w:r>
        <w:rPr>
          <w:rFonts w:hint="eastAsia" w:ascii="Times New Roman" w:hAnsi="Times New Roman" w:cs="宋体"/>
          <w:color w:val="auto"/>
          <w:szCs w:val="21"/>
          <w:highlight w:val="none"/>
          <w:lang w:eastAsia="zh-CN"/>
        </w:rPr>
        <w:t>）</w:t>
      </w:r>
    </w:p>
    <w:p w14:paraId="0AB14A7A">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rPr>
        <w:t>实验室指标</w:t>
      </w:r>
    </w:p>
    <w:p w14:paraId="5888E067">
      <w:pPr>
        <w:pStyle w:val="5"/>
        <w:keepNext w:val="0"/>
        <w:keepLines w:val="0"/>
        <w:pageBreakBefore w:val="0"/>
        <w:widowControl w:val="0"/>
        <w:numPr>
          <w:ilvl w:val="1"/>
          <w:numId w:val="3"/>
        </w:numPr>
        <w:tabs>
          <w:tab w:val="left" w:pos="640"/>
        </w:tabs>
        <w:kinsoku/>
        <w:wordWrap/>
        <w:overflowPunct/>
        <w:topLinePunct w:val="0"/>
        <w:autoSpaceDE/>
        <w:autoSpaceDN/>
        <w:bidi w:val="0"/>
        <w:adjustRightInd/>
        <w:snapToGrid/>
        <w:ind w:left="636" w:leftChars="210" w:hanging="195" w:hangingChars="93"/>
        <w:textAlignment w:val="auto"/>
        <w:rPr>
          <w:rFonts w:ascii="Times New Roman" w:hAnsi="Times New Roman" w:cs="宋体"/>
          <w:color w:val="auto"/>
          <w:highlight w:val="none"/>
        </w:rPr>
      </w:pPr>
      <w:r>
        <w:rPr>
          <w:rFonts w:hint="eastAsia" w:ascii="Times New Roman" w:hAnsi="Times New Roman" w:cs="宋体"/>
          <w:color w:val="auto"/>
          <w:highlight w:val="none"/>
        </w:rPr>
        <w:t>血常规：血红蛋白、红细胞计数、血小板计数、白细胞计数及分类（包括中性粒细胞、嗜酸性粒细胞、嗜碱性粒细胞、淋巴细胞和单核细胞）</w:t>
      </w:r>
    </w:p>
    <w:p w14:paraId="5D2C4BA8">
      <w:pPr>
        <w:pStyle w:val="5"/>
        <w:keepNext w:val="0"/>
        <w:keepLines w:val="0"/>
        <w:pageBreakBefore w:val="0"/>
        <w:widowControl w:val="0"/>
        <w:numPr>
          <w:ilvl w:val="1"/>
          <w:numId w:val="3"/>
        </w:numPr>
        <w:tabs>
          <w:tab w:val="left" w:pos="640"/>
        </w:tabs>
        <w:kinsoku/>
        <w:wordWrap/>
        <w:overflowPunct/>
        <w:topLinePunct w:val="0"/>
        <w:autoSpaceDE/>
        <w:autoSpaceDN/>
        <w:bidi w:val="0"/>
        <w:adjustRightInd/>
        <w:snapToGrid/>
        <w:ind w:left="636" w:leftChars="210" w:hanging="195" w:hangingChars="93"/>
        <w:textAlignment w:val="auto"/>
        <w:rPr>
          <w:rFonts w:ascii="Times New Roman" w:hAnsi="Times New Roman" w:cs="宋体"/>
          <w:color w:val="auto"/>
          <w:highlight w:val="none"/>
        </w:rPr>
      </w:pPr>
      <w:r>
        <w:rPr>
          <w:rFonts w:hint="eastAsia" w:ascii="Times New Roman" w:hAnsi="Times New Roman" w:cs="宋体"/>
          <w:color w:val="auto"/>
          <w:highlight w:val="none"/>
          <w:lang w:val="en-US" w:eastAsia="zh-CN"/>
        </w:rPr>
        <w:t>血生化：</w:t>
      </w:r>
    </w:p>
    <w:p w14:paraId="5BE956F8">
      <w:pPr>
        <w:pStyle w:val="5"/>
        <w:keepNext w:val="0"/>
        <w:keepLines w:val="0"/>
        <w:pageBreakBefore w:val="0"/>
        <w:widowControl w:val="0"/>
        <w:numPr>
          <w:ilvl w:val="0"/>
          <w:numId w:val="0"/>
        </w:numPr>
        <w:tabs>
          <w:tab w:val="left" w:pos="640"/>
        </w:tabs>
        <w:kinsoku/>
        <w:wordWrap/>
        <w:overflowPunct/>
        <w:topLinePunct w:val="0"/>
        <w:autoSpaceDE/>
        <w:autoSpaceDN/>
        <w:bidi w:val="0"/>
        <w:adjustRightInd/>
        <w:snapToGrid/>
        <w:ind w:leftChars="117" w:firstLine="420" w:firstLineChars="200"/>
        <w:textAlignment w:val="auto"/>
        <w:rPr>
          <w:rFonts w:hint="eastAsia" w:ascii="Times New Roman" w:hAnsi="Times New Roman" w:cs="宋体"/>
          <w:color w:val="auto"/>
          <w:highlight w:val="none"/>
        </w:rPr>
      </w:pPr>
      <w:r>
        <w:rPr>
          <w:rFonts w:hint="eastAsia" w:ascii="Times New Roman" w:hAnsi="Times New Roman" w:cs="宋体"/>
          <w:color w:val="auto"/>
          <w:highlight w:val="none"/>
        </w:rPr>
        <w:t>肝功能：谷丙转氨酶、谷草转氨酶、总胆红素</w:t>
      </w:r>
    </w:p>
    <w:p w14:paraId="6F2D7B30">
      <w:pPr>
        <w:pStyle w:val="5"/>
        <w:keepNext w:val="0"/>
        <w:keepLines w:val="0"/>
        <w:pageBreakBefore w:val="0"/>
        <w:widowControl w:val="0"/>
        <w:numPr>
          <w:ilvl w:val="0"/>
          <w:numId w:val="0"/>
        </w:numPr>
        <w:tabs>
          <w:tab w:val="left" w:pos="640"/>
        </w:tabs>
        <w:kinsoku/>
        <w:wordWrap/>
        <w:overflowPunct/>
        <w:topLinePunct w:val="0"/>
        <w:autoSpaceDE/>
        <w:autoSpaceDN/>
        <w:bidi w:val="0"/>
        <w:adjustRightInd/>
        <w:snapToGrid/>
        <w:ind w:leftChars="117" w:firstLine="420" w:firstLineChars="200"/>
        <w:textAlignment w:val="auto"/>
        <w:rPr>
          <w:rFonts w:hint="eastAsia" w:ascii="Times New Roman" w:hAnsi="Times New Roman" w:eastAsia="宋体" w:cs="宋体"/>
          <w:color w:val="auto"/>
          <w:highlight w:val="none"/>
          <w:lang w:eastAsia="zh-CN"/>
        </w:rPr>
      </w:pPr>
      <w:r>
        <w:rPr>
          <w:rFonts w:hint="eastAsia" w:ascii="Times New Roman" w:hAnsi="Times New Roman" w:cs="宋体"/>
          <w:color w:val="auto"/>
          <w:highlight w:val="none"/>
        </w:rPr>
        <w:t>肾</w:t>
      </w:r>
      <w:r>
        <w:rPr>
          <w:rFonts w:hint="eastAsia" w:ascii="Times New Roman" w:hAnsi="Times New Roman" w:cs="宋体"/>
          <w:color w:val="auto"/>
          <w:highlight w:val="none"/>
          <w:lang w:val="en-US" w:eastAsia="zh-CN"/>
        </w:rPr>
        <w:t>功能：</w:t>
      </w:r>
      <w:r>
        <w:rPr>
          <w:rFonts w:hint="eastAsia" w:ascii="Times New Roman" w:hAnsi="Times New Roman" w:cs="宋体"/>
          <w:color w:val="auto"/>
          <w:highlight w:val="none"/>
        </w:rPr>
        <w:t>肌酐、</w:t>
      </w:r>
      <w:r>
        <w:rPr>
          <w:rFonts w:hint="eastAsia" w:ascii="Times New Roman" w:hAnsi="Times New Roman" w:cs="宋体"/>
          <w:color w:val="auto"/>
          <w:highlight w:val="none"/>
          <w:lang w:eastAsia="zh-CN"/>
        </w:rPr>
        <w:t>尿素氮/尿素</w:t>
      </w:r>
    </w:p>
    <w:p w14:paraId="22F4C41A">
      <w:pPr>
        <w:pStyle w:val="5"/>
        <w:keepNext w:val="0"/>
        <w:keepLines w:val="0"/>
        <w:pageBreakBefore w:val="0"/>
        <w:widowControl w:val="0"/>
        <w:numPr>
          <w:ilvl w:val="0"/>
          <w:numId w:val="0"/>
        </w:numPr>
        <w:tabs>
          <w:tab w:val="left" w:pos="640"/>
        </w:tabs>
        <w:kinsoku/>
        <w:wordWrap/>
        <w:overflowPunct/>
        <w:topLinePunct w:val="0"/>
        <w:autoSpaceDE/>
        <w:autoSpaceDN/>
        <w:bidi w:val="0"/>
        <w:adjustRightInd/>
        <w:snapToGrid/>
        <w:ind w:leftChars="117" w:firstLine="420" w:firstLineChars="200"/>
        <w:textAlignment w:val="auto"/>
        <w:rPr>
          <w:rFonts w:ascii="Times New Roman" w:hAnsi="Times New Roman" w:cs="宋体"/>
          <w:color w:val="auto"/>
          <w:highlight w:val="none"/>
        </w:rPr>
      </w:pPr>
      <w:r>
        <w:rPr>
          <w:rFonts w:hint="eastAsia" w:ascii="Times New Roman" w:hAnsi="Times New Roman" w:cs="宋体"/>
          <w:color w:val="auto"/>
          <w:highlight w:val="none"/>
        </w:rPr>
        <w:t>血脂全项：甘油三酯、总胆固醇、高密度脂蛋白、低密度脂蛋白</w:t>
      </w:r>
    </w:p>
    <w:p w14:paraId="117DCECF">
      <w:pPr>
        <w:pStyle w:val="5"/>
        <w:keepNext w:val="0"/>
        <w:keepLines w:val="0"/>
        <w:pageBreakBefore w:val="0"/>
        <w:widowControl w:val="0"/>
        <w:numPr>
          <w:ilvl w:val="1"/>
          <w:numId w:val="3"/>
        </w:numPr>
        <w:tabs>
          <w:tab w:val="left" w:pos="640"/>
        </w:tabs>
        <w:kinsoku/>
        <w:wordWrap/>
        <w:overflowPunct/>
        <w:topLinePunct w:val="0"/>
        <w:autoSpaceDE/>
        <w:autoSpaceDN/>
        <w:bidi w:val="0"/>
        <w:adjustRightInd/>
        <w:snapToGrid/>
        <w:ind w:left="636" w:leftChars="210" w:hanging="195" w:hangingChars="93"/>
        <w:textAlignment w:val="auto"/>
        <w:rPr>
          <w:rFonts w:ascii="Times New Roman" w:hAnsi="Times New Roman" w:cs="宋体"/>
          <w:color w:val="auto"/>
          <w:highlight w:val="none"/>
        </w:rPr>
      </w:pPr>
      <w:r>
        <w:rPr>
          <w:rFonts w:hint="eastAsia" w:ascii="Times New Roman" w:hAnsi="Times New Roman" w:cs="宋体"/>
          <w:color w:val="auto"/>
          <w:highlight w:val="none"/>
        </w:rPr>
        <w:t>尿常规：尿酮体、尿蛋白、尿糖、尿红细胞、尿白细胞</w:t>
      </w:r>
    </w:p>
    <w:p w14:paraId="62F036D6">
      <w:pPr>
        <w:pStyle w:val="5"/>
        <w:keepNext w:val="0"/>
        <w:keepLines w:val="0"/>
        <w:pageBreakBefore w:val="0"/>
        <w:widowControl w:val="0"/>
        <w:numPr>
          <w:ilvl w:val="1"/>
          <w:numId w:val="3"/>
        </w:numPr>
        <w:tabs>
          <w:tab w:val="left" w:pos="640"/>
        </w:tabs>
        <w:kinsoku/>
        <w:wordWrap/>
        <w:overflowPunct/>
        <w:topLinePunct w:val="0"/>
        <w:autoSpaceDE/>
        <w:autoSpaceDN/>
        <w:bidi w:val="0"/>
        <w:adjustRightInd/>
        <w:snapToGrid/>
        <w:ind w:left="636" w:leftChars="210" w:hanging="195" w:hangingChars="93"/>
        <w:textAlignment w:val="auto"/>
        <w:rPr>
          <w:rFonts w:ascii="Times New Roman" w:hAnsi="Times New Roman" w:cs="宋体"/>
          <w:color w:val="auto"/>
          <w:highlight w:val="none"/>
        </w:rPr>
      </w:pPr>
      <w:r>
        <w:rPr>
          <w:rFonts w:hint="eastAsia" w:ascii="Times New Roman" w:hAnsi="Times New Roman" w:cs="宋体"/>
          <w:color w:val="auto"/>
          <w:highlight w:val="none"/>
        </w:rPr>
        <w:t>空腹血糖</w:t>
      </w:r>
    </w:p>
    <w:p w14:paraId="1F579F5A">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rPr>
        <w:t>消化道不耐受反应（包括恶心、呕吐、腹泻、腹痛、腹胀、便秘）的发生率</w:t>
      </w:r>
    </w:p>
    <w:p w14:paraId="66E8C835">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rPr>
        <w:t>自签署知情同意书起至末次访视期间记录不良事件和严重不良事件</w:t>
      </w:r>
    </w:p>
    <w:p w14:paraId="7E90087A">
      <w:pPr>
        <w:pStyle w:val="3"/>
        <w:keepNext w:val="0"/>
        <w:keepLines w:val="0"/>
        <w:pageBreakBefore w:val="0"/>
        <w:widowControl w:val="0"/>
        <w:numPr>
          <w:ilvl w:val="0"/>
          <w:numId w:val="1"/>
        </w:numPr>
        <w:kinsoku/>
        <w:wordWrap/>
        <w:overflowPunct/>
        <w:topLinePunct w:val="0"/>
        <w:autoSpaceDE/>
        <w:autoSpaceDN/>
        <w:bidi w:val="0"/>
        <w:adjustRightInd/>
        <w:snapToGrid/>
        <w:spacing w:before="0" w:line="240" w:lineRule="auto"/>
        <w:textAlignment w:val="auto"/>
        <w:rPr>
          <w:rFonts w:ascii="Times New Roman" w:hAnsi="Times New Roman" w:cs="黑体"/>
          <w:b/>
          <w:bCs/>
          <w:color w:val="auto"/>
          <w:szCs w:val="28"/>
          <w:highlight w:val="none"/>
        </w:rPr>
      </w:pPr>
      <w:bookmarkStart w:id="27" w:name="_Toc16416"/>
      <w:bookmarkStart w:id="28" w:name="_Toc25397"/>
      <w:r>
        <w:rPr>
          <w:rFonts w:hint="eastAsia" w:ascii="Times New Roman" w:hAnsi="Times New Roman" w:cs="黑体"/>
          <w:b/>
          <w:bCs/>
          <w:color w:val="auto"/>
          <w:szCs w:val="28"/>
          <w:highlight w:val="none"/>
          <w:lang w:eastAsia="zh-CN"/>
        </w:rPr>
        <w:t>试验</w:t>
      </w:r>
      <w:r>
        <w:rPr>
          <w:rFonts w:hint="eastAsia" w:ascii="Times New Roman" w:hAnsi="Times New Roman" w:cs="黑体"/>
          <w:b/>
          <w:bCs/>
          <w:color w:val="auto"/>
          <w:szCs w:val="28"/>
          <w:highlight w:val="none"/>
        </w:rPr>
        <w:t>设计</w:t>
      </w:r>
      <w:bookmarkEnd w:id="27"/>
      <w:bookmarkEnd w:id="28"/>
    </w:p>
    <w:p w14:paraId="2FC5D663">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lang w:val="en-US" w:eastAsia="zh-CN"/>
        </w:rPr>
        <w:t>本试验</w:t>
      </w:r>
      <w:r>
        <w:rPr>
          <w:rFonts w:hint="eastAsia" w:ascii="Times New Roman" w:hAnsi="Times New Roman" w:cs="宋体"/>
          <w:color w:val="auto"/>
          <w:highlight w:val="none"/>
        </w:rPr>
        <w:t>为多中心、随机、阳性对照、平行的开放性</w:t>
      </w:r>
      <w:r>
        <w:rPr>
          <w:rFonts w:hint="eastAsia" w:ascii="Times New Roman" w:hAnsi="Times New Roman" w:cs="宋体"/>
          <w:color w:val="auto"/>
          <w:highlight w:val="none"/>
          <w:lang w:eastAsia="zh-CN"/>
        </w:rPr>
        <w:t>临床试验</w:t>
      </w:r>
      <w:r>
        <w:rPr>
          <w:rFonts w:hint="eastAsia" w:ascii="Times New Roman" w:hAnsi="Times New Roman" w:cs="宋体"/>
          <w:color w:val="auto"/>
          <w:highlight w:val="none"/>
        </w:rPr>
        <w:t>。</w:t>
      </w:r>
    </w:p>
    <w:p w14:paraId="0D74D567">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本试验计划FAS人群共招募200名受试者，每组100名，考虑脱落率为20%，则每组应入组120例受试者，共入组240名受试者。评价君蓓力与对照产品</w:t>
      </w:r>
      <w:r>
        <w:rPr>
          <w:rFonts w:hint="eastAsia" w:ascii="Times New Roman" w:hAnsi="Times New Roman" w:cs="宋体"/>
          <w:color w:val="auto"/>
          <w:highlight w:val="none"/>
          <w:lang w:eastAsia="zh-CN"/>
        </w:rPr>
        <w:t>速熠素</w:t>
      </w:r>
      <w:r>
        <w:rPr>
          <w:rFonts w:hint="eastAsia" w:ascii="Times New Roman" w:hAnsi="Times New Roman" w:cs="宋体"/>
          <w:color w:val="auto"/>
          <w:highlight w:val="none"/>
        </w:rPr>
        <w:t>相比的</w:t>
      </w:r>
      <w:r>
        <w:rPr>
          <w:rFonts w:hint="eastAsia" w:ascii="Times New Roman" w:hAnsi="Times New Roman" w:cs="宋体"/>
          <w:color w:val="auto"/>
          <w:highlight w:val="none"/>
          <w:lang w:eastAsia="zh-CN"/>
        </w:rPr>
        <w:t>营养充足性</w:t>
      </w:r>
      <w:r>
        <w:rPr>
          <w:rFonts w:hint="eastAsia" w:ascii="Times New Roman" w:hAnsi="Times New Roman" w:cs="宋体"/>
          <w:color w:val="auto"/>
          <w:highlight w:val="none"/>
        </w:rPr>
        <w:t>，</w:t>
      </w:r>
      <w:r>
        <w:rPr>
          <w:rFonts w:hint="eastAsia" w:ascii="Times New Roman" w:hAnsi="Times New Roman" w:cs="宋体"/>
          <w:color w:val="auto"/>
          <w:highlight w:val="none"/>
          <w:lang w:eastAsia="zh-CN"/>
        </w:rPr>
        <w:t>临床安全性</w:t>
      </w:r>
      <w:r>
        <w:rPr>
          <w:rFonts w:hint="eastAsia" w:ascii="Times New Roman" w:hAnsi="Times New Roman" w:cs="宋体"/>
          <w:color w:val="auto"/>
          <w:highlight w:val="none"/>
        </w:rPr>
        <w:t>及</w:t>
      </w:r>
      <w:r>
        <w:rPr>
          <w:rFonts w:hint="eastAsia" w:ascii="Times New Roman" w:hAnsi="Times New Roman" w:cs="宋体"/>
          <w:color w:val="auto"/>
          <w:highlight w:val="none"/>
          <w:lang w:eastAsia="zh-CN"/>
        </w:rPr>
        <w:t>特殊医学用途临床效果</w:t>
      </w:r>
      <w:r>
        <w:rPr>
          <w:rFonts w:hint="eastAsia" w:ascii="Times New Roman" w:hAnsi="Times New Roman" w:cs="宋体"/>
          <w:color w:val="auto"/>
          <w:highlight w:val="none"/>
        </w:rPr>
        <w:t>。</w:t>
      </w:r>
    </w:p>
    <w:p w14:paraId="3F00D369">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lang w:eastAsia="zh-CN"/>
        </w:rPr>
        <w:t>受试者于</w:t>
      </w:r>
      <w:r>
        <w:rPr>
          <w:rFonts w:hint="eastAsia" w:ascii="Times New Roman" w:hAnsi="Times New Roman" w:cs="宋体"/>
          <w:color w:val="auto"/>
          <w:highlight w:val="none"/>
          <w:lang w:val="en-US" w:eastAsia="zh-CN"/>
        </w:rPr>
        <w:t>试验周期内</w:t>
      </w:r>
      <w:r>
        <w:rPr>
          <w:rFonts w:hint="eastAsia" w:ascii="Times New Roman" w:hAnsi="Times New Roman" w:cs="宋体"/>
          <w:color w:val="auto"/>
          <w:highlight w:val="none"/>
          <w:lang w:eastAsia="zh-CN"/>
        </w:rPr>
        <w:t>连续服用试验产品或对照产品，</w:t>
      </w:r>
      <w:r>
        <w:rPr>
          <w:rFonts w:hint="eastAsia" w:ascii="Times New Roman" w:hAnsi="Times New Roman" w:cs="宋体"/>
          <w:color w:val="auto"/>
          <w:highlight w:val="none"/>
        </w:rPr>
        <w:t>试验周期为21(±1)天。</w:t>
      </w:r>
    </w:p>
    <w:p w14:paraId="4FCE78D3">
      <w:pPr>
        <w:pStyle w:val="3"/>
        <w:keepNext w:val="0"/>
        <w:keepLines w:val="0"/>
        <w:pageBreakBefore w:val="0"/>
        <w:widowControl w:val="0"/>
        <w:numPr>
          <w:ilvl w:val="0"/>
          <w:numId w:val="1"/>
        </w:numPr>
        <w:kinsoku/>
        <w:wordWrap/>
        <w:overflowPunct/>
        <w:topLinePunct w:val="0"/>
        <w:autoSpaceDE/>
        <w:autoSpaceDN/>
        <w:bidi w:val="0"/>
        <w:adjustRightInd/>
        <w:snapToGrid/>
        <w:spacing w:before="0" w:line="240" w:lineRule="auto"/>
        <w:textAlignment w:val="auto"/>
        <w:rPr>
          <w:rFonts w:ascii="Times New Roman" w:hAnsi="Times New Roman" w:cs="黑体"/>
          <w:b/>
          <w:bCs/>
          <w:color w:val="auto"/>
          <w:szCs w:val="28"/>
          <w:highlight w:val="none"/>
        </w:rPr>
      </w:pPr>
      <w:bookmarkStart w:id="29" w:name="_Toc4638"/>
      <w:bookmarkStart w:id="30" w:name="_Toc24082"/>
      <w:r>
        <w:rPr>
          <w:rFonts w:hint="eastAsia" w:ascii="Times New Roman" w:hAnsi="Times New Roman" w:cs="黑体"/>
          <w:b/>
          <w:bCs/>
          <w:color w:val="auto"/>
          <w:szCs w:val="28"/>
          <w:highlight w:val="none"/>
          <w:lang w:eastAsia="zh-CN"/>
        </w:rPr>
        <w:t>试验</w:t>
      </w:r>
      <w:r>
        <w:rPr>
          <w:rFonts w:hint="eastAsia" w:ascii="Times New Roman" w:hAnsi="Times New Roman" w:cs="黑体"/>
          <w:b/>
          <w:bCs/>
          <w:color w:val="auto"/>
          <w:szCs w:val="28"/>
          <w:highlight w:val="none"/>
        </w:rPr>
        <w:t>人群</w:t>
      </w:r>
      <w:bookmarkEnd w:id="29"/>
      <w:bookmarkEnd w:id="30"/>
    </w:p>
    <w:p w14:paraId="1FD62AE1">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31" w:name="_Toc862"/>
      <w:bookmarkStart w:id="32" w:name="_Toc24215"/>
      <w:r>
        <w:rPr>
          <w:rFonts w:hint="eastAsia" w:ascii="Times New Roman" w:hAnsi="Times New Roman" w:cs="黑体"/>
          <w:b/>
          <w:bCs w:val="0"/>
          <w:color w:val="auto"/>
          <w:szCs w:val="24"/>
          <w:highlight w:val="none"/>
        </w:rPr>
        <w:t>受试者纳入标准</w:t>
      </w:r>
      <w:bookmarkEnd w:id="31"/>
      <w:bookmarkEnd w:id="32"/>
    </w:p>
    <w:p w14:paraId="473E5619">
      <w:pPr>
        <w:pStyle w:val="5"/>
        <w:keepNext w:val="0"/>
        <w:keepLines w:val="0"/>
        <w:pageBreakBefore w:val="0"/>
        <w:widowControl w:val="0"/>
        <w:kinsoku/>
        <w:wordWrap/>
        <w:overflowPunct/>
        <w:topLinePunct w:val="0"/>
        <w:autoSpaceDE/>
        <w:autoSpaceDN/>
        <w:bidi w:val="0"/>
        <w:adjustRightInd/>
        <w:snapToGrid/>
        <w:ind w:firstLine="218" w:firstLineChars="104"/>
        <w:textAlignment w:val="auto"/>
        <w:rPr>
          <w:rFonts w:hint="eastAsia" w:ascii="Times New Roman" w:hAnsi="Times New Roman" w:cs="宋体"/>
          <w:color w:val="auto"/>
          <w:highlight w:val="none"/>
        </w:rPr>
      </w:pPr>
      <w:r>
        <w:rPr>
          <w:rFonts w:hint="eastAsia" w:ascii="Times New Roman" w:hAnsi="Times New Roman" w:cs="宋体"/>
          <w:color w:val="auto"/>
          <w:highlight w:val="none"/>
        </w:rPr>
        <w:t>（1）10</w:t>
      </w:r>
      <w:r>
        <w:rPr>
          <w:rFonts w:hint="eastAsia" w:ascii="Times New Roman" w:hAnsi="Times New Roman" w:cs="宋体"/>
          <w:color w:val="auto"/>
          <w:highlight w:val="none"/>
          <w:lang w:val="en-US" w:eastAsia="zh-CN"/>
        </w:rPr>
        <w:t>周</w:t>
      </w:r>
      <w:r>
        <w:rPr>
          <w:rFonts w:hint="eastAsia" w:ascii="Times New Roman" w:hAnsi="Times New Roman" w:cs="宋体"/>
          <w:color w:val="auto"/>
          <w:highlight w:val="none"/>
        </w:rPr>
        <w:t>岁≤年龄≤80</w:t>
      </w:r>
      <w:r>
        <w:rPr>
          <w:rFonts w:hint="eastAsia" w:ascii="Times New Roman" w:hAnsi="Times New Roman" w:cs="宋体"/>
          <w:color w:val="auto"/>
          <w:highlight w:val="none"/>
          <w:lang w:val="en-US" w:eastAsia="zh-CN"/>
        </w:rPr>
        <w:t>周</w:t>
      </w:r>
      <w:r>
        <w:rPr>
          <w:rFonts w:hint="eastAsia" w:ascii="Times New Roman" w:hAnsi="Times New Roman" w:cs="宋体"/>
          <w:color w:val="auto"/>
          <w:highlight w:val="none"/>
        </w:rPr>
        <w:t>岁，性别不限；</w:t>
      </w:r>
    </w:p>
    <w:p w14:paraId="36BD5E11">
      <w:pPr>
        <w:pStyle w:val="5"/>
        <w:keepNext w:val="0"/>
        <w:keepLines w:val="0"/>
        <w:pageBreakBefore w:val="0"/>
        <w:widowControl w:val="0"/>
        <w:kinsoku/>
        <w:wordWrap/>
        <w:overflowPunct/>
        <w:topLinePunct w:val="0"/>
        <w:autoSpaceDE/>
        <w:autoSpaceDN/>
        <w:bidi w:val="0"/>
        <w:adjustRightInd/>
        <w:snapToGrid/>
        <w:ind w:firstLine="218" w:firstLineChars="104"/>
        <w:textAlignment w:val="auto"/>
        <w:rPr>
          <w:rFonts w:hint="eastAsia" w:ascii="Times New Roman" w:hAnsi="Times New Roman" w:cs="宋体"/>
          <w:color w:val="auto"/>
          <w:highlight w:val="none"/>
        </w:rPr>
      </w:pPr>
      <w:r>
        <w:rPr>
          <w:rFonts w:hint="eastAsia" w:ascii="Times New Roman" w:hAnsi="Times New Roman" w:cs="宋体"/>
          <w:color w:val="auto"/>
          <w:highlight w:val="none"/>
        </w:rPr>
        <w:t>（</w:t>
      </w:r>
      <w:r>
        <w:rPr>
          <w:rFonts w:hint="eastAsia" w:ascii="Times New Roman" w:hAnsi="Times New Roman" w:cs="宋体"/>
          <w:color w:val="auto"/>
          <w:highlight w:val="none"/>
          <w:lang w:val="en-US" w:eastAsia="zh-CN"/>
        </w:rPr>
        <w:t>2</w:t>
      </w:r>
      <w:r>
        <w:rPr>
          <w:rFonts w:hint="eastAsia" w:ascii="Times New Roman" w:hAnsi="Times New Roman" w:cs="宋体"/>
          <w:color w:val="auto"/>
          <w:highlight w:val="none"/>
        </w:rPr>
        <w:t>）受试者经组织学或细胞学诊断为结直肠癌的患者，行根治切除术，术后病情稳定，具有医学营养需求，且能够接受口服营养补充者；</w:t>
      </w:r>
    </w:p>
    <w:p w14:paraId="009757A6">
      <w:pPr>
        <w:pStyle w:val="5"/>
        <w:keepNext w:val="0"/>
        <w:keepLines w:val="0"/>
        <w:pageBreakBefore w:val="0"/>
        <w:widowControl w:val="0"/>
        <w:kinsoku/>
        <w:wordWrap/>
        <w:overflowPunct/>
        <w:topLinePunct w:val="0"/>
        <w:autoSpaceDE/>
        <w:autoSpaceDN/>
        <w:bidi w:val="0"/>
        <w:adjustRightInd/>
        <w:snapToGrid/>
        <w:ind w:firstLine="218" w:firstLineChars="104"/>
        <w:textAlignment w:val="auto"/>
        <w:rPr>
          <w:rFonts w:hint="eastAsia" w:ascii="Times New Roman" w:hAnsi="Times New Roman" w:cs="宋体"/>
          <w:color w:val="auto"/>
          <w:highlight w:val="none"/>
        </w:rPr>
      </w:pPr>
      <w:r>
        <w:rPr>
          <w:rFonts w:hint="eastAsia" w:ascii="Times New Roman" w:hAnsi="Times New Roman" w:cs="宋体"/>
          <w:color w:val="auto"/>
          <w:highlight w:val="none"/>
        </w:rPr>
        <w:t>（</w:t>
      </w:r>
      <w:r>
        <w:rPr>
          <w:rFonts w:hint="eastAsia" w:ascii="Times New Roman" w:hAnsi="Times New Roman" w:cs="宋体"/>
          <w:color w:val="auto"/>
          <w:highlight w:val="none"/>
          <w:lang w:val="en-US" w:eastAsia="zh-CN"/>
        </w:rPr>
        <w:t>3</w:t>
      </w:r>
      <w:r>
        <w:rPr>
          <w:rFonts w:hint="eastAsia" w:ascii="Times New Roman" w:hAnsi="Times New Roman" w:cs="宋体"/>
          <w:color w:val="auto"/>
          <w:highlight w:val="none"/>
        </w:rPr>
        <w:t>）NRS2002量表营养风险评分总分≥3分，或预计无法经口进食达到能量推荐摄入量；</w:t>
      </w:r>
    </w:p>
    <w:p w14:paraId="464B5503">
      <w:pPr>
        <w:pStyle w:val="5"/>
        <w:keepNext w:val="0"/>
        <w:keepLines w:val="0"/>
        <w:pageBreakBefore w:val="0"/>
        <w:widowControl w:val="0"/>
        <w:kinsoku/>
        <w:wordWrap/>
        <w:overflowPunct/>
        <w:topLinePunct w:val="0"/>
        <w:autoSpaceDE/>
        <w:autoSpaceDN/>
        <w:bidi w:val="0"/>
        <w:adjustRightInd/>
        <w:snapToGrid/>
        <w:ind w:firstLine="218" w:firstLineChars="104"/>
        <w:textAlignment w:val="auto"/>
        <w:rPr>
          <w:rFonts w:hint="eastAsia" w:ascii="Times New Roman" w:hAnsi="Times New Roman" w:cs="宋体"/>
          <w:color w:val="auto"/>
          <w:highlight w:val="none"/>
        </w:rPr>
      </w:pPr>
      <w:r>
        <w:rPr>
          <w:rFonts w:hint="eastAsia" w:ascii="Times New Roman" w:hAnsi="Times New Roman" w:cs="宋体"/>
          <w:color w:val="auto"/>
          <w:highlight w:val="none"/>
        </w:rPr>
        <w:t>（</w:t>
      </w:r>
      <w:r>
        <w:rPr>
          <w:rFonts w:hint="eastAsia" w:ascii="Times New Roman" w:hAnsi="Times New Roman" w:cs="宋体"/>
          <w:color w:val="auto"/>
          <w:highlight w:val="none"/>
          <w:lang w:val="en-US" w:eastAsia="zh-CN"/>
        </w:rPr>
        <w:t>4</w:t>
      </w:r>
      <w:r>
        <w:rPr>
          <w:rFonts w:hint="eastAsia" w:ascii="Times New Roman" w:hAnsi="Times New Roman" w:cs="宋体"/>
          <w:color w:val="auto"/>
          <w:highlight w:val="none"/>
        </w:rPr>
        <w:t>）受试者经实验室检查，符合下列标准：</w:t>
      </w:r>
    </w:p>
    <w:p w14:paraId="39B5CEAA">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① 血常规：血红蛋白≥80g/L；</w:t>
      </w:r>
    </w:p>
    <w:p w14:paraId="28046228">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② 白蛋白≥2.5g/dL；</w:t>
      </w:r>
    </w:p>
    <w:p w14:paraId="33C04609">
      <w:pPr>
        <w:pStyle w:val="5"/>
        <w:keepNext w:val="0"/>
        <w:keepLines w:val="0"/>
        <w:pageBreakBefore w:val="0"/>
        <w:widowControl w:val="0"/>
        <w:kinsoku/>
        <w:wordWrap/>
        <w:overflowPunct/>
        <w:topLinePunct w:val="0"/>
        <w:autoSpaceDE/>
        <w:autoSpaceDN/>
        <w:bidi w:val="0"/>
        <w:adjustRightInd/>
        <w:snapToGrid/>
        <w:ind w:firstLine="218" w:firstLineChars="104"/>
        <w:textAlignment w:val="auto"/>
        <w:rPr>
          <w:rFonts w:hint="eastAsia" w:ascii="Times New Roman" w:hAnsi="Times New Roman" w:cs="宋体"/>
          <w:color w:val="auto"/>
          <w:highlight w:val="none"/>
        </w:rPr>
      </w:pPr>
      <w:r>
        <w:rPr>
          <w:rFonts w:hint="eastAsia" w:ascii="Times New Roman" w:hAnsi="Times New Roman" w:cs="宋体"/>
          <w:color w:val="auto"/>
          <w:highlight w:val="none"/>
        </w:rPr>
        <w:t>（</w:t>
      </w:r>
      <w:r>
        <w:rPr>
          <w:rFonts w:hint="eastAsia" w:ascii="Times New Roman" w:hAnsi="Times New Roman" w:cs="宋体"/>
          <w:color w:val="auto"/>
          <w:highlight w:val="none"/>
          <w:lang w:val="en-US" w:eastAsia="zh-CN"/>
        </w:rPr>
        <w:t>5</w:t>
      </w:r>
      <w:r>
        <w:rPr>
          <w:rFonts w:hint="eastAsia" w:ascii="Times New Roman" w:hAnsi="Times New Roman" w:cs="宋体"/>
          <w:color w:val="auto"/>
          <w:highlight w:val="none"/>
        </w:rPr>
        <w:t>）体质指数（BMI）≤</w:t>
      </w:r>
      <w:r>
        <w:rPr>
          <w:rFonts w:hint="eastAsia" w:ascii="Times New Roman" w:hAnsi="Times New Roman" w:cs="宋体"/>
          <w:color w:val="0000FF"/>
          <w:highlight w:val="yellow"/>
          <w:lang w:val="en-US" w:eastAsia="zh-CN"/>
        </w:rPr>
        <w:t>2</w:t>
      </w:r>
      <w:r>
        <w:rPr>
          <w:rFonts w:hint="eastAsia" w:cs="宋体"/>
          <w:color w:val="0000FF"/>
          <w:highlight w:val="yellow"/>
          <w:lang w:val="en-US" w:eastAsia="zh-CN"/>
        </w:rPr>
        <w:t>8</w:t>
      </w:r>
      <w:r>
        <w:rPr>
          <w:rFonts w:hint="eastAsia" w:ascii="Times New Roman" w:hAnsi="Times New Roman" w:cs="宋体"/>
          <w:color w:val="0000FF"/>
          <w:highlight w:val="yellow"/>
          <w:lang w:val="en-US" w:eastAsia="zh-CN"/>
        </w:rPr>
        <w:t>.0</w:t>
      </w:r>
      <w:r>
        <w:rPr>
          <w:rFonts w:hint="eastAsia" w:ascii="Times New Roman" w:hAnsi="Times New Roman" w:cs="宋体"/>
          <w:color w:val="auto"/>
          <w:highlight w:val="none"/>
        </w:rPr>
        <w:t>kg/m</w:t>
      </w:r>
      <w:r>
        <w:rPr>
          <w:rFonts w:hint="eastAsia" w:ascii="Times New Roman" w:hAnsi="Times New Roman" w:cs="宋体"/>
          <w:color w:val="auto"/>
          <w:highlight w:val="none"/>
          <w:vertAlign w:val="superscript"/>
        </w:rPr>
        <w:t>2</w:t>
      </w:r>
      <w:r>
        <w:rPr>
          <w:rFonts w:hint="eastAsia" w:ascii="Times New Roman" w:hAnsi="Times New Roman" w:cs="宋体"/>
          <w:color w:val="auto"/>
          <w:highlight w:val="none"/>
        </w:rPr>
        <w:t>；</w:t>
      </w:r>
    </w:p>
    <w:p w14:paraId="5A2F094B">
      <w:pPr>
        <w:pStyle w:val="5"/>
        <w:keepNext w:val="0"/>
        <w:keepLines w:val="0"/>
        <w:pageBreakBefore w:val="0"/>
        <w:widowControl w:val="0"/>
        <w:kinsoku/>
        <w:wordWrap/>
        <w:overflowPunct/>
        <w:topLinePunct w:val="0"/>
        <w:autoSpaceDE/>
        <w:autoSpaceDN/>
        <w:bidi w:val="0"/>
        <w:adjustRightInd/>
        <w:snapToGrid/>
        <w:ind w:firstLine="218" w:firstLineChars="104"/>
        <w:textAlignment w:val="auto"/>
        <w:rPr>
          <w:rFonts w:hint="eastAsia" w:ascii="Times New Roman" w:hAnsi="Times New Roman" w:cs="宋体"/>
          <w:color w:val="auto"/>
          <w:highlight w:val="none"/>
        </w:rPr>
      </w:pPr>
      <w:r>
        <w:rPr>
          <w:rFonts w:hint="eastAsia" w:ascii="Times New Roman" w:hAnsi="Times New Roman" w:cs="宋体"/>
          <w:color w:val="auto"/>
          <w:highlight w:val="none"/>
        </w:rPr>
        <w:t>（</w:t>
      </w:r>
      <w:r>
        <w:rPr>
          <w:rFonts w:hint="eastAsia" w:ascii="Times New Roman" w:hAnsi="Times New Roman" w:cs="宋体"/>
          <w:color w:val="auto"/>
          <w:highlight w:val="none"/>
          <w:lang w:val="en-US" w:eastAsia="zh-CN"/>
        </w:rPr>
        <w:t>6</w:t>
      </w:r>
      <w:r>
        <w:rPr>
          <w:rFonts w:hint="eastAsia" w:ascii="Times New Roman" w:hAnsi="Times New Roman" w:cs="宋体"/>
          <w:color w:val="auto"/>
          <w:highlight w:val="none"/>
        </w:rPr>
        <w:t>）筛选前1周内未输过</w:t>
      </w:r>
      <w:r>
        <w:rPr>
          <w:rFonts w:hint="eastAsia" w:ascii="Times New Roman" w:hAnsi="Times New Roman" w:eastAsia="宋体"/>
          <w:color w:val="auto"/>
          <w:sz w:val="21"/>
          <w:szCs w:val="21"/>
          <w:highlight w:val="none"/>
        </w:rPr>
        <w:t>白蛋白、球蛋白等</w:t>
      </w:r>
      <w:r>
        <w:rPr>
          <w:rFonts w:hint="eastAsia" w:ascii="Times New Roman" w:hAnsi="Times New Roman" w:cs="宋体"/>
          <w:color w:val="auto"/>
          <w:highlight w:val="none"/>
        </w:rPr>
        <w:t>血液制品；</w:t>
      </w:r>
    </w:p>
    <w:p w14:paraId="69B7A59D">
      <w:pPr>
        <w:pStyle w:val="5"/>
        <w:keepNext w:val="0"/>
        <w:keepLines w:val="0"/>
        <w:pageBreakBefore w:val="0"/>
        <w:widowControl w:val="0"/>
        <w:kinsoku/>
        <w:wordWrap/>
        <w:overflowPunct/>
        <w:topLinePunct w:val="0"/>
        <w:autoSpaceDE/>
        <w:autoSpaceDN/>
        <w:bidi w:val="0"/>
        <w:adjustRightInd/>
        <w:snapToGrid/>
        <w:ind w:firstLine="218" w:firstLineChars="104"/>
        <w:textAlignment w:val="auto"/>
        <w:rPr>
          <w:rFonts w:hint="eastAsia" w:ascii="Times New Roman" w:hAnsi="Times New Roman" w:cs="宋体"/>
          <w:color w:val="auto"/>
          <w:highlight w:val="none"/>
        </w:rPr>
      </w:pPr>
      <w:r>
        <w:rPr>
          <w:rFonts w:hint="eastAsia" w:ascii="Times New Roman" w:hAnsi="Times New Roman" w:cs="宋体"/>
          <w:color w:val="auto"/>
          <w:highlight w:val="none"/>
        </w:rPr>
        <w:t>（</w:t>
      </w:r>
      <w:r>
        <w:rPr>
          <w:rFonts w:hint="eastAsia" w:ascii="Times New Roman" w:hAnsi="Times New Roman" w:cs="宋体"/>
          <w:color w:val="auto"/>
          <w:highlight w:val="none"/>
          <w:lang w:val="en-US" w:eastAsia="zh-CN"/>
        </w:rPr>
        <w:t>7</w:t>
      </w:r>
      <w:r>
        <w:rPr>
          <w:rFonts w:hint="eastAsia" w:ascii="Times New Roman" w:hAnsi="Times New Roman" w:cs="宋体"/>
          <w:color w:val="auto"/>
          <w:highlight w:val="none"/>
        </w:rPr>
        <w:t>）预期生存期≥3个月；</w:t>
      </w:r>
    </w:p>
    <w:p w14:paraId="7E241231">
      <w:pPr>
        <w:pStyle w:val="5"/>
        <w:keepNext w:val="0"/>
        <w:keepLines w:val="0"/>
        <w:pageBreakBefore w:val="0"/>
        <w:widowControl w:val="0"/>
        <w:kinsoku/>
        <w:wordWrap/>
        <w:overflowPunct/>
        <w:topLinePunct w:val="0"/>
        <w:autoSpaceDE/>
        <w:autoSpaceDN/>
        <w:bidi w:val="0"/>
        <w:adjustRightInd/>
        <w:snapToGrid/>
        <w:ind w:firstLine="218" w:firstLineChars="104"/>
        <w:textAlignment w:val="auto"/>
        <w:rPr>
          <w:rFonts w:hint="eastAsia" w:ascii="Times New Roman" w:hAnsi="Times New Roman" w:cs="宋体"/>
          <w:color w:val="auto"/>
          <w:highlight w:val="none"/>
        </w:rPr>
      </w:pPr>
      <w:r>
        <w:rPr>
          <w:rFonts w:hint="eastAsia" w:ascii="Times New Roman" w:hAnsi="Times New Roman" w:cs="宋体"/>
          <w:color w:val="auto"/>
          <w:highlight w:val="none"/>
        </w:rPr>
        <w:t>（</w:t>
      </w:r>
      <w:r>
        <w:rPr>
          <w:rFonts w:hint="eastAsia" w:ascii="Times New Roman" w:hAnsi="Times New Roman" w:cs="宋体"/>
          <w:color w:val="auto"/>
          <w:highlight w:val="none"/>
          <w:lang w:val="en-US" w:eastAsia="zh-CN"/>
        </w:rPr>
        <w:t>8</w:t>
      </w:r>
      <w:r>
        <w:rPr>
          <w:rFonts w:hint="eastAsia" w:ascii="Times New Roman" w:hAnsi="Times New Roman" w:cs="宋体"/>
          <w:color w:val="auto"/>
          <w:highlight w:val="none"/>
        </w:rPr>
        <w:t>）自愿参加临床试验，并签署知情同意书者；</w:t>
      </w:r>
    </w:p>
    <w:p w14:paraId="10E633B5">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需同时满足以上全部条件方可入选。</w:t>
      </w:r>
    </w:p>
    <w:p w14:paraId="2EDC29A2">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33" w:name="_Toc6343"/>
      <w:bookmarkStart w:id="34" w:name="_Toc13116"/>
      <w:bookmarkStart w:id="35" w:name="_受试者排除标准"/>
      <w:r>
        <w:rPr>
          <w:rFonts w:hint="eastAsia" w:ascii="Times New Roman" w:hAnsi="Times New Roman" w:cs="黑体"/>
          <w:b/>
          <w:bCs w:val="0"/>
          <w:color w:val="auto"/>
          <w:szCs w:val="24"/>
          <w:highlight w:val="none"/>
        </w:rPr>
        <w:t>受试者排除标准</w:t>
      </w:r>
      <w:bookmarkEnd w:id="33"/>
      <w:bookmarkEnd w:id="34"/>
    </w:p>
    <w:bookmarkEnd w:id="35"/>
    <w:p w14:paraId="10069EA6">
      <w:pPr>
        <w:pStyle w:val="5"/>
        <w:keepNext w:val="0"/>
        <w:keepLines w:val="0"/>
        <w:pageBreakBefore w:val="0"/>
        <w:widowControl w:val="0"/>
        <w:kinsoku/>
        <w:wordWrap/>
        <w:overflowPunct/>
        <w:topLinePunct w:val="0"/>
        <w:autoSpaceDE/>
        <w:autoSpaceDN/>
        <w:bidi w:val="0"/>
        <w:adjustRightInd/>
        <w:snapToGrid/>
        <w:ind w:firstLine="218" w:firstLineChars="104"/>
        <w:textAlignment w:val="auto"/>
        <w:rPr>
          <w:rFonts w:hint="eastAsia" w:ascii="Times New Roman" w:hAnsi="Times New Roman" w:cs="宋体"/>
          <w:color w:val="auto"/>
          <w:highlight w:val="none"/>
        </w:rPr>
      </w:pPr>
      <w:r>
        <w:rPr>
          <w:rFonts w:hint="eastAsia" w:ascii="Times New Roman" w:hAnsi="Times New Roman" w:cs="宋体"/>
          <w:color w:val="auto"/>
          <w:highlight w:val="none"/>
        </w:rPr>
        <w:t>（</w:t>
      </w:r>
      <w:r>
        <w:rPr>
          <w:rFonts w:hint="eastAsia" w:ascii="Times New Roman" w:hAnsi="Times New Roman" w:cs="宋体"/>
          <w:color w:val="auto"/>
          <w:highlight w:val="none"/>
          <w:lang w:val="en-US" w:eastAsia="zh-CN"/>
        </w:rPr>
        <w:t>1</w:t>
      </w:r>
      <w:r>
        <w:rPr>
          <w:rFonts w:hint="eastAsia" w:ascii="Times New Roman" w:hAnsi="Times New Roman" w:cs="宋体"/>
          <w:color w:val="auto"/>
          <w:highlight w:val="none"/>
        </w:rPr>
        <w:t>）不需要人工营养支持；</w:t>
      </w:r>
    </w:p>
    <w:p w14:paraId="6C7301A3">
      <w:pPr>
        <w:pStyle w:val="5"/>
        <w:keepNext w:val="0"/>
        <w:keepLines w:val="0"/>
        <w:pageBreakBefore w:val="0"/>
        <w:widowControl w:val="0"/>
        <w:kinsoku/>
        <w:wordWrap/>
        <w:overflowPunct/>
        <w:topLinePunct w:val="0"/>
        <w:autoSpaceDE/>
        <w:autoSpaceDN/>
        <w:bidi w:val="0"/>
        <w:adjustRightInd/>
        <w:snapToGrid/>
        <w:ind w:firstLine="218" w:firstLineChars="104"/>
        <w:textAlignment w:val="auto"/>
        <w:rPr>
          <w:rFonts w:hint="eastAsia" w:ascii="Times New Roman" w:hAnsi="Times New Roman" w:cs="宋体"/>
          <w:color w:val="auto"/>
          <w:highlight w:val="none"/>
        </w:rPr>
      </w:pPr>
      <w:r>
        <w:rPr>
          <w:rFonts w:hint="eastAsia" w:ascii="Times New Roman" w:hAnsi="Times New Roman" w:cs="宋体"/>
          <w:color w:val="auto"/>
          <w:highlight w:val="none"/>
        </w:rPr>
        <w:t>（</w:t>
      </w:r>
      <w:r>
        <w:rPr>
          <w:rFonts w:hint="eastAsia" w:ascii="Times New Roman" w:hAnsi="Times New Roman" w:cs="宋体"/>
          <w:color w:val="auto"/>
          <w:highlight w:val="none"/>
          <w:lang w:val="en-US" w:eastAsia="zh-CN"/>
        </w:rPr>
        <w:t>2</w:t>
      </w:r>
      <w:r>
        <w:rPr>
          <w:rFonts w:hint="eastAsia" w:ascii="Times New Roman" w:hAnsi="Times New Roman" w:cs="宋体"/>
          <w:color w:val="auto"/>
          <w:highlight w:val="none"/>
        </w:rPr>
        <w:t>）同时进行肠外营养；</w:t>
      </w:r>
    </w:p>
    <w:p w14:paraId="04B661F6">
      <w:pPr>
        <w:pStyle w:val="5"/>
        <w:keepNext w:val="0"/>
        <w:keepLines w:val="0"/>
        <w:pageBreakBefore w:val="0"/>
        <w:widowControl w:val="0"/>
        <w:kinsoku/>
        <w:wordWrap/>
        <w:overflowPunct/>
        <w:topLinePunct w:val="0"/>
        <w:autoSpaceDE/>
        <w:autoSpaceDN/>
        <w:bidi w:val="0"/>
        <w:adjustRightInd/>
        <w:snapToGrid/>
        <w:ind w:firstLine="218" w:firstLineChars="104"/>
        <w:textAlignment w:val="auto"/>
        <w:rPr>
          <w:rFonts w:hint="eastAsia" w:ascii="Times New Roman" w:hAnsi="Times New Roman" w:cs="宋体"/>
          <w:color w:val="auto"/>
          <w:highlight w:val="none"/>
        </w:rPr>
      </w:pPr>
      <w:r>
        <w:rPr>
          <w:rFonts w:hint="eastAsia" w:ascii="Times New Roman" w:hAnsi="Times New Roman" w:cs="宋体"/>
          <w:color w:val="auto"/>
          <w:highlight w:val="none"/>
        </w:rPr>
        <w:t>（</w:t>
      </w:r>
      <w:r>
        <w:rPr>
          <w:rFonts w:hint="eastAsia" w:ascii="Times New Roman" w:hAnsi="Times New Roman" w:cs="宋体"/>
          <w:color w:val="auto"/>
          <w:highlight w:val="none"/>
          <w:lang w:val="en-US" w:eastAsia="zh-CN"/>
        </w:rPr>
        <w:t>3</w:t>
      </w:r>
      <w:r>
        <w:rPr>
          <w:rFonts w:hint="eastAsia" w:ascii="Times New Roman" w:hAnsi="Times New Roman" w:cs="宋体"/>
          <w:color w:val="auto"/>
          <w:highlight w:val="none"/>
        </w:rPr>
        <w:t>）所有不适于用肠内营养的患者，如有消化道瘘、消化道活</w:t>
      </w:r>
      <w:r>
        <w:rPr>
          <w:rFonts w:hint="eastAsia" w:ascii="Times New Roman" w:hAnsi="Times New Roman" w:cs="宋体"/>
          <w:color w:val="auto"/>
          <w:highlight w:val="none"/>
          <w:lang w:val="en-US" w:eastAsia="zh-CN"/>
        </w:rPr>
        <w:t>动</w:t>
      </w:r>
      <w:r>
        <w:rPr>
          <w:rFonts w:hint="eastAsia" w:ascii="Times New Roman" w:hAnsi="Times New Roman" w:cs="宋体"/>
          <w:color w:val="auto"/>
          <w:highlight w:val="none"/>
        </w:rPr>
        <w:t>性出血、完全肠梗阻、严重腹泻等严重消化吸收功能障碍；</w:t>
      </w:r>
    </w:p>
    <w:p w14:paraId="7DB2006F">
      <w:pPr>
        <w:pStyle w:val="5"/>
        <w:keepNext w:val="0"/>
        <w:keepLines w:val="0"/>
        <w:pageBreakBefore w:val="0"/>
        <w:widowControl w:val="0"/>
        <w:kinsoku/>
        <w:wordWrap/>
        <w:overflowPunct/>
        <w:topLinePunct w:val="0"/>
        <w:autoSpaceDE/>
        <w:autoSpaceDN/>
        <w:bidi w:val="0"/>
        <w:adjustRightInd/>
        <w:snapToGrid/>
        <w:ind w:firstLine="218" w:firstLineChars="104"/>
        <w:textAlignment w:val="auto"/>
        <w:rPr>
          <w:rFonts w:hint="eastAsia" w:ascii="Times New Roman" w:hAnsi="Times New Roman" w:cs="宋体"/>
          <w:color w:val="auto"/>
          <w:highlight w:val="none"/>
        </w:rPr>
      </w:pPr>
      <w:r>
        <w:rPr>
          <w:rFonts w:hint="eastAsia" w:ascii="Times New Roman" w:hAnsi="Times New Roman" w:cs="宋体"/>
          <w:color w:val="auto"/>
          <w:highlight w:val="none"/>
        </w:rPr>
        <w:t>（</w:t>
      </w:r>
      <w:r>
        <w:rPr>
          <w:rFonts w:hint="eastAsia" w:ascii="Times New Roman" w:hAnsi="Times New Roman" w:cs="宋体"/>
          <w:color w:val="auto"/>
          <w:highlight w:val="none"/>
          <w:lang w:val="en-US" w:eastAsia="zh-CN"/>
        </w:rPr>
        <w:t>4</w:t>
      </w:r>
      <w:r>
        <w:rPr>
          <w:rFonts w:hint="eastAsia" w:ascii="Times New Roman" w:hAnsi="Times New Roman" w:cs="宋体"/>
          <w:color w:val="auto"/>
          <w:highlight w:val="none"/>
        </w:rPr>
        <w:t>）严重肝肾功能不全者（</w:t>
      </w:r>
      <w:r>
        <w:rPr>
          <w:rFonts w:hint="eastAsia" w:ascii="Times New Roman" w:hAnsi="Times New Roman" w:cs="宋体"/>
          <w:color w:val="auto"/>
          <w:highlight w:val="none"/>
          <w:lang w:eastAsia="zh-CN"/>
        </w:rPr>
        <w:t>谷丙转氨酶</w:t>
      </w:r>
      <w:r>
        <w:rPr>
          <w:rFonts w:hint="eastAsia" w:ascii="Times New Roman" w:hAnsi="Times New Roman" w:cs="宋体"/>
          <w:color w:val="auto"/>
          <w:highlight w:val="none"/>
        </w:rPr>
        <w:t>≥2</w:t>
      </w:r>
      <w:r>
        <w:rPr>
          <w:rFonts w:hint="eastAsia" w:ascii="Times New Roman" w:hAnsi="Times New Roman" w:cs="宋体"/>
          <w:color w:val="auto"/>
          <w:highlight w:val="none"/>
          <w:lang w:val="en-US" w:eastAsia="zh-CN"/>
        </w:rPr>
        <w:t>.5</w:t>
      </w:r>
      <w:r>
        <w:rPr>
          <w:rFonts w:hint="eastAsia" w:ascii="Times New Roman" w:hAnsi="Times New Roman" w:cs="宋体"/>
          <w:color w:val="auto"/>
          <w:highlight w:val="none"/>
        </w:rPr>
        <w:t>倍正常值上限；总胆红素≥</w:t>
      </w:r>
      <w:r>
        <w:rPr>
          <w:rFonts w:hint="eastAsia" w:ascii="Times New Roman" w:hAnsi="Times New Roman" w:cs="宋体"/>
          <w:color w:val="auto"/>
          <w:highlight w:val="none"/>
          <w:lang w:val="en-US" w:eastAsia="zh-CN"/>
        </w:rPr>
        <w:t>1.5</w:t>
      </w:r>
      <w:r>
        <w:rPr>
          <w:rFonts w:hint="eastAsia" w:ascii="Times New Roman" w:hAnsi="Times New Roman" w:cs="宋体"/>
          <w:color w:val="auto"/>
          <w:highlight w:val="none"/>
        </w:rPr>
        <w:t>倍正常值上限；肌酐≥</w:t>
      </w:r>
      <w:r>
        <w:rPr>
          <w:rFonts w:hint="eastAsia" w:ascii="Times New Roman" w:hAnsi="Times New Roman" w:cs="宋体"/>
          <w:color w:val="auto"/>
          <w:highlight w:val="none"/>
          <w:lang w:val="en-US" w:eastAsia="zh-CN"/>
        </w:rPr>
        <w:t>1.5</w:t>
      </w:r>
      <w:r>
        <w:rPr>
          <w:rFonts w:hint="eastAsia" w:ascii="Times New Roman" w:hAnsi="Times New Roman" w:cs="宋体"/>
          <w:color w:val="auto"/>
          <w:highlight w:val="none"/>
        </w:rPr>
        <w:t>倍正常值上限）；</w:t>
      </w:r>
    </w:p>
    <w:p w14:paraId="3426B415">
      <w:pPr>
        <w:pStyle w:val="5"/>
        <w:keepNext w:val="0"/>
        <w:keepLines w:val="0"/>
        <w:pageBreakBefore w:val="0"/>
        <w:widowControl w:val="0"/>
        <w:kinsoku/>
        <w:wordWrap/>
        <w:overflowPunct/>
        <w:topLinePunct w:val="0"/>
        <w:autoSpaceDE/>
        <w:autoSpaceDN/>
        <w:bidi w:val="0"/>
        <w:adjustRightInd/>
        <w:snapToGrid/>
        <w:ind w:firstLine="218" w:firstLineChars="104"/>
        <w:textAlignment w:val="auto"/>
        <w:rPr>
          <w:rFonts w:hint="eastAsia" w:ascii="Times New Roman" w:hAnsi="Times New Roman" w:cs="宋体"/>
          <w:color w:val="auto"/>
          <w:highlight w:val="none"/>
        </w:rPr>
      </w:pPr>
      <w:r>
        <w:rPr>
          <w:rFonts w:hint="eastAsia" w:ascii="Times New Roman" w:hAnsi="Times New Roman" w:cs="宋体"/>
          <w:color w:val="auto"/>
          <w:highlight w:val="none"/>
          <w:u w:val="none"/>
        </w:rPr>
        <w:t>（</w:t>
      </w:r>
      <w:r>
        <w:rPr>
          <w:rFonts w:hint="eastAsia" w:ascii="Times New Roman" w:hAnsi="Times New Roman" w:cs="宋体"/>
          <w:color w:val="auto"/>
          <w:highlight w:val="none"/>
          <w:u w:val="none"/>
          <w:lang w:val="en-US" w:eastAsia="zh-CN"/>
        </w:rPr>
        <w:t>5</w:t>
      </w:r>
      <w:r>
        <w:rPr>
          <w:rFonts w:hint="eastAsia" w:ascii="Times New Roman" w:hAnsi="Times New Roman" w:cs="宋体"/>
          <w:color w:val="auto"/>
          <w:highlight w:val="none"/>
          <w:u w:val="none"/>
        </w:rPr>
        <w:t>）确诊糖尿病的患者；</w:t>
      </w:r>
    </w:p>
    <w:p w14:paraId="60CEFC71">
      <w:pPr>
        <w:pStyle w:val="5"/>
        <w:keepNext w:val="0"/>
        <w:keepLines w:val="0"/>
        <w:pageBreakBefore w:val="0"/>
        <w:widowControl w:val="0"/>
        <w:kinsoku/>
        <w:wordWrap/>
        <w:overflowPunct/>
        <w:topLinePunct w:val="0"/>
        <w:autoSpaceDE/>
        <w:autoSpaceDN/>
        <w:bidi w:val="0"/>
        <w:adjustRightInd/>
        <w:snapToGrid/>
        <w:ind w:firstLine="218" w:firstLineChars="104"/>
        <w:textAlignment w:val="auto"/>
        <w:rPr>
          <w:rFonts w:hint="eastAsia" w:ascii="Times New Roman" w:hAnsi="Times New Roman" w:cs="宋体"/>
          <w:color w:val="auto"/>
          <w:highlight w:val="none"/>
        </w:rPr>
      </w:pPr>
      <w:r>
        <w:rPr>
          <w:rFonts w:hint="eastAsia" w:ascii="Times New Roman" w:hAnsi="Times New Roman" w:cs="宋体"/>
          <w:color w:val="auto"/>
          <w:highlight w:val="none"/>
        </w:rPr>
        <w:t>（</w:t>
      </w:r>
      <w:r>
        <w:rPr>
          <w:rFonts w:hint="eastAsia" w:ascii="Times New Roman" w:hAnsi="Times New Roman" w:cs="宋体"/>
          <w:color w:val="auto"/>
          <w:highlight w:val="none"/>
          <w:lang w:val="en-US" w:eastAsia="zh-CN"/>
        </w:rPr>
        <w:t>6</w:t>
      </w:r>
      <w:r>
        <w:rPr>
          <w:rFonts w:hint="eastAsia" w:ascii="Times New Roman" w:hAnsi="Times New Roman" w:cs="宋体"/>
          <w:color w:val="auto"/>
          <w:highlight w:val="none"/>
        </w:rPr>
        <w:t>）受试者正在使用含Omega-3脂肪酸的脂肪乳，谷氨酰胺、糖皮质激素、甲状腺素（服用时间超过3个月者除外）、生长激素、抗肿瘤坏死因子生物制剂；</w:t>
      </w:r>
    </w:p>
    <w:p w14:paraId="633FF715">
      <w:pPr>
        <w:pStyle w:val="5"/>
        <w:keepNext w:val="0"/>
        <w:keepLines w:val="0"/>
        <w:pageBreakBefore w:val="0"/>
        <w:widowControl w:val="0"/>
        <w:kinsoku/>
        <w:wordWrap/>
        <w:overflowPunct/>
        <w:topLinePunct w:val="0"/>
        <w:autoSpaceDE/>
        <w:autoSpaceDN/>
        <w:bidi w:val="0"/>
        <w:adjustRightInd/>
        <w:snapToGrid/>
        <w:ind w:firstLine="218" w:firstLineChars="104"/>
        <w:textAlignment w:val="auto"/>
        <w:rPr>
          <w:rFonts w:hint="eastAsia" w:ascii="Times New Roman" w:hAnsi="Times New Roman" w:cs="宋体"/>
          <w:color w:val="auto"/>
          <w:highlight w:val="none"/>
        </w:rPr>
      </w:pPr>
      <w:r>
        <w:rPr>
          <w:rFonts w:hint="eastAsia" w:ascii="Times New Roman" w:hAnsi="Times New Roman" w:cs="宋体"/>
          <w:color w:val="auto"/>
          <w:highlight w:val="none"/>
        </w:rPr>
        <w:t>（</w:t>
      </w:r>
      <w:r>
        <w:rPr>
          <w:rFonts w:hint="eastAsia" w:ascii="Times New Roman" w:hAnsi="Times New Roman" w:cs="宋体"/>
          <w:color w:val="auto"/>
          <w:highlight w:val="none"/>
          <w:lang w:val="en-US" w:eastAsia="zh-CN"/>
        </w:rPr>
        <w:t>7</w:t>
      </w:r>
      <w:r>
        <w:rPr>
          <w:rFonts w:hint="eastAsia" w:ascii="Times New Roman" w:hAnsi="Times New Roman" w:cs="宋体"/>
          <w:color w:val="auto"/>
          <w:highlight w:val="none"/>
        </w:rPr>
        <w:t>）曾长期接受全身类固醇治疗者（注：短期使用者停药&gt;2周可入选）；</w:t>
      </w:r>
    </w:p>
    <w:p w14:paraId="25DFC8FE">
      <w:pPr>
        <w:pStyle w:val="5"/>
        <w:keepNext w:val="0"/>
        <w:keepLines w:val="0"/>
        <w:pageBreakBefore w:val="0"/>
        <w:widowControl w:val="0"/>
        <w:kinsoku/>
        <w:wordWrap/>
        <w:overflowPunct/>
        <w:topLinePunct w:val="0"/>
        <w:autoSpaceDE/>
        <w:autoSpaceDN/>
        <w:bidi w:val="0"/>
        <w:adjustRightInd/>
        <w:snapToGrid/>
        <w:ind w:firstLine="218" w:firstLineChars="104"/>
        <w:textAlignment w:val="auto"/>
        <w:rPr>
          <w:rFonts w:hint="eastAsia" w:ascii="Times New Roman" w:hAnsi="Times New Roman" w:cs="宋体"/>
          <w:color w:val="auto"/>
          <w:highlight w:val="none"/>
        </w:rPr>
      </w:pPr>
      <w:r>
        <w:rPr>
          <w:rFonts w:hint="eastAsia" w:ascii="Times New Roman" w:hAnsi="Times New Roman" w:cs="宋体"/>
          <w:color w:val="auto"/>
          <w:highlight w:val="none"/>
        </w:rPr>
        <w:t>（</w:t>
      </w:r>
      <w:r>
        <w:rPr>
          <w:rFonts w:hint="eastAsia" w:ascii="Times New Roman" w:hAnsi="Times New Roman" w:cs="宋体"/>
          <w:color w:val="auto"/>
          <w:highlight w:val="none"/>
          <w:lang w:val="en-US" w:eastAsia="zh-CN"/>
        </w:rPr>
        <w:t>8</w:t>
      </w:r>
      <w:r>
        <w:rPr>
          <w:rFonts w:hint="eastAsia" w:ascii="Times New Roman" w:hAnsi="Times New Roman" w:cs="宋体"/>
          <w:color w:val="auto"/>
          <w:highlight w:val="none"/>
        </w:rPr>
        <w:t>）入组前4周内参加其它干预性临床试验（含药品、营养制剂、医疗器械等）；</w:t>
      </w:r>
    </w:p>
    <w:p w14:paraId="667A10EE">
      <w:pPr>
        <w:pStyle w:val="5"/>
        <w:keepNext w:val="0"/>
        <w:keepLines w:val="0"/>
        <w:pageBreakBefore w:val="0"/>
        <w:widowControl w:val="0"/>
        <w:kinsoku/>
        <w:wordWrap/>
        <w:overflowPunct/>
        <w:topLinePunct w:val="0"/>
        <w:autoSpaceDE/>
        <w:autoSpaceDN/>
        <w:bidi w:val="0"/>
        <w:adjustRightInd/>
        <w:snapToGrid/>
        <w:ind w:firstLine="218" w:firstLineChars="104"/>
        <w:textAlignment w:val="auto"/>
        <w:rPr>
          <w:rFonts w:hint="eastAsia" w:ascii="Times New Roman" w:hAnsi="Times New Roman" w:cs="宋体"/>
          <w:color w:val="auto"/>
          <w:highlight w:val="none"/>
        </w:rPr>
      </w:pPr>
      <w:r>
        <w:rPr>
          <w:rFonts w:hint="eastAsia" w:ascii="Times New Roman" w:hAnsi="Times New Roman" w:cs="宋体"/>
          <w:color w:val="auto"/>
          <w:highlight w:val="none"/>
        </w:rPr>
        <w:t>（</w:t>
      </w:r>
      <w:r>
        <w:rPr>
          <w:rFonts w:hint="eastAsia" w:ascii="Times New Roman" w:hAnsi="Times New Roman" w:cs="宋体"/>
          <w:color w:val="auto"/>
          <w:highlight w:val="none"/>
          <w:lang w:val="en-US" w:eastAsia="zh-CN"/>
        </w:rPr>
        <w:t>9</w:t>
      </w:r>
      <w:r>
        <w:rPr>
          <w:rFonts w:hint="eastAsia" w:ascii="Times New Roman" w:hAnsi="Times New Roman" w:cs="宋体"/>
          <w:color w:val="auto"/>
          <w:highlight w:val="none"/>
        </w:rPr>
        <w:t>）入组前3天服用其他肠内营养制剂；</w:t>
      </w:r>
    </w:p>
    <w:p w14:paraId="2504004D">
      <w:pPr>
        <w:pStyle w:val="5"/>
        <w:keepNext w:val="0"/>
        <w:keepLines w:val="0"/>
        <w:pageBreakBefore w:val="0"/>
        <w:widowControl w:val="0"/>
        <w:kinsoku/>
        <w:wordWrap/>
        <w:overflowPunct/>
        <w:topLinePunct w:val="0"/>
        <w:autoSpaceDE/>
        <w:autoSpaceDN/>
        <w:bidi w:val="0"/>
        <w:adjustRightInd/>
        <w:snapToGrid/>
        <w:ind w:firstLine="218" w:firstLineChars="104"/>
        <w:textAlignment w:val="auto"/>
        <w:rPr>
          <w:rFonts w:hint="eastAsia" w:ascii="Times New Roman" w:hAnsi="Times New Roman" w:cs="宋体"/>
          <w:color w:val="auto"/>
          <w:highlight w:val="none"/>
        </w:rPr>
      </w:pPr>
      <w:r>
        <w:rPr>
          <w:rFonts w:hint="eastAsia" w:ascii="Times New Roman" w:hAnsi="Times New Roman" w:cs="宋体"/>
          <w:color w:val="auto"/>
          <w:highlight w:val="none"/>
        </w:rPr>
        <w:t>（</w:t>
      </w:r>
      <w:r>
        <w:rPr>
          <w:rFonts w:hint="eastAsia" w:ascii="Times New Roman" w:hAnsi="Times New Roman" w:cs="宋体"/>
          <w:color w:val="auto"/>
          <w:highlight w:val="none"/>
          <w:lang w:val="en-US" w:eastAsia="zh-CN"/>
        </w:rPr>
        <w:t>10</w:t>
      </w:r>
      <w:r>
        <w:rPr>
          <w:rFonts w:hint="eastAsia" w:ascii="Times New Roman" w:hAnsi="Times New Roman" w:cs="宋体"/>
          <w:color w:val="auto"/>
          <w:highlight w:val="none"/>
        </w:rPr>
        <w:t>）合并其他严重临床症状或合并症，可能危及试验的开展及随访；</w:t>
      </w:r>
    </w:p>
    <w:p w14:paraId="7971C18C">
      <w:pPr>
        <w:pStyle w:val="5"/>
        <w:keepNext w:val="0"/>
        <w:keepLines w:val="0"/>
        <w:pageBreakBefore w:val="0"/>
        <w:widowControl w:val="0"/>
        <w:kinsoku/>
        <w:wordWrap/>
        <w:overflowPunct/>
        <w:topLinePunct w:val="0"/>
        <w:autoSpaceDE/>
        <w:autoSpaceDN/>
        <w:bidi w:val="0"/>
        <w:adjustRightInd/>
        <w:snapToGrid/>
        <w:ind w:firstLine="218" w:firstLineChars="104"/>
        <w:textAlignment w:val="auto"/>
        <w:rPr>
          <w:rFonts w:hint="eastAsia" w:ascii="Times New Roman" w:hAnsi="Times New Roman" w:cs="宋体"/>
          <w:color w:val="auto"/>
          <w:highlight w:val="none"/>
        </w:rPr>
      </w:pPr>
      <w:r>
        <w:rPr>
          <w:rFonts w:hint="eastAsia" w:ascii="Times New Roman" w:hAnsi="Times New Roman" w:cs="宋体"/>
          <w:color w:val="auto"/>
          <w:highlight w:val="none"/>
        </w:rPr>
        <w:t>（</w:t>
      </w:r>
      <w:r>
        <w:rPr>
          <w:rFonts w:hint="eastAsia" w:ascii="Times New Roman" w:hAnsi="Times New Roman" w:cs="宋体"/>
          <w:color w:val="auto"/>
          <w:highlight w:val="none"/>
          <w:lang w:val="en-US" w:eastAsia="zh-CN"/>
        </w:rPr>
        <w:t>11</w:t>
      </w:r>
      <w:r>
        <w:rPr>
          <w:rFonts w:hint="eastAsia" w:ascii="Times New Roman" w:hAnsi="Times New Roman" w:cs="宋体"/>
          <w:color w:val="auto"/>
          <w:highlight w:val="none"/>
        </w:rPr>
        <w:t>）未受控制的心理疾病；</w:t>
      </w:r>
    </w:p>
    <w:p w14:paraId="687C693F">
      <w:pPr>
        <w:pStyle w:val="5"/>
        <w:keepNext w:val="0"/>
        <w:keepLines w:val="0"/>
        <w:pageBreakBefore w:val="0"/>
        <w:widowControl w:val="0"/>
        <w:kinsoku/>
        <w:wordWrap/>
        <w:overflowPunct/>
        <w:topLinePunct w:val="0"/>
        <w:autoSpaceDE/>
        <w:autoSpaceDN/>
        <w:bidi w:val="0"/>
        <w:adjustRightInd/>
        <w:snapToGrid/>
        <w:ind w:firstLine="218" w:firstLineChars="104"/>
        <w:textAlignment w:val="auto"/>
        <w:rPr>
          <w:rFonts w:hint="eastAsia" w:ascii="Times New Roman" w:hAnsi="Times New Roman" w:cs="宋体"/>
          <w:color w:val="auto"/>
          <w:highlight w:val="none"/>
        </w:rPr>
      </w:pPr>
      <w:r>
        <w:rPr>
          <w:rFonts w:hint="eastAsia" w:ascii="Times New Roman" w:hAnsi="Times New Roman" w:cs="宋体"/>
          <w:color w:val="auto"/>
          <w:highlight w:val="none"/>
        </w:rPr>
        <w:t>（</w:t>
      </w:r>
      <w:r>
        <w:rPr>
          <w:rFonts w:hint="eastAsia" w:ascii="Times New Roman" w:hAnsi="Times New Roman" w:cs="宋体"/>
          <w:color w:val="auto"/>
          <w:highlight w:val="none"/>
          <w:lang w:val="en-US" w:eastAsia="zh-CN"/>
        </w:rPr>
        <w:t>12</w:t>
      </w:r>
      <w:r>
        <w:rPr>
          <w:rFonts w:hint="eastAsia" w:ascii="Times New Roman" w:hAnsi="Times New Roman" w:cs="宋体"/>
          <w:color w:val="auto"/>
          <w:highlight w:val="none"/>
        </w:rPr>
        <w:t>）</w:t>
      </w:r>
      <w:r>
        <w:rPr>
          <w:rFonts w:hint="eastAsia" w:ascii="Times New Roman" w:hAnsi="Times New Roman" w:eastAsia="宋体"/>
          <w:color w:val="auto"/>
          <w:sz w:val="21"/>
          <w:szCs w:val="21"/>
          <w:highlight w:val="none"/>
        </w:rPr>
        <w:t>妊娠妇女、准备妊娠的妇女及其伴侣、哺乳期妇女</w:t>
      </w:r>
      <w:r>
        <w:rPr>
          <w:rFonts w:hint="eastAsia" w:ascii="Times New Roman" w:hAnsi="Times New Roman" w:cs="宋体"/>
          <w:color w:val="auto"/>
          <w:highlight w:val="none"/>
        </w:rPr>
        <w:t>；</w:t>
      </w:r>
    </w:p>
    <w:p w14:paraId="3959C46E">
      <w:pPr>
        <w:pStyle w:val="5"/>
        <w:keepNext w:val="0"/>
        <w:keepLines w:val="0"/>
        <w:pageBreakBefore w:val="0"/>
        <w:widowControl w:val="0"/>
        <w:kinsoku/>
        <w:wordWrap/>
        <w:overflowPunct/>
        <w:topLinePunct w:val="0"/>
        <w:autoSpaceDE/>
        <w:autoSpaceDN/>
        <w:bidi w:val="0"/>
        <w:adjustRightInd/>
        <w:snapToGrid/>
        <w:ind w:firstLine="218" w:firstLineChars="104"/>
        <w:textAlignment w:val="auto"/>
        <w:rPr>
          <w:rFonts w:hint="eastAsia" w:ascii="Times New Roman" w:hAnsi="Times New Roman" w:cs="宋体"/>
          <w:color w:val="auto"/>
          <w:highlight w:val="none"/>
        </w:rPr>
      </w:pPr>
      <w:r>
        <w:rPr>
          <w:rFonts w:hint="eastAsia" w:ascii="Times New Roman" w:hAnsi="Times New Roman" w:cs="宋体"/>
          <w:color w:val="auto"/>
          <w:highlight w:val="none"/>
        </w:rPr>
        <w:t>（</w:t>
      </w:r>
      <w:r>
        <w:rPr>
          <w:rFonts w:hint="eastAsia" w:ascii="Times New Roman" w:hAnsi="Times New Roman" w:cs="宋体"/>
          <w:color w:val="auto"/>
          <w:highlight w:val="none"/>
          <w:lang w:val="en-US" w:eastAsia="zh-CN"/>
        </w:rPr>
        <w:t>13</w:t>
      </w:r>
      <w:r>
        <w:rPr>
          <w:rFonts w:hint="eastAsia" w:ascii="Times New Roman" w:hAnsi="Times New Roman" w:cs="宋体"/>
          <w:color w:val="auto"/>
          <w:highlight w:val="none"/>
        </w:rPr>
        <w:t>）依从性差或者研究者认为不适合参加本试验的受试者；；</w:t>
      </w:r>
    </w:p>
    <w:p w14:paraId="25CC3D23">
      <w:pPr>
        <w:pStyle w:val="5"/>
        <w:keepNext w:val="0"/>
        <w:keepLines w:val="0"/>
        <w:pageBreakBefore w:val="0"/>
        <w:widowControl w:val="0"/>
        <w:kinsoku/>
        <w:wordWrap/>
        <w:overflowPunct/>
        <w:topLinePunct w:val="0"/>
        <w:autoSpaceDE/>
        <w:autoSpaceDN/>
        <w:bidi w:val="0"/>
        <w:adjustRightInd/>
        <w:snapToGrid/>
        <w:ind w:firstLine="218" w:firstLineChars="104"/>
        <w:textAlignment w:val="auto"/>
        <w:rPr>
          <w:rFonts w:ascii="Times New Roman" w:hAnsi="Times New Roman" w:cs="宋体"/>
          <w:color w:val="auto"/>
          <w:highlight w:val="none"/>
        </w:rPr>
      </w:pPr>
      <w:r>
        <w:rPr>
          <w:rFonts w:hint="eastAsia" w:ascii="Times New Roman" w:hAnsi="Times New Roman" w:cs="宋体"/>
          <w:color w:val="auto"/>
          <w:highlight w:val="none"/>
        </w:rPr>
        <w:t>若符合以上任意一条，则不能入选。</w:t>
      </w:r>
    </w:p>
    <w:p w14:paraId="5664A19B">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36" w:name="_Toc30225"/>
      <w:bookmarkStart w:id="37" w:name="_Toc148"/>
      <w:r>
        <w:rPr>
          <w:rFonts w:hint="eastAsia" w:ascii="Times New Roman" w:hAnsi="Times New Roman" w:cs="黑体"/>
          <w:b/>
          <w:bCs w:val="0"/>
          <w:color w:val="auto"/>
          <w:szCs w:val="24"/>
          <w:highlight w:val="none"/>
        </w:rPr>
        <w:t>受试者退出</w:t>
      </w:r>
      <w:r>
        <w:rPr>
          <w:rFonts w:hint="eastAsia" w:ascii="Times New Roman" w:hAnsi="Times New Roman" w:cs="黑体"/>
          <w:b/>
          <w:bCs w:val="0"/>
          <w:color w:val="auto"/>
          <w:szCs w:val="24"/>
          <w:highlight w:val="none"/>
          <w:lang w:eastAsia="zh-CN"/>
        </w:rPr>
        <w:t>试验</w:t>
      </w:r>
      <w:r>
        <w:rPr>
          <w:rFonts w:hint="eastAsia" w:ascii="Times New Roman" w:hAnsi="Times New Roman" w:cs="黑体"/>
          <w:b/>
          <w:bCs w:val="0"/>
          <w:color w:val="auto"/>
          <w:szCs w:val="24"/>
          <w:highlight w:val="none"/>
        </w:rPr>
        <w:t>标准</w:t>
      </w:r>
      <w:bookmarkEnd w:id="36"/>
      <w:bookmarkEnd w:id="37"/>
    </w:p>
    <w:p w14:paraId="2F9E39CD">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1.严重违背</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方案的</w:t>
      </w: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rPr>
        <w:t>；</w:t>
      </w:r>
    </w:p>
    <w:p w14:paraId="783127D2">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2.失访的</w:t>
      </w: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rPr>
        <w:t>；</w:t>
      </w:r>
    </w:p>
    <w:p w14:paraId="03A47B3B">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3.受试者要求退出；</w:t>
      </w:r>
    </w:p>
    <w:p w14:paraId="01B44A2E">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4.研究者认为受试者继续参加</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将面临不可接受的风险；</w:t>
      </w:r>
    </w:p>
    <w:p w14:paraId="3C429F45">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5.其他需要退出的情形。</w:t>
      </w:r>
    </w:p>
    <w:p w14:paraId="5F101165">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38" w:name="_Toc24182"/>
      <w:bookmarkStart w:id="39" w:name="_Toc26947"/>
      <w:r>
        <w:rPr>
          <w:rFonts w:hint="eastAsia" w:ascii="Times New Roman" w:hAnsi="Times New Roman" w:cs="黑体"/>
          <w:b/>
          <w:bCs w:val="0"/>
          <w:color w:val="auto"/>
          <w:szCs w:val="24"/>
          <w:highlight w:val="none"/>
          <w:lang w:val="en-US" w:eastAsia="zh-CN"/>
        </w:rPr>
        <w:t>入组时间</w:t>
      </w:r>
      <w:bookmarkEnd w:id="38"/>
    </w:p>
    <w:p w14:paraId="436477F5">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lang w:eastAsia="zh-CN"/>
        </w:rPr>
      </w:pPr>
      <w:r>
        <w:rPr>
          <w:rFonts w:hint="eastAsia" w:ascii="Times New Roman" w:hAnsi="Times New Roman" w:cs="宋体"/>
          <w:color w:val="auto"/>
          <w:highlight w:val="none"/>
          <w:lang w:eastAsia="zh-CN"/>
        </w:rPr>
        <w:t>受试者随机成功时间</w:t>
      </w:r>
      <w:r>
        <w:rPr>
          <w:rFonts w:hint="eastAsia" w:ascii="Times New Roman" w:hAnsi="Times New Roman" w:cs="宋体"/>
          <w:color w:val="auto"/>
          <w:highlight w:val="none"/>
          <w:lang w:val="en-US" w:eastAsia="zh-CN"/>
        </w:rPr>
        <w:t>为</w:t>
      </w:r>
      <w:r>
        <w:rPr>
          <w:rFonts w:hint="eastAsia" w:ascii="Times New Roman" w:hAnsi="Times New Roman" w:cs="宋体"/>
          <w:color w:val="auto"/>
          <w:highlight w:val="none"/>
          <w:lang w:eastAsia="zh-CN"/>
        </w:rPr>
        <w:t>入组</w:t>
      </w:r>
      <w:r>
        <w:rPr>
          <w:rFonts w:hint="eastAsia" w:ascii="Times New Roman" w:hAnsi="Times New Roman" w:cs="宋体"/>
          <w:color w:val="auto"/>
          <w:highlight w:val="none"/>
          <w:lang w:val="en-US" w:eastAsia="zh-CN"/>
        </w:rPr>
        <w:t>的</w:t>
      </w:r>
      <w:r>
        <w:rPr>
          <w:rFonts w:hint="eastAsia" w:ascii="Times New Roman" w:hAnsi="Times New Roman" w:cs="宋体"/>
          <w:color w:val="auto"/>
          <w:highlight w:val="none"/>
          <w:lang w:eastAsia="zh-CN"/>
        </w:rPr>
        <w:t>时间。</w:t>
      </w:r>
    </w:p>
    <w:p w14:paraId="0DA96DBE">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40" w:name="_Toc30979"/>
      <w:r>
        <w:rPr>
          <w:rFonts w:hint="eastAsia" w:ascii="Times New Roman" w:hAnsi="Times New Roman" w:cs="黑体"/>
          <w:b/>
          <w:bCs w:val="0"/>
          <w:color w:val="auto"/>
          <w:szCs w:val="24"/>
          <w:highlight w:val="none"/>
        </w:rPr>
        <w:t>更换受试者</w:t>
      </w:r>
      <w:bookmarkEnd w:id="39"/>
      <w:bookmarkEnd w:id="40"/>
    </w:p>
    <w:p w14:paraId="010CDC79">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在</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完成前提前中止</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的受试者不会被替代更换。</w:t>
      </w:r>
    </w:p>
    <w:p w14:paraId="3C739C76">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脱落率为20%，这意味着，共计240名</w:t>
      </w: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rPr>
        <w:t>随机入组接受</w:t>
      </w:r>
      <w:r>
        <w:rPr>
          <w:rFonts w:hint="eastAsia" w:ascii="Times New Roman" w:hAnsi="Times New Roman" w:cs="宋体"/>
          <w:color w:val="auto"/>
          <w:highlight w:val="none"/>
          <w:lang w:eastAsia="zh-CN"/>
        </w:rPr>
        <w:t>试验产品</w:t>
      </w:r>
      <w:r>
        <w:rPr>
          <w:rFonts w:hint="eastAsia" w:ascii="Times New Roman" w:hAnsi="Times New Roman" w:cs="宋体"/>
          <w:color w:val="auto"/>
          <w:highlight w:val="none"/>
        </w:rPr>
        <w:t>或对照产品治疗，以获得至少200例可评估</w:t>
      </w: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rPr>
        <w:t>，将监测实际脱落率。</w:t>
      </w:r>
    </w:p>
    <w:p w14:paraId="1AE7C9CC">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41" w:name="_Toc15067"/>
      <w:bookmarkStart w:id="42" w:name="_Toc18018"/>
      <w:r>
        <w:rPr>
          <w:rFonts w:hint="eastAsia" w:ascii="Times New Roman" w:hAnsi="Times New Roman" w:cs="黑体"/>
          <w:b/>
          <w:bCs w:val="0"/>
          <w:color w:val="auto"/>
          <w:szCs w:val="24"/>
          <w:highlight w:val="none"/>
        </w:rPr>
        <w:t>申办方停止标准</w:t>
      </w:r>
      <w:bookmarkEnd w:id="41"/>
      <w:bookmarkEnd w:id="42"/>
    </w:p>
    <w:p w14:paraId="0139ABF9">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可能会因为监管当局的决定、IRB/IEC意见变更、</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配方的安全问题或申办方的某些意见而提前结束这项</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w:t>
      </w:r>
    </w:p>
    <w:p w14:paraId="3ACA6DF2">
      <w:pPr>
        <w:pStyle w:val="3"/>
        <w:keepNext w:val="0"/>
        <w:keepLines w:val="0"/>
        <w:pageBreakBefore w:val="0"/>
        <w:widowControl w:val="0"/>
        <w:numPr>
          <w:ilvl w:val="0"/>
          <w:numId w:val="1"/>
        </w:numPr>
        <w:kinsoku/>
        <w:wordWrap/>
        <w:overflowPunct/>
        <w:topLinePunct w:val="0"/>
        <w:autoSpaceDE/>
        <w:autoSpaceDN/>
        <w:bidi w:val="0"/>
        <w:adjustRightInd/>
        <w:snapToGrid/>
        <w:spacing w:before="0" w:line="240" w:lineRule="auto"/>
        <w:textAlignment w:val="auto"/>
        <w:rPr>
          <w:rFonts w:ascii="Times New Roman" w:hAnsi="Times New Roman" w:cs="黑体"/>
          <w:b/>
          <w:bCs/>
          <w:color w:val="auto"/>
          <w:szCs w:val="28"/>
          <w:highlight w:val="none"/>
        </w:rPr>
      </w:pPr>
      <w:bookmarkStart w:id="43" w:name="_Toc23241"/>
      <w:r>
        <w:rPr>
          <w:rFonts w:hint="eastAsia" w:ascii="Times New Roman" w:hAnsi="Times New Roman" w:cs="黑体"/>
          <w:b/>
          <w:bCs/>
          <w:color w:val="auto"/>
          <w:szCs w:val="28"/>
          <w:highlight w:val="none"/>
          <w:lang w:eastAsia="zh-CN"/>
        </w:rPr>
        <w:t>试验用产品</w:t>
      </w:r>
      <w:bookmarkEnd w:id="43"/>
    </w:p>
    <w:p w14:paraId="268F005A">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44" w:name="_Toc15564"/>
      <w:bookmarkStart w:id="45" w:name="_Toc17179"/>
      <w:r>
        <w:rPr>
          <w:rFonts w:hint="eastAsia" w:ascii="Times New Roman" w:hAnsi="Times New Roman" w:cs="黑体"/>
          <w:b/>
          <w:bCs w:val="0"/>
          <w:color w:val="auto"/>
          <w:szCs w:val="24"/>
          <w:highlight w:val="none"/>
          <w:lang w:eastAsia="zh-CN"/>
        </w:rPr>
        <w:t>试验用产品</w:t>
      </w:r>
      <w:r>
        <w:rPr>
          <w:rFonts w:hint="eastAsia" w:ascii="Times New Roman" w:hAnsi="Times New Roman" w:cs="黑体"/>
          <w:b/>
          <w:bCs w:val="0"/>
          <w:color w:val="auto"/>
          <w:szCs w:val="24"/>
          <w:highlight w:val="none"/>
        </w:rPr>
        <w:t>描述</w:t>
      </w:r>
      <w:bookmarkEnd w:id="44"/>
      <w:bookmarkEnd w:id="45"/>
    </w:p>
    <w:p w14:paraId="251753DF">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46" w:name="_Toc15055"/>
      <w:bookmarkStart w:id="47" w:name="_Toc1911"/>
      <w:r>
        <w:rPr>
          <w:rFonts w:hint="eastAsia" w:ascii="Times New Roman" w:hAnsi="Times New Roman" w:cs="黑体"/>
          <w:b/>
          <w:bCs/>
          <w:color w:val="auto"/>
          <w:szCs w:val="21"/>
          <w:highlight w:val="none"/>
        </w:rPr>
        <w:t>成分</w:t>
      </w:r>
      <w:bookmarkEnd w:id="46"/>
      <w:bookmarkEnd w:id="47"/>
    </w:p>
    <w:p w14:paraId="174352D5">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2</w:t>
      </w:r>
      <w:r>
        <w:rPr>
          <w:rFonts w:hint="eastAsia" w:ascii="Times New Roman" w:hAnsi="Times New Roman" w:cs="宋体"/>
          <w:color w:val="auto"/>
          <w:highlight w:val="none"/>
          <w:lang w:val="en-US" w:eastAsia="zh-CN"/>
        </w:rPr>
        <w:t>67</w:t>
      </w:r>
      <w:r>
        <w:rPr>
          <w:rFonts w:hint="eastAsia" w:ascii="Times New Roman" w:hAnsi="Times New Roman" w:cs="宋体"/>
          <w:color w:val="auto"/>
          <w:highlight w:val="none"/>
        </w:rPr>
        <w:t xml:space="preserve"> mL</w:t>
      </w:r>
      <w:r>
        <w:rPr>
          <w:rFonts w:hint="eastAsia" w:ascii="Times New Roman" w:hAnsi="Times New Roman" w:cs="宋体"/>
          <w:color w:val="auto"/>
          <w:highlight w:val="none"/>
          <w:lang w:eastAsia="zh-CN"/>
        </w:rPr>
        <w:t>试验产品</w:t>
      </w:r>
      <w:r>
        <w:rPr>
          <w:rFonts w:hint="eastAsia" w:ascii="Times New Roman" w:hAnsi="Times New Roman" w:cs="宋体"/>
          <w:color w:val="auto"/>
          <w:highlight w:val="none"/>
        </w:rPr>
        <w:t>与2</w:t>
      </w:r>
      <w:r>
        <w:rPr>
          <w:rFonts w:hint="eastAsia" w:ascii="Times New Roman" w:hAnsi="Times New Roman" w:cs="宋体"/>
          <w:color w:val="auto"/>
          <w:highlight w:val="none"/>
          <w:lang w:val="en-US" w:eastAsia="zh-CN"/>
        </w:rPr>
        <w:t>82</w:t>
      </w:r>
      <w:r>
        <w:rPr>
          <w:rFonts w:hint="eastAsia" w:ascii="Times New Roman" w:hAnsi="Times New Roman" w:cs="宋体"/>
          <w:color w:val="auto"/>
          <w:highlight w:val="none"/>
        </w:rPr>
        <w:t xml:space="preserve"> mL对照产品热量相同，其他主要营养素含量比较见下表1，</w:t>
      </w:r>
      <w:r>
        <w:rPr>
          <w:rFonts w:hint="eastAsia" w:ascii="Times New Roman" w:hAnsi="Times New Roman" w:cs="宋体"/>
          <w:color w:val="auto"/>
          <w:highlight w:val="none"/>
          <w:lang w:eastAsia="zh-CN"/>
        </w:rPr>
        <w:t>试验产品</w:t>
      </w:r>
      <w:r>
        <w:rPr>
          <w:rFonts w:hint="eastAsia" w:ascii="Times New Roman" w:hAnsi="Times New Roman" w:cs="宋体"/>
          <w:color w:val="auto"/>
          <w:highlight w:val="none"/>
        </w:rPr>
        <w:t>与对照品的完整产品组成见表2。</w:t>
      </w:r>
    </w:p>
    <w:p w14:paraId="5EE4D080">
      <w:pPr>
        <w:pStyle w:val="5"/>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cs="宋体"/>
          <w:color w:val="auto"/>
          <w:highlight w:val="none"/>
        </w:rPr>
      </w:pPr>
      <w:r>
        <w:rPr>
          <w:rFonts w:hint="eastAsia" w:ascii="Times New Roman" w:hAnsi="Times New Roman" w:cs="宋体"/>
          <w:color w:val="auto"/>
          <w:highlight w:val="none"/>
        </w:rPr>
        <w:t>表1 君蓓力与</w:t>
      </w:r>
      <w:r>
        <w:rPr>
          <w:rFonts w:hint="eastAsia" w:ascii="Times New Roman" w:hAnsi="Times New Roman" w:cs="宋体"/>
          <w:color w:val="auto"/>
          <w:highlight w:val="none"/>
          <w:lang w:eastAsia="zh-CN"/>
        </w:rPr>
        <w:t>速熠素</w:t>
      </w:r>
      <w:r>
        <w:rPr>
          <w:rFonts w:hint="eastAsia" w:ascii="Times New Roman" w:hAnsi="Times New Roman" w:cs="宋体"/>
          <w:color w:val="auto"/>
          <w:highlight w:val="none"/>
        </w:rPr>
        <w:t>的能量和主要营养成分</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0"/>
        <w:gridCol w:w="1163"/>
        <w:gridCol w:w="892"/>
        <w:gridCol w:w="951"/>
        <w:gridCol w:w="850"/>
        <w:gridCol w:w="851"/>
        <w:gridCol w:w="992"/>
        <w:gridCol w:w="1893"/>
      </w:tblGrid>
      <w:tr w14:paraId="3B407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0" w:type="dxa"/>
            <w:vAlign w:val="center"/>
          </w:tcPr>
          <w:p w14:paraId="1E4CEBD7">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ascii="Times New Roman" w:hAnsi="Times New Roman" w:cs="宋体"/>
                <w:color w:val="auto"/>
                <w:highlight w:val="none"/>
              </w:rPr>
            </w:pPr>
            <w:r>
              <w:rPr>
                <w:rFonts w:hint="eastAsia" w:ascii="Times New Roman" w:hAnsi="Times New Roman" w:cs="宋体"/>
                <w:color w:val="auto"/>
                <w:highlight w:val="none"/>
              </w:rPr>
              <w:t>产品</w:t>
            </w:r>
          </w:p>
        </w:tc>
        <w:tc>
          <w:tcPr>
            <w:tcW w:w="1163" w:type="dxa"/>
            <w:vAlign w:val="center"/>
          </w:tcPr>
          <w:p w14:paraId="025BEF3F">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ascii="Times New Roman" w:hAnsi="Times New Roman" w:cs="宋体"/>
                <w:color w:val="auto"/>
                <w:highlight w:val="none"/>
              </w:rPr>
            </w:pPr>
            <w:r>
              <w:rPr>
                <w:rFonts w:hint="eastAsia" w:ascii="Times New Roman" w:hAnsi="Times New Roman" w:cs="宋体"/>
                <w:color w:val="auto"/>
                <w:highlight w:val="none"/>
              </w:rPr>
              <w:t>类别</w:t>
            </w:r>
          </w:p>
        </w:tc>
        <w:tc>
          <w:tcPr>
            <w:tcW w:w="892" w:type="dxa"/>
            <w:vAlign w:val="center"/>
          </w:tcPr>
          <w:p w14:paraId="7AB77BED">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ascii="Times New Roman" w:hAnsi="Times New Roman" w:cs="宋体"/>
                <w:color w:val="auto"/>
                <w:highlight w:val="none"/>
              </w:rPr>
            </w:pPr>
            <w:r>
              <w:rPr>
                <w:rFonts w:hint="eastAsia" w:ascii="Times New Roman" w:hAnsi="Times New Roman" w:cs="宋体"/>
                <w:color w:val="auto"/>
                <w:highlight w:val="none"/>
              </w:rPr>
              <w:t>液体量</w:t>
            </w:r>
          </w:p>
        </w:tc>
        <w:tc>
          <w:tcPr>
            <w:tcW w:w="951" w:type="dxa"/>
            <w:vAlign w:val="center"/>
          </w:tcPr>
          <w:p w14:paraId="6C861C58">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ascii="Times New Roman" w:hAnsi="Times New Roman" w:cs="宋体"/>
                <w:color w:val="auto"/>
                <w:highlight w:val="none"/>
              </w:rPr>
            </w:pPr>
            <w:r>
              <w:rPr>
                <w:rFonts w:hint="eastAsia" w:ascii="Times New Roman" w:hAnsi="Times New Roman" w:cs="宋体"/>
                <w:color w:val="auto"/>
                <w:highlight w:val="none"/>
              </w:rPr>
              <w:t>能量</w:t>
            </w:r>
          </w:p>
        </w:tc>
        <w:tc>
          <w:tcPr>
            <w:tcW w:w="850" w:type="dxa"/>
            <w:vAlign w:val="center"/>
          </w:tcPr>
          <w:p w14:paraId="25C2E5C7">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ascii="Times New Roman" w:hAnsi="Times New Roman" w:cs="宋体"/>
                <w:color w:val="auto"/>
                <w:highlight w:val="none"/>
              </w:rPr>
            </w:pPr>
            <w:r>
              <w:rPr>
                <w:rFonts w:hint="eastAsia" w:ascii="Times New Roman" w:hAnsi="Times New Roman" w:cs="宋体"/>
                <w:color w:val="auto"/>
                <w:highlight w:val="none"/>
              </w:rPr>
              <w:t>蛋白质</w:t>
            </w:r>
          </w:p>
        </w:tc>
        <w:tc>
          <w:tcPr>
            <w:tcW w:w="851" w:type="dxa"/>
            <w:vAlign w:val="center"/>
          </w:tcPr>
          <w:p w14:paraId="6BBD4052">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ascii="Times New Roman" w:hAnsi="Times New Roman" w:cs="宋体"/>
                <w:color w:val="auto"/>
                <w:highlight w:val="none"/>
              </w:rPr>
            </w:pPr>
            <w:r>
              <w:rPr>
                <w:rFonts w:hint="eastAsia" w:ascii="Times New Roman" w:hAnsi="Times New Roman" w:cs="宋体"/>
                <w:color w:val="auto"/>
                <w:highlight w:val="none"/>
              </w:rPr>
              <w:t>脂肪</w:t>
            </w:r>
          </w:p>
        </w:tc>
        <w:tc>
          <w:tcPr>
            <w:tcW w:w="992" w:type="dxa"/>
            <w:vAlign w:val="center"/>
          </w:tcPr>
          <w:p w14:paraId="661E2205">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ascii="Times New Roman" w:hAnsi="Times New Roman" w:cs="宋体"/>
                <w:color w:val="auto"/>
                <w:highlight w:val="none"/>
              </w:rPr>
            </w:pPr>
            <w:r>
              <w:rPr>
                <w:rFonts w:hint="eastAsia" w:ascii="Times New Roman" w:hAnsi="Times New Roman" w:cs="宋体"/>
                <w:color w:val="auto"/>
                <w:highlight w:val="none"/>
              </w:rPr>
              <w:t>碳水化合物</w:t>
            </w:r>
          </w:p>
        </w:tc>
        <w:tc>
          <w:tcPr>
            <w:tcW w:w="1893" w:type="dxa"/>
            <w:vAlign w:val="center"/>
          </w:tcPr>
          <w:p w14:paraId="720BD312">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ascii="Times New Roman" w:hAnsi="Times New Roman" w:cs="宋体"/>
                <w:color w:val="auto"/>
                <w:highlight w:val="none"/>
              </w:rPr>
            </w:pPr>
            <w:r>
              <w:rPr>
                <w:rFonts w:hint="eastAsia" w:ascii="Times New Roman" w:hAnsi="Times New Roman" w:cs="宋体"/>
                <w:color w:val="auto"/>
                <w:highlight w:val="none"/>
              </w:rPr>
              <w:t>其他</w:t>
            </w:r>
          </w:p>
        </w:tc>
      </w:tr>
      <w:tr w14:paraId="765EC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0" w:type="dxa"/>
            <w:vAlign w:val="center"/>
          </w:tcPr>
          <w:p w14:paraId="63CBC37B">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ascii="Times New Roman" w:hAnsi="Times New Roman" w:cs="宋体"/>
                <w:color w:val="auto"/>
                <w:highlight w:val="none"/>
              </w:rPr>
            </w:pPr>
            <w:r>
              <w:rPr>
                <w:rFonts w:hint="eastAsia" w:ascii="Times New Roman" w:hAnsi="Times New Roman" w:cs="宋体"/>
                <w:color w:val="auto"/>
                <w:highlight w:val="none"/>
                <w:lang w:eastAsia="zh-CN"/>
              </w:rPr>
              <w:t>试验产品</w:t>
            </w:r>
            <w:r>
              <w:rPr>
                <w:rFonts w:hint="eastAsia" w:ascii="Times New Roman" w:hAnsi="Times New Roman" w:cs="宋体"/>
                <w:color w:val="auto"/>
                <w:highlight w:val="none"/>
              </w:rPr>
              <w:t>：</w:t>
            </w:r>
          </w:p>
          <w:p w14:paraId="30DAF95F">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ascii="Times New Roman" w:hAnsi="Times New Roman" w:cs="宋体"/>
                <w:color w:val="auto"/>
                <w:highlight w:val="none"/>
              </w:rPr>
            </w:pPr>
            <w:r>
              <w:rPr>
                <w:rFonts w:hint="eastAsia" w:ascii="Times New Roman" w:hAnsi="Times New Roman" w:cs="宋体"/>
                <w:color w:val="auto"/>
                <w:highlight w:val="none"/>
              </w:rPr>
              <w:t>君蓓力</w:t>
            </w:r>
          </w:p>
        </w:tc>
        <w:tc>
          <w:tcPr>
            <w:tcW w:w="1163" w:type="dxa"/>
            <w:vAlign w:val="center"/>
          </w:tcPr>
          <w:p w14:paraId="0AA55698">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ascii="Times New Roman" w:hAnsi="Times New Roman" w:cs="宋体"/>
                <w:color w:val="auto"/>
                <w:highlight w:val="none"/>
              </w:rPr>
            </w:pPr>
            <w:r>
              <w:rPr>
                <w:rFonts w:hint="eastAsia" w:ascii="Times New Roman" w:hAnsi="Times New Roman" w:cs="宋体"/>
                <w:color w:val="auto"/>
                <w:highlight w:val="none"/>
              </w:rPr>
              <w:t>特殊医学用途肿瘤全营养配方食品</w:t>
            </w:r>
          </w:p>
        </w:tc>
        <w:tc>
          <w:tcPr>
            <w:tcW w:w="892" w:type="dxa"/>
            <w:vAlign w:val="center"/>
          </w:tcPr>
          <w:p w14:paraId="01BB9781">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ascii="Times New Roman" w:hAnsi="Times New Roman" w:cs="宋体"/>
                <w:color w:val="auto"/>
                <w:highlight w:val="none"/>
              </w:rPr>
            </w:pPr>
            <w:r>
              <w:rPr>
                <w:rFonts w:hint="eastAsia" w:ascii="Times New Roman" w:hAnsi="Times New Roman" w:cs="宋体"/>
                <w:color w:val="auto"/>
                <w:highlight w:val="none"/>
              </w:rPr>
              <w:t>2</w:t>
            </w:r>
            <w:r>
              <w:rPr>
                <w:rFonts w:ascii="Times New Roman" w:hAnsi="Times New Roman" w:cs="宋体"/>
                <w:color w:val="auto"/>
                <w:highlight w:val="none"/>
              </w:rPr>
              <w:t>67</w:t>
            </w:r>
            <w:r>
              <w:rPr>
                <w:rFonts w:hint="eastAsia" w:ascii="Times New Roman" w:hAnsi="Times New Roman" w:cs="宋体"/>
                <w:color w:val="auto"/>
                <w:highlight w:val="none"/>
              </w:rPr>
              <w:t>mL</w:t>
            </w:r>
          </w:p>
        </w:tc>
        <w:tc>
          <w:tcPr>
            <w:tcW w:w="951" w:type="dxa"/>
            <w:vAlign w:val="center"/>
          </w:tcPr>
          <w:p w14:paraId="563D1A38">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ascii="Times New Roman" w:hAnsi="Times New Roman" w:cs="宋体"/>
                <w:color w:val="auto"/>
                <w:highlight w:val="none"/>
              </w:rPr>
            </w:pPr>
            <w:r>
              <w:rPr>
                <w:rFonts w:ascii="Times New Roman" w:hAnsi="Times New Roman" w:cs="宋体"/>
                <w:color w:val="auto"/>
                <w:highlight w:val="none"/>
              </w:rPr>
              <w:t>400</w:t>
            </w:r>
            <w:r>
              <w:rPr>
                <w:rFonts w:hint="eastAsia" w:ascii="Times New Roman" w:hAnsi="Times New Roman" w:cs="宋体"/>
                <w:color w:val="auto"/>
                <w:highlight w:val="none"/>
              </w:rPr>
              <w:t xml:space="preserve"> kcal</w:t>
            </w:r>
          </w:p>
        </w:tc>
        <w:tc>
          <w:tcPr>
            <w:tcW w:w="850" w:type="dxa"/>
            <w:vAlign w:val="center"/>
          </w:tcPr>
          <w:p w14:paraId="0C96F8E2">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ascii="Times New Roman" w:hAnsi="Times New Roman" w:cs="宋体"/>
                <w:color w:val="auto"/>
                <w:highlight w:val="none"/>
              </w:rPr>
            </w:pPr>
            <w:r>
              <w:rPr>
                <w:rFonts w:hint="eastAsia" w:cs="宋体"/>
                <w:color w:val="auto"/>
                <w:highlight w:val="none"/>
                <w:lang w:val="en-US" w:eastAsia="zh-CN"/>
              </w:rPr>
              <w:t>22.7</w:t>
            </w:r>
            <w:r>
              <w:rPr>
                <w:rFonts w:ascii="Times New Roman" w:hAnsi="Times New Roman" w:cs="宋体"/>
                <w:color w:val="auto"/>
                <w:highlight w:val="none"/>
              </w:rPr>
              <w:t>g</w:t>
            </w:r>
          </w:p>
        </w:tc>
        <w:tc>
          <w:tcPr>
            <w:tcW w:w="851" w:type="dxa"/>
            <w:vAlign w:val="center"/>
          </w:tcPr>
          <w:p w14:paraId="25A15F02">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ascii="Times New Roman" w:hAnsi="Times New Roman" w:cs="宋体"/>
                <w:color w:val="auto"/>
                <w:highlight w:val="none"/>
              </w:rPr>
            </w:pPr>
            <w:r>
              <w:rPr>
                <w:rFonts w:hint="eastAsia" w:cs="宋体"/>
                <w:color w:val="auto"/>
                <w:highlight w:val="none"/>
                <w:lang w:val="en-US" w:eastAsia="zh-CN"/>
              </w:rPr>
              <w:t>18.16</w:t>
            </w:r>
            <w:r>
              <w:rPr>
                <w:rFonts w:ascii="Times New Roman" w:hAnsi="Times New Roman" w:cs="宋体"/>
                <w:color w:val="auto"/>
                <w:highlight w:val="none"/>
              </w:rPr>
              <w:t>g</w:t>
            </w:r>
          </w:p>
        </w:tc>
        <w:tc>
          <w:tcPr>
            <w:tcW w:w="992" w:type="dxa"/>
            <w:vAlign w:val="center"/>
          </w:tcPr>
          <w:p w14:paraId="12EE3CE1">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ascii="Times New Roman" w:hAnsi="Times New Roman" w:cs="宋体"/>
                <w:color w:val="auto"/>
                <w:highlight w:val="none"/>
              </w:rPr>
            </w:pPr>
            <w:r>
              <w:rPr>
                <w:rFonts w:hint="eastAsia" w:cs="宋体"/>
                <w:color w:val="auto"/>
                <w:highlight w:val="none"/>
                <w:lang w:val="en-US" w:eastAsia="zh-CN"/>
              </w:rPr>
              <w:t>34.18</w:t>
            </w:r>
            <w:r>
              <w:rPr>
                <w:rFonts w:ascii="Times New Roman" w:hAnsi="Times New Roman" w:cs="宋体"/>
                <w:color w:val="auto"/>
                <w:highlight w:val="none"/>
              </w:rPr>
              <w:t>g</w:t>
            </w:r>
          </w:p>
        </w:tc>
        <w:tc>
          <w:tcPr>
            <w:tcW w:w="1893" w:type="dxa"/>
            <w:vAlign w:val="center"/>
          </w:tcPr>
          <w:p w14:paraId="7FD9395B">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ascii="Times New Roman" w:hAnsi="Times New Roman" w:cs="宋体"/>
                <w:color w:val="auto"/>
                <w:highlight w:val="none"/>
              </w:rPr>
            </w:pPr>
            <w:r>
              <w:rPr>
                <w:rFonts w:hint="eastAsia" w:ascii="Times New Roman" w:hAnsi="Times New Roman" w:cs="宋体"/>
                <w:color w:val="auto"/>
                <w:highlight w:val="none"/>
              </w:rPr>
              <w:t>能量密度：1.5kcal/mL；n-3脂肪酸</w:t>
            </w:r>
            <w:r>
              <w:rPr>
                <w:rFonts w:hint="eastAsia" w:cs="宋体"/>
                <w:color w:val="auto"/>
                <w:highlight w:val="none"/>
                <w:lang w:val="en-US" w:eastAsia="zh-CN"/>
              </w:rPr>
              <w:t>1.60</w:t>
            </w:r>
            <w:r>
              <w:rPr>
                <w:rFonts w:hint="eastAsia" w:ascii="Times New Roman" w:hAnsi="Times New Roman" w:cs="宋体"/>
                <w:color w:val="auto"/>
                <w:highlight w:val="none"/>
              </w:rPr>
              <w:t>g；L-精氨酸</w:t>
            </w:r>
            <w:r>
              <w:rPr>
                <w:rFonts w:hint="eastAsia" w:cs="宋体"/>
                <w:color w:val="auto"/>
                <w:highlight w:val="none"/>
                <w:lang w:val="en-US" w:eastAsia="zh-CN"/>
              </w:rPr>
              <w:t>2.67</w:t>
            </w:r>
            <w:r>
              <w:rPr>
                <w:rFonts w:hint="eastAsia" w:ascii="Times New Roman" w:hAnsi="Times New Roman" w:cs="宋体"/>
                <w:color w:val="auto"/>
                <w:highlight w:val="none"/>
              </w:rPr>
              <w:t>g；核苷酸</w:t>
            </w:r>
            <w:r>
              <w:rPr>
                <w:rFonts w:hint="eastAsia" w:cs="宋体"/>
                <w:color w:val="auto"/>
                <w:highlight w:val="none"/>
                <w:lang w:val="en-US" w:eastAsia="zh-CN"/>
              </w:rPr>
              <w:t>507.30</w:t>
            </w:r>
            <w:r>
              <w:rPr>
                <w:rFonts w:hint="eastAsia" w:ascii="Times New Roman" w:hAnsi="Times New Roman" w:cs="宋体"/>
                <w:color w:val="auto"/>
                <w:highlight w:val="none"/>
              </w:rPr>
              <w:t>mg；渗透压450 mOsmol/kg</w:t>
            </w:r>
          </w:p>
        </w:tc>
      </w:tr>
      <w:tr w14:paraId="6483D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0" w:type="dxa"/>
            <w:vAlign w:val="center"/>
          </w:tcPr>
          <w:p w14:paraId="4FF4C7BF">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ascii="Times New Roman" w:hAnsi="Times New Roman" w:cs="宋体"/>
                <w:color w:val="auto"/>
                <w:highlight w:val="none"/>
              </w:rPr>
            </w:pPr>
            <w:r>
              <w:rPr>
                <w:rFonts w:hint="eastAsia" w:ascii="Times New Roman" w:hAnsi="Times New Roman" w:cs="宋体"/>
                <w:color w:val="auto"/>
                <w:highlight w:val="none"/>
              </w:rPr>
              <w:t>对照产品：</w:t>
            </w:r>
          </w:p>
          <w:p w14:paraId="2D57FCC5">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eastAsia" w:ascii="Times New Roman" w:hAnsi="Times New Roman" w:eastAsia="宋体" w:cs="宋体"/>
                <w:color w:val="auto"/>
                <w:highlight w:val="none"/>
                <w:lang w:eastAsia="zh-CN"/>
              </w:rPr>
            </w:pPr>
            <w:r>
              <w:rPr>
                <w:rFonts w:hint="eastAsia" w:ascii="Times New Roman" w:hAnsi="Times New Roman" w:cs="宋体"/>
                <w:color w:val="auto"/>
                <w:highlight w:val="none"/>
                <w:lang w:eastAsia="zh-CN"/>
              </w:rPr>
              <w:t>速熠素</w:t>
            </w:r>
          </w:p>
        </w:tc>
        <w:tc>
          <w:tcPr>
            <w:tcW w:w="1163" w:type="dxa"/>
            <w:vAlign w:val="center"/>
          </w:tcPr>
          <w:p w14:paraId="4B8D3D6B">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ascii="Times New Roman" w:hAnsi="Times New Roman" w:cs="宋体"/>
                <w:color w:val="auto"/>
                <w:highlight w:val="none"/>
              </w:rPr>
            </w:pPr>
            <w:r>
              <w:rPr>
                <w:rFonts w:hint="eastAsia" w:ascii="Times New Roman" w:hAnsi="Times New Roman" w:cs="宋体"/>
                <w:color w:val="auto"/>
                <w:highlight w:val="none"/>
              </w:rPr>
              <w:t>特殊医学用途肿瘤全营养配方食品</w:t>
            </w:r>
          </w:p>
        </w:tc>
        <w:tc>
          <w:tcPr>
            <w:tcW w:w="892" w:type="dxa"/>
            <w:vAlign w:val="center"/>
          </w:tcPr>
          <w:p w14:paraId="5C75FAF5">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ascii="Times New Roman" w:hAnsi="Times New Roman" w:cs="宋体"/>
                <w:color w:val="auto"/>
                <w:highlight w:val="none"/>
              </w:rPr>
            </w:pPr>
            <w:r>
              <w:rPr>
                <w:rFonts w:ascii="Times New Roman" w:hAnsi="Times New Roman" w:cs="宋体"/>
                <w:color w:val="auto"/>
                <w:highlight w:val="none"/>
              </w:rPr>
              <w:t>282</w:t>
            </w:r>
            <w:r>
              <w:rPr>
                <w:rFonts w:hint="eastAsia" w:ascii="Times New Roman" w:hAnsi="Times New Roman" w:cs="宋体"/>
                <w:color w:val="auto"/>
                <w:highlight w:val="none"/>
              </w:rPr>
              <w:t>mL</w:t>
            </w:r>
          </w:p>
        </w:tc>
        <w:tc>
          <w:tcPr>
            <w:tcW w:w="951" w:type="dxa"/>
            <w:vAlign w:val="center"/>
          </w:tcPr>
          <w:p w14:paraId="171771FA">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ascii="Times New Roman" w:hAnsi="Times New Roman" w:cs="宋体"/>
                <w:color w:val="auto"/>
                <w:highlight w:val="none"/>
              </w:rPr>
            </w:pPr>
            <w:r>
              <w:rPr>
                <w:rFonts w:ascii="Times New Roman" w:hAnsi="Times New Roman" w:cs="宋体"/>
                <w:color w:val="auto"/>
                <w:highlight w:val="none"/>
              </w:rPr>
              <w:t>4</w:t>
            </w:r>
            <w:r>
              <w:rPr>
                <w:rFonts w:hint="eastAsia" w:ascii="Times New Roman" w:hAnsi="Times New Roman" w:cs="宋体"/>
                <w:color w:val="auto"/>
                <w:highlight w:val="none"/>
              </w:rPr>
              <w:t>00 kcal</w:t>
            </w:r>
          </w:p>
        </w:tc>
        <w:tc>
          <w:tcPr>
            <w:tcW w:w="850" w:type="dxa"/>
            <w:vAlign w:val="center"/>
          </w:tcPr>
          <w:p w14:paraId="0BA2F475">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ascii="Times New Roman" w:hAnsi="Times New Roman" w:cs="宋体"/>
                <w:color w:val="auto"/>
                <w:highlight w:val="none"/>
              </w:rPr>
            </w:pPr>
            <w:r>
              <w:rPr>
                <w:rFonts w:ascii="Times New Roman" w:hAnsi="Times New Roman"/>
                <w:color w:val="auto"/>
                <w:highlight w:val="none"/>
              </w:rPr>
              <w:t>24.26g</w:t>
            </w:r>
          </w:p>
        </w:tc>
        <w:tc>
          <w:tcPr>
            <w:tcW w:w="851" w:type="dxa"/>
            <w:vAlign w:val="center"/>
          </w:tcPr>
          <w:p w14:paraId="4031B7AF">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ascii="Times New Roman" w:hAnsi="Times New Roman" w:cs="宋体"/>
                <w:color w:val="auto"/>
                <w:highlight w:val="none"/>
              </w:rPr>
            </w:pPr>
            <w:r>
              <w:rPr>
                <w:rFonts w:ascii="Times New Roman" w:hAnsi="Times New Roman"/>
                <w:color w:val="auto"/>
                <w:highlight w:val="none"/>
              </w:rPr>
              <w:t>15.23g</w:t>
            </w:r>
          </w:p>
        </w:tc>
        <w:tc>
          <w:tcPr>
            <w:tcW w:w="992" w:type="dxa"/>
            <w:vAlign w:val="center"/>
          </w:tcPr>
          <w:p w14:paraId="3D35ABBA">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ascii="Times New Roman" w:hAnsi="Times New Roman" w:cs="宋体"/>
                <w:color w:val="auto"/>
                <w:highlight w:val="none"/>
              </w:rPr>
            </w:pPr>
            <w:r>
              <w:rPr>
                <w:rFonts w:ascii="Times New Roman" w:hAnsi="Times New Roman"/>
                <w:color w:val="auto"/>
                <w:highlight w:val="none"/>
              </w:rPr>
              <w:t>39.77g</w:t>
            </w:r>
          </w:p>
        </w:tc>
        <w:tc>
          <w:tcPr>
            <w:tcW w:w="1893" w:type="dxa"/>
            <w:vAlign w:val="center"/>
          </w:tcPr>
          <w:p w14:paraId="62BE4E6A">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ascii="Times New Roman" w:hAnsi="Times New Roman" w:cs="宋体"/>
                <w:color w:val="auto"/>
                <w:highlight w:val="none"/>
              </w:rPr>
            </w:pPr>
            <w:r>
              <w:rPr>
                <w:rFonts w:hint="eastAsia" w:ascii="Times New Roman" w:hAnsi="Times New Roman" w:cs="宋体"/>
                <w:color w:val="auto"/>
                <w:highlight w:val="none"/>
              </w:rPr>
              <w:t>能量密度：1.418 kcal/mL；n-3脂肪酸1.13g、核苷酸509mg；渗透压642 mOsmol/kg</w:t>
            </w:r>
          </w:p>
        </w:tc>
      </w:tr>
    </w:tbl>
    <w:p w14:paraId="5EBDA4F8">
      <w:pPr>
        <w:pStyle w:val="5"/>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cs="宋体"/>
          <w:color w:val="auto"/>
          <w:highlight w:val="none"/>
        </w:rPr>
      </w:pPr>
      <w:r>
        <w:rPr>
          <w:rFonts w:hint="eastAsia" w:ascii="Times New Roman" w:hAnsi="Times New Roman" w:cs="宋体"/>
          <w:color w:val="auto"/>
          <w:highlight w:val="none"/>
        </w:rPr>
        <w:t>表2 君蓓力与</w:t>
      </w:r>
      <w:r>
        <w:rPr>
          <w:rFonts w:hint="eastAsia" w:ascii="Times New Roman" w:hAnsi="Times New Roman" w:cs="宋体"/>
          <w:color w:val="auto"/>
          <w:highlight w:val="none"/>
          <w:lang w:eastAsia="zh-CN"/>
        </w:rPr>
        <w:t>速熠素</w:t>
      </w:r>
      <w:r>
        <w:rPr>
          <w:rFonts w:hint="eastAsia" w:ascii="Times New Roman" w:hAnsi="Times New Roman" w:cs="宋体"/>
          <w:color w:val="auto"/>
          <w:highlight w:val="none"/>
        </w:rPr>
        <w:t>营养素含量对比</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1"/>
        <w:gridCol w:w="1036"/>
        <w:gridCol w:w="1039"/>
        <w:gridCol w:w="1075"/>
        <w:gridCol w:w="933"/>
      </w:tblGrid>
      <w:tr w14:paraId="002EB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Merge w:val="restart"/>
            <w:vAlign w:val="center"/>
          </w:tcPr>
          <w:p w14:paraId="1BA18F48">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highlight w:val="none"/>
              </w:rPr>
              <w:t>项目</w:t>
            </w:r>
          </w:p>
        </w:tc>
        <w:tc>
          <w:tcPr>
            <w:tcW w:w="2075" w:type="dxa"/>
            <w:gridSpan w:val="2"/>
            <w:vAlign w:val="center"/>
          </w:tcPr>
          <w:p w14:paraId="3BBB4A41">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highlight w:val="none"/>
              </w:rPr>
              <w:t>君蓓力</w:t>
            </w:r>
          </w:p>
        </w:tc>
        <w:tc>
          <w:tcPr>
            <w:tcW w:w="2008" w:type="dxa"/>
            <w:gridSpan w:val="2"/>
            <w:vAlign w:val="center"/>
          </w:tcPr>
          <w:p w14:paraId="0AB0D066">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eastAsia" w:ascii="Times New Roman" w:hAnsi="Times New Roman" w:eastAsia="宋体" w:cs="Times New Roman"/>
                <w:color w:val="auto"/>
                <w:highlight w:val="none"/>
                <w:lang w:eastAsia="zh-CN"/>
              </w:rPr>
            </w:pPr>
            <w:r>
              <w:rPr>
                <w:rFonts w:hint="eastAsia" w:ascii="Times New Roman" w:hAnsi="Times New Roman" w:cs="Times New Roman"/>
                <w:color w:val="auto"/>
                <w:highlight w:val="none"/>
                <w:lang w:eastAsia="zh-CN"/>
              </w:rPr>
              <w:t>速熠素</w:t>
            </w:r>
          </w:p>
        </w:tc>
      </w:tr>
      <w:tr w14:paraId="41D15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Merge w:val="continue"/>
            <w:vAlign w:val="center"/>
          </w:tcPr>
          <w:p w14:paraId="38BA1586">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p>
        </w:tc>
        <w:tc>
          <w:tcPr>
            <w:tcW w:w="1036" w:type="dxa"/>
            <w:vAlign w:val="center"/>
          </w:tcPr>
          <w:p w14:paraId="1E97A82C">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267mL</w:t>
            </w:r>
          </w:p>
        </w:tc>
        <w:tc>
          <w:tcPr>
            <w:tcW w:w="1039" w:type="dxa"/>
            <w:vAlign w:val="center"/>
          </w:tcPr>
          <w:p w14:paraId="363EFEB1">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100kJ</w:t>
            </w:r>
          </w:p>
        </w:tc>
        <w:tc>
          <w:tcPr>
            <w:tcW w:w="1075" w:type="dxa"/>
            <w:vAlign w:val="center"/>
          </w:tcPr>
          <w:p w14:paraId="2E017BC0">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282mL</w:t>
            </w:r>
          </w:p>
        </w:tc>
        <w:tc>
          <w:tcPr>
            <w:tcW w:w="933" w:type="dxa"/>
            <w:vAlign w:val="center"/>
          </w:tcPr>
          <w:p w14:paraId="330F087C">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100kJ</w:t>
            </w:r>
          </w:p>
        </w:tc>
      </w:tr>
      <w:tr w14:paraId="054BA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7B648221">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能量，kcal</w:t>
            </w:r>
          </w:p>
        </w:tc>
        <w:tc>
          <w:tcPr>
            <w:tcW w:w="1036" w:type="dxa"/>
            <w:vAlign w:val="center"/>
          </w:tcPr>
          <w:p w14:paraId="06FC0E24">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400</w:t>
            </w:r>
          </w:p>
        </w:tc>
        <w:tc>
          <w:tcPr>
            <w:tcW w:w="1039" w:type="dxa"/>
            <w:vAlign w:val="center"/>
          </w:tcPr>
          <w:p w14:paraId="158E53BA">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eastAsia" w:ascii="Times New Roman" w:hAnsi="Times New Roman" w:eastAsia="宋体" w:cs="Times New Roman"/>
                <w:color w:val="auto"/>
                <w:highlight w:val="none"/>
                <w:lang w:eastAsia="zh-CN"/>
              </w:rPr>
            </w:pPr>
            <w:r>
              <w:rPr>
                <w:rFonts w:hint="eastAsia" w:cs="Times New Roman"/>
                <w:color w:val="auto"/>
                <w:kern w:val="0"/>
                <w:highlight w:val="none"/>
                <w:lang w:eastAsia="zh-CN"/>
              </w:rPr>
              <w:t>——</w:t>
            </w:r>
          </w:p>
        </w:tc>
        <w:tc>
          <w:tcPr>
            <w:tcW w:w="1075" w:type="dxa"/>
            <w:vAlign w:val="center"/>
          </w:tcPr>
          <w:p w14:paraId="07FB6FF0">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400</w:t>
            </w:r>
          </w:p>
        </w:tc>
        <w:tc>
          <w:tcPr>
            <w:tcW w:w="933" w:type="dxa"/>
            <w:vAlign w:val="center"/>
          </w:tcPr>
          <w:p w14:paraId="33D7DC50">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eastAsia" w:ascii="Times New Roman" w:hAnsi="Times New Roman" w:eastAsia="宋体" w:cs="Times New Roman"/>
                <w:color w:val="auto"/>
                <w:highlight w:val="none"/>
                <w:lang w:eastAsia="zh-CN"/>
              </w:rPr>
            </w:pPr>
            <w:r>
              <w:rPr>
                <w:rFonts w:hint="eastAsia" w:cs="Times New Roman"/>
                <w:color w:val="auto"/>
                <w:kern w:val="0"/>
                <w:highlight w:val="none"/>
                <w:lang w:eastAsia="zh-CN"/>
              </w:rPr>
              <w:t>——</w:t>
            </w:r>
          </w:p>
        </w:tc>
      </w:tr>
      <w:tr w14:paraId="57649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17F20737">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蛋白质，g</w:t>
            </w:r>
          </w:p>
        </w:tc>
        <w:tc>
          <w:tcPr>
            <w:tcW w:w="1036" w:type="dxa"/>
            <w:vAlign w:val="center"/>
          </w:tcPr>
          <w:p w14:paraId="3D01675A">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eastAsia="宋体" w:cs="Times New Roman"/>
                <w:color w:val="auto"/>
                <w:highlight w:val="none"/>
                <w:lang w:val="en-US" w:eastAsia="zh-CN"/>
              </w:rPr>
            </w:pPr>
            <w:r>
              <w:rPr>
                <w:rFonts w:hint="eastAsia" w:cs="Times New Roman"/>
                <w:color w:val="auto"/>
                <w:highlight w:val="none"/>
                <w:lang w:val="en-US" w:eastAsia="zh-CN"/>
              </w:rPr>
              <w:t>22.70</w:t>
            </w:r>
          </w:p>
        </w:tc>
        <w:tc>
          <w:tcPr>
            <w:tcW w:w="1039" w:type="dxa"/>
            <w:vAlign w:val="center"/>
          </w:tcPr>
          <w:p w14:paraId="77007034">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eastAsia" w:ascii="Times New Roman" w:hAnsi="Times New Roman" w:eastAsia="宋体" w:cs="Times New Roman"/>
                <w:color w:val="auto"/>
                <w:highlight w:val="none"/>
                <w:lang w:eastAsia="zh-CN"/>
              </w:rPr>
            </w:pPr>
            <w:r>
              <w:rPr>
                <w:rFonts w:hint="default" w:ascii="Times New Roman" w:hAnsi="Times New Roman" w:cs="Times New Roman"/>
                <w:color w:val="auto"/>
                <w:kern w:val="0"/>
                <w:highlight w:val="none"/>
              </w:rPr>
              <w:t>1.3</w:t>
            </w:r>
            <w:r>
              <w:rPr>
                <w:rFonts w:hint="eastAsia" w:cs="Times New Roman"/>
                <w:color w:val="auto"/>
                <w:kern w:val="0"/>
                <w:highlight w:val="none"/>
                <w:lang w:val="en-US" w:eastAsia="zh-CN"/>
              </w:rPr>
              <w:t>6</w:t>
            </w:r>
          </w:p>
        </w:tc>
        <w:tc>
          <w:tcPr>
            <w:tcW w:w="1075" w:type="dxa"/>
            <w:vAlign w:val="center"/>
          </w:tcPr>
          <w:p w14:paraId="543D8D2B">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24.26</w:t>
            </w:r>
          </w:p>
        </w:tc>
        <w:tc>
          <w:tcPr>
            <w:tcW w:w="933" w:type="dxa"/>
            <w:vAlign w:val="center"/>
          </w:tcPr>
          <w:p w14:paraId="6B5EDA05">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1.45</w:t>
            </w:r>
          </w:p>
        </w:tc>
      </w:tr>
      <w:tr w14:paraId="458C2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10BD96CD">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精氨酸，g</w:t>
            </w:r>
          </w:p>
        </w:tc>
        <w:tc>
          <w:tcPr>
            <w:tcW w:w="1036" w:type="dxa"/>
            <w:vAlign w:val="center"/>
          </w:tcPr>
          <w:p w14:paraId="63450ADA">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eastAsia="宋体" w:cs="Times New Roman"/>
                <w:color w:val="auto"/>
                <w:highlight w:val="none"/>
                <w:lang w:val="en-US" w:eastAsia="zh-CN"/>
              </w:rPr>
            </w:pPr>
            <w:r>
              <w:rPr>
                <w:rFonts w:hint="eastAsia" w:cs="Times New Roman"/>
                <w:color w:val="auto"/>
                <w:highlight w:val="none"/>
                <w:lang w:val="en-US" w:eastAsia="zh-CN"/>
              </w:rPr>
              <w:t>2.67</w:t>
            </w:r>
          </w:p>
        </w:tc>
        <w:tc>
          <w:tcPr>
            <w:tcW w:w="1039" w:type="dxa"/>
            <w:vAlign w:val="center"/>
          </w:tcPr>
          <w:p w14:paraId="2A28900B">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eastAsia" w:ascii="Times New Roman" w:hAnsi="Times New Roman" w:eastAsia="宋体" w:cs="Times New Roman"/>
                <w:color w:val="auto"/>
                <w:highlight w:val="none"/>
                <w:lang w:val="en-US" w:eastAsia="zh-CN"/>
              </w:rPr>
            </w:pPr>
            <w:r>
              <w:rPr>
                <w:rFonts w:hint="default" w:ascii="Times New Roman" w:hAnsi="Times New Roman" w:cs="Times New Roman"/>
                <w:color w:val="auto"/>
                <w:kern w:val="0"/>
                <w:highlight w:val="none"/>
              </w:rPr>
              <w:t>0.1</w:t>
            </w:r>
            <w:r>
              <w:rPr>
                <w:rFonts w:hint="eastAsia" w:cs="Times New Roman"/>
                <w:color w:val="auto"/>
                <w:kern w:val="0"/>
                <w:highlight w:val="none"/>
                <w:lang w:val="en-US" w:eastAsia="zh-CN"/>
              </w:rPr>
              <w:t>6</w:t>
            </w:r>
          </w:p>
        </w:tc>
        <w:tc>
          <w:tcPr>
            <w:tcW w:w="1075" w:type="dxa"/>
            <w:vAlign w:val="center"/>
          </w:tcPr>
          <w:p w14:paraId="5BF56B12">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4.80</w:t>
            </w:r>
          </w:p>
        </w:tc>
        <w:tc>
          <w:tcPr>
            <w:tcW w:w="933" w:type="dxa"/>
            <w:vAlign w:val="center"/>
          </w:tcPr>
          <w:p w14:paraId="3B18AE9F">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0.29</w:t>
            </w:r>
          </w:p>
        </w:tc>
      </w:tr>
      <w:tr w14:paraId="06E90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05E801BD">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脂肪，g</w:t>
            </w:r>
          </w:p>
        </w:tc>
        <w:tc>
          <w:tcPr>
            <w:tcW w:w="1036" w:type="dxa"/>
            <w:vAlign w:val="center"/>
          </w:tcPr>
          <w:p w14:paraId="77FB5036">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eastAsia="宋体" w:cs="Times New Roman"/>
                <w:color w:val="auto"/>
                <w:highlight w:val="none"/>
                <w:lang w:val="en-US" w:eastAsia="zh-CN"/>
              </w:rPr>
            </w:pPr>
            <w:r>
              <w:rPr>
                <w:rFonts w:hint="eastAsia" w:cs="Times New Roman"/>
                <w:color w:val="auto"/>
                <w:highlight w:val="none"/>
                <w:lang w:val="en-US" w:eastAsia="zh-CN"/>
              </w:rPr>
              <w:t>18.16</w:t>
            </w:r>
          </w:p>
        </w:tc>
        <w:tc>
          <w:tcPr>
            <w:tcW w:w="1039" w:type="dxa"/>
            <w:tcBorders>
              <w:top w:val="single" w:color="auto" w:sz="4" w:space="0"/>
              <w:left w:val="single" w:color="auto" w:sz="4" w:space="0"/>
              <w:bottom w:val="single" w:color="auto" w:sz="4" w:space="0"/>
              <w:right w:val="single" w:color="auto" w:sz="4" w:space="0"/>
            </w:tcBorders>
            <w:vAlign w:val="center"/>
          </w:tcPr>
          <w:p w14:paraId="4194A953">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1.09</w:t>
            </w:r>
          </w:p>
        </w:tc>
        <w:tc>
          <w:tcPr>
            <w:tcW w:w="1075" w:type="dxa"/>
            <w:vAlign w:val="center"/>
          </w:tcPr>
          <w:p w14:paraId="0930BCDE">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15.23</w:t>
            </w:r>
          </w:p>
        </w:tc>
        <w:tc>
          <w:tcPr>
            <w:tcW w:w="933" w:type="dxa"/>
            <w:tcBorders>
              <w:top w:val="single" w:color="auto" w:sz="4" w:space="0"/>
              <w:left w:val="single" w:color="auto" w:sz="4" w:space="0"/>
              <w:bottom w:val="single" w:color="auto" w:sz="4" w:space="0"/>
              <w:right w:val="single" w:color="auto" w:sz="4" w:space="0"/>
            </w:tcBorders>
            <w:vAlign w:val="center"/>
          </w:tcPr>
          <w:p w14:paraId="335D7AAA">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0.91</w:t>
            </w:r>
          </w:p>
        </w:tc>
      </w:tr>
      <w:tr w14:paraId="322C7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951" w:type="dxa"/>
            <w:vAlign w:val="center"/>
          </w:tcPr>
          <w:p w14:paraId="045012B5">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kern w:val="0"/>
                <w:highlight w:val="none"/>
              </w:rPr>
            </w:pPr>
            <w:r>
              <w:rPr>
                <w:rFonts w:hint="default" w:ascii="Times New Roman" w:hAnsi="Times New Roman" w:cs="Times New Roman"/>
                <w:color w:val="auto"/>
                <w:kern w:val="0"/>
                <w:highlight w:val="none"/>
              </w:rPr>
              <w:t>EPA，mg</w:t>
            </w:r>
          </w:p>
        </w:tc>
        <w:tc>
          <w:tcPr>
            <w:tcW w:w="1036" w:type="dxa"/>
            <w:vAlign w:val="center"/>
          </w:tcPr>
          <w:p w14:paraId="05C9B10A">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eastAsia="宋体" w:cs="Times New Roman"/>
                <w:color w:val="auto"/>
                <w:kern w:val="0"/>
                <w:highlight w:val="none"/>
                <w:lang w:val="en-US" w:eastAsia="zh-CN"/>
              </w:rPr>
            </w:pPr>
            <w:r>
              <w:rPr>
                <w:rFonts w:hint="eastAsia" w:cs="Times New Roman"/>
                <w:color w:val="auto"/>
                <w:kern w:val="0"/>
                <w:highlight w:val="none"/>
                <w:lang w:val="en-US" w:eastAsia="zh-CN"/>
              </w:rPr>
              <w:t>1335</w:t>
            </w:r>
          </w:p>
        </w:tc>
        <w:tc>
          <w:tcPr>
            <w:tcW w:w="1039" w:type="dxa"/>
            <w:tcBorders>
              <w:top w:val="single" w:color="auto" w:sz="4" w:space="0"/>
              <w:left w:val="single" w:color="auto" w:sz="4" w:space="0"/>
              <w:bottom w:val="single" w:color="auto" w:sz="4" w:space="0"/>
              <w:right w:val="single" w:color="auto" w:sz="4" w:space="0"/>
            </w:tcBorders>
            <w:vAlign w:val="center"/>
          </w:tcPr>
          <w:p w14:paraId="7F915135">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kern w:val="0"/>
                <w:highlight w:val="none"/>
              </w:rPr>
            </w:pPr>
            <w:r>
              <w:rPr>
                <w:rFonts w:hint="default" w:ascii="Times New Roman" w:hAnsi="Times New Roman" w:cs="Times New Roman"/>
                <w:color w:val="auto"/>
                <w:kern w:val="0"/>
                <w:highlight w:val="none"/>
              </w:rPr>
              <w:t>80</w:t>
            </w:r>
          </w:p>
        </w:tc>
        <w:tc>
          <w:tcPr>
            <w:tcW w:w="1075" w:type="dxa"/>
            <w:vMerge w:val="restart"/>
            <w:vAlign w:val="center"/>
          </w:tcPr>
          <w:p w14:paraId="2B5D3E5C">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kern w:val="0"/>
                <w:highlight w:val="none"/>
              </w:rPr>
            </w:pPr>
            <w:r>
              <w:rPr>
                <w:rFonts w:hint="default" w:ascii="Times New Roman" w:hAnsi="Times New Roman" w:cs="Times New Roman"/>
                <w:color w:val="auto"/>
                <w:kern w:val="0"/>
                <w:highlight w:val="none"/>
              </w:rPr>
              <w:t>1130</w:t>
            </w:r>
          </w:p>
        </w:tc>
        <w:tc>
          <w:tcPr>
            <w:tcW w:w="933" w:type="dxa"/>
            <w:vMerge w:val="restart"/>
            <w:tcBorders>
              <w:top w:val="single" w:color="auto" w:sz="4" w:space="0"/>
              <w:left w:val="single" w:color="auto" w:sz="4" w:space="0"/>
              <w:right w:val="single" w:color="auto" w:sz="4" w:space="0"/>
            </w:tcBorders>
            <w:vAlign w:val="center"/>
          </w:tcPr>
          <w:p w14:paraId="576C8D61">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kern w:val="0"/>
                <w:highlight w:val="none"/>
              </w:rPr>
            </w:pPr>
            <w:r>
              <w:rPr>
                <w:rFonts w:hint="default" w:ascii="Times New Roman" w:hAnsi="Times New Roman" w:cs="Times New Roman"/>
                <w:color w:val="auto"/>
                <w:kern w:val="0"/>
                <w:highlight w:val="none"/>
              </w:rPr>
              <w:t>70</w:t>
            </w:r>
          </w:p>
        </w:tc>
      </w:tr>
      <w:tr w14:paraId="16F87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4E36B67A">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kern w:val="0"/>
                <w:highlight w:val="none"/>
              </w:rPr>
            </w:pPr>
            <w:r>
              <w:rPr>
                <w:rFonts w:hint="default" w:ascii="Times New Roman" w:hAnsi="Times New Roman" w:cs="Times New Roman"/>
                <w:color w:val="auto"/>
                <w:kern w:val="0"/>
                <w:highlight w:val="none"/>
              </w:rPr>
              <w:t>DHA，mg</w:t>
            </w:r>
          </w:p>
        </w:tc>
        <w:tc>
          <w:tcPr>
            <w:tcW w:w="1036" w:type="dxa"/>
            <w:vAlign w:val="center"/>
          </w:tcPr>
          <w:p w14:paraId="76692E3B">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eastAsia="宋体" w:cs="Times New Roman"/>
                <w:color w:val="auto"/>
                <w:kern w:val="0"/>
                <w:highlight w:val="none"/>
                <w:lang w:val="en-US" w:eastAsia="zh-CN"/>
              </w:rPr>
            </w:pPr>
            <w:r>
              <w:rPr>
                <w:rFonts w:hint="eastAsia" w:cs="Times New Roman"/>
                <w:color w:val="auto"/>
                <w:kern w:val="0"/>
                <w:highlight w:val="none"/>
                <w:lang w:val="en-US" w:eastAsia="zh-CN"/>
              </w:rPr>
              <w:t>267</w:t>
            </w:r>
          </w:p>
        </w:tc>
        <w:tc>
          <w:tcPr>
            <w:tcW w:w="1039" w:type="dxa"/>
            <w:tcBorders>
              <w:top w:val="single" w:color="auto" w:sz="4" w:space="0"/>
              <w:left w:val="single" w:color="auto" w:sz="4" w:space="0"/>
              <w:bottom w:val="single" w:color="auto" w:sz="4" w:space="0"/>
              <w:right w:val="single" w:color="auto" w:sz="4" w:space="0"/>
            </w:tcBorders>
            <w:vAlign w:val="center"/>
          </w:tcPr>
          <w:p w14:paraId="08A3450A">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kern w:val="0"/>
                <w:highlight w:val="none"/>
              </w:rPr>
            </w:pPr>
            <w:r>
              <w:rPr>
                <w:rFonts w:hint="default" w:ascii="Times New Roman" w:hAnsi="Times New Roman" w:cs="Times New Roman"/>
                <w:color w:val="auto"/>
                <w:kern w:val="0"/>
                <w:highlight w:val="none"/>
              </w:rPr>
              <w:t>16</w:t>
            </w:r>
          </w:p>
        </w:tc>
        <w:tc>
          <w:tcPr>
            <w:tcW w:w="1075" w:type="dxa"/>
            <w:vMerge w:val="continue"/>
            <w:vAlign w:val="center"/>
          </w:tcPr>
          <w:p w14:paraId="5BB001DD">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kern w:val="0"/>
                <w:highlight w:val="none"/>
              </w:rPr>
            </w:pPr>
          </w:p>
        </w:tc>
        <w:tc>
          <w:tcPr>
            <w:tcW w:w="933" w:type="dxa"/>
            <w:vMerge w:val="continue"/>
            <w:tcBorders>
              <w:left w:val="single" w:color="auto" w:sz="4" w:space="0"/>
              <w:bottom w:val="single" w:color="auto" w:sz="4" w:space="0"/>
              <w:right w:val="single" w:color="auto" w:sz="4" w:space="0"/>
            </w:tcBorders>
            <w:vAlign w:val="center"/>
          </w:tcPr>
          <w:p w14:paraId="7C0363F9">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kern w:val="0"/>
                <w:highlight w:val="none"/>
              </w:rPr>
            </w:pPr>
          </w:p>
        </w:tc>
      </w:tr>
      <w:tr w14:paraId="195E5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577FB9E3">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碳水化合物，g</w:t>
            </w:r>
          </w:p>
        </w:tc>
        <w:tc>
          <w:tcPr>
            <w:tcW w:w="1036" w:type="dxa"/>
            <w:vAlign w:val="center"/>
          </w:tcPr>
          <w:p w14:paraId="73C38F89">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eastAsia="宋体" w:cs="Times New Roman"/>
                <w:color w:val="auto"/>
                <w:highlight w:val="none"/>
                <w:lang w:val="en-US" w:eastAsia="zh-CN"/>
              </w:rPr>
            </w:pPr>
            <w:r>
              <w:rPr>
                <w:rFonts w:hint="eastAsia" w:cs="Times New Roman"/>
                <w:color w:val="auto"/>
                <w:highlight w:val="none"/>
                <w:lang w:val="en-US" w:eastAsia="zh-CN"/>
              </w:rPr>
              <w:t>34.18</w:t>
            </w:r>
          </w:p>
        </w:tc>
        <w:tc>
          <w:tcPr>
            <w:tcW w:w="1039" w:type="dxa"/>
            <w:vAlign w:val="center"/>
          </w:tcPr>
          <w:p w14:paraId="58CEC472">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2.0</w:t>
            </w:r>
          </w:p>
        </w:tc>
        <w:tc>
          <w:tcPr>
            <w:tcW w:w="1075" w:type="dxa"/>
            <w:vAlign w:val="center"/>
          </w:tcPr>
          <w:p w14:paraId="353ED442">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39.77</w:t>
            </w:r>
          </w:p>
        </w:tc>
        <w:tc>
          <w:tcPr>
            <w:tcW w:w="933" w:type="dxa"/>
            <w:vAlign w:val="center"/>
          </w:tcPr>
          <w:p w14:paraId="5EEDEEB8">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2.38</w:t>
            </w:r>
          </w:p>
        </w:tc>
      </w:tr>
      <w:tr w14:paraId="46F4D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429FEEB2">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膳食纤维，g</w:t>
            </w:r>
          </w:p>
        </w:tc>
        <w:tc>
          <w:tcPr>
            <w:tcW w:w="1036" w:type="dxa"/>
            <w:vAlign w:val="center"/>
          </w:tcPr>
          <w:p w14:paraId="210C5AD3">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eastAsia="宋体" w:cs="Times New Roman"/>
                <w:color w:val="auto"/>
                <w:highlight w:val="none"/>
                <w:lang w:val="en-US" w:eastAsia="zh-CN"/>
              </w:rPr>
            </w:pPr>
            <w:r>
              <w:rPr>
                <w:rFonts w:hint="eastAsia" w:cs="Times New Roman"/>
                <w:color w:val="auto"/>
                <w:highlight w:val="none"/>
                <w:lang w:val="en-US" w:eastAsia="zh-CN"/>
              </w:rPr>
              <w:t>4.01</w:t>
            </w:r>
          </w:p>
        </w:tc>
        <w:tc>
          <w:tcPr>
            <w:tcW w:w="1039" w:type="dxa"/>
            <w:vAlign w:val="center"/>
          </w:tcPr>
          <w:p w14:paraId="29BFCDBC">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0.24</w:t>
            </w:r>
          </w:p>
        </w:tc>
        <w:tc>
          <w:tcPr>
            <w:tcW w:w="1075" w:type="dxa"/>
            <w:vAlign w:val="center"/>
          </w:tcPr>
          <w:p w14:paraId="2E97EC0D">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2.54</w:t>
            </w:r>
          </w:p>
        </w:tc>
        <w:tc>
          <w:tcPr>
            <w:tcW w:w="933" w:type="dxa"/>
            <w:vAlign w:val="center"/>
          </w:tcPr>
          <w:p w14:paraId="1D6C837C">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0.15</w:t>
            </w:r>
          </w:p>
        </w:tc>
      </w:tr>
      <w:tr w14:paraId="63862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25437B06">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维生素A，μgRE</w:t>
            </w:r>
          </w:p>
        </w:tc>
        <w:tc>
          <w:tcPr>
            <w:tcW w:w="1036" w:type="dxa"/>
            <w:vAlign w:val="center"/>
          </w:tcPr>
          <w:p w14:paraId="156D2169">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eastAsia="宋体" w:cs="Times New Roman"/>
                <w:color w:val="auto"/>
                <w:highlight w:val="none"/>
                <w:lang w:val="en-US" w:eastAsia="zh-CN"/>
              </w:rPr>
            </w:pPr>
            <w:r>
              <w:rPr>
                <w:rFonts w:hint="eastAsia" w:cs="Times New Roman"/>
                <w:color w:val="auto"/>
                <w:highlight w:val="none"/>
                <w:lang w:val="en-US" w:eastAsia="zh-CN"/>
              </w:rPr>
              <w:t>213.60</w:t>
            </w:r>
          </w:p>
        </w:tc>
        <w:tc>
          <w:tcPr>
            <w:tcW w:w="1039" w:type="dxa"/>
            <w:vAlign w:val="center"/>
          </w:tcPr>
          <w:p w14:paraId="3C037258">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12.8</w:t>
            </w:r>
          </w:p>
        </w:tc>
        <w:tc>
          <w:tcPr>
            <w:tcW w:w="1075" w:type="dxa"/>
            <w:vAlign w:val="center"/>
          </w:tcPr>
          <w:p w14:paraId="60D3079C">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449.9</w:t>
            </w:r>
          </w:p>
        </w:tc>
        <w:tc>
          <w:tcPr>
            <w:tcW w:w="933" w:type="dxa"/>
            <w:vAlign w:val="center"/>
          </w:tcPr>
          <w:p w14:paraId="15E1617A">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26.9</w:t>
            </w:r>
          </w:p>
        </w:tc>
      </w:tr>
      <w:tr w14:paraId="1DBA9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7848BB8C">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维生素D，μg</w:t>
            </w:r>
          </w:p>
        </w:tc>
        <w:tc>
          <w:tcPr>
            <w:tcW w:w="1036" w:type="dxa"/>
            <w:vAlign w:val="center"/>
          </w:tcPr>
          <w:p w14:paraId="3E4F3F8F">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eastAsia="宋体" w:cs="Times New Roman"/>
                <w:color w:val="auto"/>
                <w:highlight w:val="none"/>
                <w:lang w:val="en-US" w:eastAsia="zh-CN"/>
              </w:rPr>
            </w:pPr>
            <w:r>
              <w:rPr>
                <w:rFonts w:hint="eastAsia" w:cs="Times New Roman"/>
                <w:color w:val="auto"/>
                <w:highlight w:val="none"/>
                <w:lang w:val="en-US" w:eastAsia="zh-CN"/>
              </w:rPr>
              <w:t>4.01</w:t>
            </w:r>
          </w:p>
        </w:tc>
        <w:tc>
          <w:tcPr>
            <w:tcW w:w="1039" w:type="dxa"/>
            <w:vAlign w:val="center"/>
          </w:tcPr>
          <w:p w14:paraId="7A6877A9">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0.24</w:t>
            </w:r>
          </w:p>
        </w:tc>
        <w:tc>
          <w:tcPr>
            <w:tcW w:w="1075" w:type="dxa"/>
            <w:vAlign w:val="center"/>
          </w:tcPr>
          <w:p w14:paraId="222EAB97">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4.51</w:t>
            </w:r>
          </w:p>
        </w:tc>
        <w:tc>
          <w:tcPr>
            <w:tcW w:w="933" w:type="dxa"/>
            <w:vAlign w:val="center"/>
          </w:tcPr>
          <w:p w14:paraId="3825A8AB">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0.27</w:t>
            </w:r>
          </w:p>
        </w:tc>
      </w:tr>
      <w:tr w14:paraId="2C080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62B30CCC">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维生素E，mgα-TE</w:t>
            </w:r>
          </w:p>
        </w:tc>
        <w:tc>
          <w:tcPr>
            <w:tcW w:w="1036" w:type="dxa"/>
            <w:vAlign w:val="center"/>
          </w:tcPr>
          <w:p w14:paraId="2B2849D9">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eastAsia" w:cs="Times New Roman"/>
                <w:color w:val="auto"/>
                <w:kern w:val="0"/>
                <w:highlight w:val="none"/>
                <w:lang w:val="en-US" w:eastAsia="zh-CN"/>
              </w:rPr>
            </w:pPr>
            <w:r>
              <w:rPr>
                <w:rFonts w:hint="eastAsia" w:cs="Times New Roman"/>
                <w:color w:val="auto"/>
                <w:kern w:val="0"/>
                <w:highlight w:val="none"/>
                <w:lang w:val="en-US" w:eastAsia="zh-CN"/>
              </w:rPr>
              <w:t xml:space="preserve">7.80 </w:t>
            </w:r>
          </w:p>
        </w:tc>
        <w:tc>
          <w:tcPr>
            <w:tcW w:w="1039" w:type="dxa"/>
            <w:vAlign w:val="center"/>
          </w:tcPr>
          <w:p w14:paraId="0945AFD8">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0.47</w:t>
            </w:r>
          </w:p>
        </w:tc>
        <w:tc>
          <w:tcPr>
            <w:tcW w:w="1075" w:type="dxa"/>
            <w:vAlign w:val="center"/>
          </w:tcPr>
          <w:p w14:paraId="57F0C01B">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20.02</w:t>
            </w:r>
          </w:p>
        </w:tc>
        <w:tc>
          <w:tcPr>
            <w:tcW w:w="933" w:type="dxa"/>
            <w:vAlign w:val="center"/>
          </w:tcPr>
          <w:p w14:paraId="302C645B">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1.02</w:t>
            </w:r>
          </w:p>
        </w:tc>
      </w:tr>
      <w:tr w14:paraId="170A0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46FC5108">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维生素K</w:t>
            </w:r>
            <w:r>
              <w:rPr>
                <w:rFonts w:hint="default" w:ascii="Times New Roman" w:hAnsi="Times New Roman" w:cs="Times New Roman"/>
                <w:color w:val="auto"/>
                <w:kern w:val="0"/>
                <w:highlight w:val="none"/>
                <w:vertAlign w:val="subscript"/>
              </w:rPr>
              <w:t>1</w:t>
            </w:r>
            <w:r>
              <w:rPr>
                <w:rFonts w:hint="default" w:ascii="Times New Roman" w:hAnsi="Times New Roman" w:cs="Times New Roman"/>
                <w:color w:val="auto"/>
                <w:kern w:val="0"/>
                <w:highlight w:val="none"/>
              </w:rPr>
              <w:t>，μg</w:t>
            </w:r>
          </w:p>
        </w:tc>
        <w:tc>
          <w:tcPr>
            <w:tcW w:w="1036" w:type="dxa"/>
            <w:vAlign w:val="center"/>
          </w:tcPr>
          <w:p w14:paraId="10A721E9">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cs="Times New Roman"/>
                <w:color w:val="auto"/>
                <w:kern w:val="0"/>
                <w:highlight w:val="none"/>
                <w:lang w:val="en-US" w:eastAsia="zh-CN"/>
              </w:rPr>
            </w:pPr>
            <w:r>
              <w:rPr>
                <w:rFonts w:hint="eastAsia" w:cs="Times New Roman"/>
                <w:color w:val="auto"/>
                <w:kern w:val="0"/>
                <w:highlight w:val="none"/>
                <w:lang w:val="en-US" w:eastAsia="zh-CN"/>
              </w:rPr>
              <w:t xml:space="preserve">21.36 </w:t>
            </w:r>
          </w:p>
        </w:tc>
        <w:tc>
          <w:tcPr>
            <w:tcW w:w="1039" w:type="dxa"/>
            <w:vAlign w:val="center"/>
          </w:tcPr>
          <w:p w14:paraId="0A31F80D">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1.28</w:t>
            </w:r>
          </w:p>
        </w:tc>
        <w:tc>
          <w:tcPr>
            <w:tcW w:w="1075" w:type="dxa"/>
            <w:vAlign w:val="center"/>
          </w:tcPr>
          <w:p w14:paraId="3D4B6AE1">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23.41</w:t>
            </w:r>
          </w:p>
        </w:tc>
        <w:tc>
          <w:tcPr>
            <w:tcW w:w="933" w:type="dxa"/>
            <w:vAlign w:val="center"/>
          </w:tcPr>
          <w:p w14:paraId="44EABE20">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1.40</w:t>
            </w:r>
          </w:p>
        </w:tc>
      </w:tr>
      <w:tr w14:paraId="56A4D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11205744">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维生素B</w:t>
            </w:r>
            <w:r>
              <w:rPr>
                <w:rFonts w:hint="default" w:ascii="Times New Roman" w:hAnsi="Times New Roman" w:cs="Times New Roman"/>
                <w:color w:val="auto"/>
                <w:kern w:val="0"/>
                <w:highlight w:val="none"/>
                <w:vertAlign w:val="subscript"/>
              </w:rPr>
              <w:t>1</w:t>
            </w:r>
            <w:r>
              <w:rPr>
                <w:rFonts w:hint="default" w:ascii="Times New Roman" w:hAnsi="Times New Roman" w:cs="Times New Roman"/>
                <w:color w:val="auto"/>
                <w:kern w:val="0"/>
                <w:highlight w:val="none"/>
              </w:rPr>
              <w:t>，mg</w:t>
            </w:r>
          </w:p>
        </w:tc>
        <w:tc>
          <w:tcPr>
            <w:tcW w:w="1036" w:type="dxa"/>
            <w:vAlign w:val="center"/>
          </w:tcPr>
          <w:p w14:paraId="57A9DB9E">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cs="Times New Roman"/>
                <w:color w:val="auto"/>
                <w:kern w:val="0"/>
                <w:highlight w:val="none"/>
                <w:lang w:val="en-US" w:eastAsia="zh-CN"/>
              </w:rPr>
            </w:pPr>
            <w:r>
              <w:rPr>
                <w:rFonts w:hint="eastAsia" w:cs="Times New Roman"/>
                <w:color w:val="auto"/>
                <w:kern w:val="0"/>
                <w:highlight w:val="none"/>
                <w:lang w:val="en-US" w:eastAsia="zh-CN"/>
              </w:rPr>
              <w:t xml:space="preserve">0.67 </w:t>
            </w:r>
          </w:p>
        </w:tc>
        <w:tc>
          <w:tcPr>
            <w:tcW w:w="1039" w:type="dxa"/>
            <w:vAlign w:val="center"/>
          </w:tcPr>
          <w:p w14:paraId="481A41B4">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0.04</w:t>
            </w:r>
          </w:p>
        </w:tc>
        <w:tc>
          <w:tcPr>
            <w:tcW w:w="1075" w:type="dxa"/>
            <w:vAlign w:val="center"/>
          </w:tcPr>
          <w:p w14:paraId="7F7D5CA0">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0.45</w:t>
            </w:r>
          </w:p>
        </w:tc>
        <w:tc>
          <w:tcPr>
            <w:tcW w:w="933" w:type="dxa"/>
            <w:vAlign w:val="center"/>
          </w:tcPr>
          <w:p w14:paraId="5738C106">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0.03</w:t>
            </w:r>
          </w:p>
        </w:tc>
      </w:tr>
      <w:tr w14:paraId="29CE3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141B34F4">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维生素B</w:t>
            </w:r>
            <w:r>
              <w:rPr>
                <w:rFonts w:hint="default" w:ascii="Times New Roman" w:hAnsi="Times New Roman" w:cs="Times New Roman"/>
                <w:color w:val="auto"/>
                <w:kern w:val="0"/>
                <w:highlight w:val="none"/>
                <w:vertAlign w:val="subscript"/>
              </w:rPr>
              <w:t>2</w:t>
            </w:r>
            <w:r>
              <w:rPr>
                <w:rFonts w:hint="default" w:ascii="Times New Roman" w:hAnsi="Times New Roman" w:cs="Times New Roman"/>
                <w:color w:val="auto"/>
                <w:kern w:val="0"/>
                <w:highlight w:val="none"/>
              </w:rPr>
              <w:t>，mg</w:t>
            </w:r>
          </w:p>
        </w:tc>
        <w:tc>
          <w:tcPr>
            <w:tcW w:w="1036" w:type="dxa"/>
            <w:vAlign w:val="center"/>
          </w:tcPr>
          <w:p w14:paraId="6690C899">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cs="Times New Roman"/>
                <w:color w:val="auto"/>
                <w:kern w:val="0"/>
                <w:highlight w:val="none"/>
                <w:lang w:val="en-US" w:eastAsia="zh-CN"/>
              </w:rPr>
            </w:pPr>
            <w:r>
              <w:rPr>
                <w:rFonts w:hint="eastAsia" w:cs="Times New Roman"/>
                <w:color w:val="auto"/>
                <w:kern w:val="0"/>
                <w:highlight w:val="none"/>
                <w:lang w:val="en-US" w:eastAsia="zh-CN"/>
              </w:rPr>
              <w:t xml:space="preserve">0.67 </w:t>
            </w:r>
          </w:p>
        </w:tc>
        <w:tc>
          <w:tcPr>
            <w:tcW w:w="1039" w:type="dxa"/>
            <w:vAlign w:val="center"/>
          </w:tcPr>
          <w:p w14:paraId="106D9DAE">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0.04</w:t>
            </w:r>
          </w:p>
        </w:tc>
        <w:tc>
          <w:tcPr>
            <w:tcW w:w="1075" w:type="dxa"/>
            <w:vAlign w:val="center"/>
          </w:tcPr>
          <w:p w14:paraId="02AF80C4">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0.62</w:t>
            </w:r>
          </w:p>
        </w:tc>
        <w:tc>
          <w:tcPr>
            <w:tcW w:w="933" w:type="dxa"/>
            <w:vAlign w:val="center"/>
          </w:tcPr>
          <w:p w14:paraId="0946801A">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0.04</w:t>
            </w:r>
          </w:p>
        </w:tc>
      </w:tr>
      <w:tr w14:paraId="0C3D0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7EA091E2">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维生素B</w:t>
            </w:r>
            <w:r>
              <w:rPr>
                <w:rFonts w:hint="default" w:ascii="Times New Roman" w:hAnsi="Times New Roman" w:cs="Times New Roman"/>
                <w:color w:val="auto"/>
                <w:kern w:val="0"/>
                <w:highlight w:val="none"/>
                <w:vertAlign w:val="subscript"/>
              </w:rPr>
              <w:t>6</w:t>
            </w:r>
            <w:r>
              <w:rPr>
                <w:rFonts w:hint="default" w:ascii="Times New Roman" w:hAnsi="Times New Roman" w:cs="Times New Roman"/>
                <w:color w:val="auto"/>
                <w:kern w:val="0"/>
                <w:highlight w:val="none"/>
              </w:rPr>
              <w:t>，mg</w:t>
            </w:r>
          </w:p>
        </w:tc>
        <w:tc>
          <w:tcPr>
            <w:tcW w:w="1036" w:type="dxa"/>
            <w:vAlign w:val="center"/>
          </w:tcPr>
          <w:p w14:paraId="7294F210">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cs="Times New Roman"/>
                <w:color w:val="auto"/>
                <w:kern w:val="0"/>
                <w:highlight w:val="none"/>
                <w:lang w:val="en-US" w:eastAsia="zh-CN"/>
              </w:rPr>
            </w:pPr>
            <w:r>
              <w:rPr>
                <w:rFonts w:hint="eastAsia" w:cs="Times New Roman"/>
                <w:color w:val="auto"/>
                <w:kern w:val="0"/>
                <w:highlight w:val="none"/>
                <w:lang w:val="en-US" w:eastAsia="zh-CN"/>
              </w:rPr>
              <w:t xml:space="preserve">0.43 </w:t>
            </w:r>
          </w:p>
        </w:tc>
        <w:tc>
          <w:tcPr>
            <w:tcW w:w="1039" w:type="dxa"/>
            <w:vAlign w:val="center"/>
          </w:tcPr>
          <w:p w14:paraId="233EFF38">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0.03</w:t>
            </w:r>
          </w:p>
        </w:tc>
        <w:tc>
          <w:tcPr>
            <w:tcW w:w="1075" w:type="dxa"/>
            <w:vAlign w:val="center"/>
          </w:tcPr>
          <w:p w14:paraId="0E34727C">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0.64</w:t>
            </w:r>
          </w:p>
        </w:tc>
        <w:tc>
          <w:tcPr>
            <w:tcW w:w="933" w:type="dxa"/>
            <w:vAlign w:val="center"/>
          </w:tcPr>
          <w:p w14:paraId="55D79FD2">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0.04</w:t>
            </w:r>
          </w:p>
        </w:tc>
      </w:tr>
      <w:tr w14:paraId="43449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050DDCB1">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维生素B</w:t>
            </w:r>
            <w:r>
              <w:rPr>
                <w:rFonts w:hint="default" w:ascii="Times New Roman" w:hAnsi="Times New Roman" w:cs="Times New Roman"/>
                <w:color w:val="auto"/>
                <w:kern w:val="0"/>
                <w:highlight w:val="none"/>
                <w:vertAlign w:val="subscript"/>
              </w:rPr>
              <w:t>12</w:t>
            </w:r>
            <w:r>
              <w:rPr>
                <w:rFonts w:hint="default" w:ascii="Times New Roman" w:hAnsi="Times New Roman" w:cs="Times New Roman"/>
                <w:color w:val="auto"/>
                <w:kern w:val="0"/>
                <w:highlight w:val="none"/>
              </w:rPr>
              <w:t>，μg</w:t>
            </w:r>
          </w:p>
        </w:tc>
        <w:tc>
          <w:tcPr>
            <w:tcW w:w="1036" w:type="dxa"/>
            <w:vAlign w:val="center"/>
          </w:tcPr>
          <w:p w14:paraId="7502C421">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cs="Times New Roman"/>
                <w:color w:val="auto"/>
                <w:kern w:val="0"/>
                <w:highlight w:val="none"/>
                <w:lang w:val="en-US" w:eastAsia="zh-CN"/>
              </w:rPr>
            </w:pPr>
            <w:r>
              <w:rPr>
                <w:rFonts w:hint="eastAsia" w:cs="Times New Roman"/>
                <w:color w:val="auto"/>
                <w:kern w:val="0"/>
                <w:highlight w:val="none"/>
                <w:lang w:val="en-US" w:eastAsia="zh-CN"/>
              </w:rPr>
              <w:t xml:space="preserve">1.28 </w:t>
            </w:r>
          </w:p>
        </w:tc>
        <w:tc>
          <w:tcPr>
            <w:tcW w:w="1039" w:type="dxa"/>
            <w:vAlign w:val="center"/>
          </w:tcPr>
          <w:p w14:paraId="75ABBCBE">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0.08</w:t>
            </w:r>
          </w:p>
        </w:tc>
        <w:tc>
          <w:tcPr>
            <w:tcW w:w="1075" w:type="dxa"/>
            <w:vAlign w:val="center"/>
          </w:tcPr>
          <w:p w14:paraId="612C03BA">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1.69</w:t>
            </w:r>
          </w:p>
        </w:tc>
        <w:tc>
          <w:tcPr>
            <w:tcW w:w="933" w:type="dxa"/>
            <w:vAlign w:val="center"/>
          </w:tcPr>
          <w:p w14:paraId="1E6CD476">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0.10</w:t>
            </w:r>
          </w:p>
        </w:tc>
      </w:tr>
      <w:tr w14:paraId="04DCB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3F305DBB">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烟酸，mg</w:t>
            </w:r>
          </w:p>
        </w:tc>
        <w:tc>
          <w:tcPr>
            <w:tcW w:w="1036" w:type="dxa"/>
            <w:vAlign w:val="center"/>
          </w:tcPr>
          <w:p w14:paraId="66D87841">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cs="Times New Roman"/>
                <w:color w:val="auto"/>
                <w:kern w:val="0"/>
                <w:highlight w:val="none"/>
                <w:lang w:val="en-US" w:eastAsia="zh-CN"/>
              </w:rPr>
            </w:pPr>
            <w:r>
              <w:rPr>
                <w:rFonts w:hint="eastAsia" w:cs="Times New Roman"/>
                <w:color w:val="auto"/>
                <w:kern w:val="0"/>
                <w:highlight w:val="none"/>
                <w:lang w:val="en-US" w:eastAsia="zh-CN"/>
              </w:rPr>
              <w:t xml:space="preserve">4.81 </w:t>
            </w:r>
          </w:p>
        </w:tc>
        <w:tc>
          <w:tcPr>
            <w:tcW w:w="1039" w:type="dxa"/>
            <w:vAlign w:val="center"/>
          </w:tcPr>
          <w:p w14:paraId="7D2102A1">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0.29</w:t>
            </w:r>
          </w:p>
        </w:tc>
        <w:tc>
          <w:tcPr>
            <w:tcW w:w="1075" w:type="dxa"/>
            <w:vAlign w:val="center"/>
          </w:tcPr>
          <w:p w14:paraId="3AFFAB9A">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2.26</w:t>
            </w:r>
          </w:p>
        </w:tc>
        <w:tc>
          <w:tcPr>
            <w:tcW w:w="933" w:type="dxa"/>
            <w:vAlign w:val="center"/>
          </w:tcPr>
          <w:p w14:paraId="378A6E09">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0.13</w:t>
            </w:r>
          </w:p>
        </w:tc>
      </w:tr>
      <w:tr w14:paraId="35A9F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584AB9CF">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叶酸，μg</w:t>
            </w:r>
          </w:p>
        </w:tc>
        <w:tc>
          <w:tcPr>
            <w:tcW w:w="1036" w:type="dxa"/>
            <w:vAlign w:val="center"/>
          </w:tcPr>
          <w:p w14:paraId="0509561B">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cs="Times New Roman"/>
                <w:color w:val="auto"/>
                <w:kern w:val="0"/>
                <w:highlight w:val="none"/>
                <w:lang w:val="en-US" w:eastAsia="zh-CN"/>
              </w:rPr>
            </w:pPr>
            <w:r>
              <w:rPr>
                <w:rFonts w:hint="eastAsia" w:cs="Times New Roman"/>
                <w:color w:val="auto"/>
                <w:kern w:val="0"/>
                <w:highlight w:val="none"/>
                <w:lang w:val="en-US" w:eastAsia="zh-CN"/>
              </w:rPr>
              <w:t xml:space="preserve">106.80 </w:t>
            </w:r>
          </w:p>
        </w:tc>
        <w:tc>
          <w:tcPr>
            <w:tcW w:w="1039" w:type="dxa"/>
            <w:vAlign w:val="center"/>
          </w:tcPr>
          <w:p w14:paraId="24A2B39D">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6.39</w:t>
            </w:r>
          </w:p>
        </w:tc>
        <w:tc>
          <w:tcPr>
            <w:tcW w:w="1075" w:type="dxa"/>
            <w:vAlign w:val="center"/>
          </w:tcPr>
          <w:p w14:paraId="1924D086">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100.13</w:t>
            </w:r>
          </w:p>
        </w:tc>
        <w:tc>
          <w:tcPr>
            <w:tcW w:w="933" w:type="dxa"/>
            <w:vAlign w:val="center"/>
          </w:tcPr>
          <w:p w14:paraId="5FAB69E0">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5.98</w:t>
            </w:r>
          </w:p>
        </w:tc>
      </w:tr>
      <w:tr w14:paraId="3CCA0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2C4D8F6B">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泛酸，mg</w:t>
            </w:r>
          </w:p>
        </w:tc>
        <w:tc>
          <w:tcPr>
            <w:tcW w:w="1036" w:type="dxa"/>
            <w:vAlign w:val="center"/>
          </w:tcPr>
          <w:p w14:paraId="3AA6D387">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cs="Times New Roman"/>
                <w:color w:val="auto"/>
                <w:kern w:val="0"/>
                <w:highlight w:val="none"/>
                <w:lang w:val="en-US" w:eastAsia="zh-CN"/>
              </w:rPr>
            </w:pPr>
            <w:r>
              <w:rPr>
                <w:rFonts w:hint="eastAsia" w:cs="Times New Roman"/>
                <w:color w:val="auto"/>
                <w:kern w:val="0"/>
                <w:highlight w:val="none"/>
                <w:lang w:val="en-US" w:eastAsia="zh-CN"/>
              </w:rPr>
              <w:t xml:space="preserve">1.34 </w:t>
            </w:r>
          </w:p>
        </w:tc>
        <w:tc>
          <w:tcPr>
            <w:tcW w:w="1039" w:type="dxa"/>
            <w:vAlign w:val="center"/>
          </w:tcPr>
          <w:p w14:paraId="6ECB3073">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0.08</w:t>
            </w:r>
          </w:p>
        </w:tc>
        <w:tc>
          <w:tcPr>
            <w:tcW w:w="1075" w:type="dxa"/>
            <w:vAlign w:val="center"/>
          </w:tcPr>
          <w:p w14:paraId="7DCBE5FB">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4.17</w:t>
            </w:r>
          </w:p>
        </w:tc>
        <w:tc>
          <w:tcPr>
            <w:tcW w:w="933" w:type="dxa"/>
            <w:vAlign w:val="center"/>
          </w:tcPr>
          <w:p w14:paraId="1747934B">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0.25</w:t>
            </w:r>
          </w:p>
        </w:tc>
      </w:tr>
      <w:tr w14:paraId="6229C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2546BC71">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维生素C，mg</w:t>
            </w:r>
          </w:p>
        </w:tc>
        <w:tc>
          <w:tcPr>
            <w:tcW w:w="1036" w:type="dxa"/>
            <w:vAlign w:val="center"/>
          </w:tcPr>
          <w:p w14:paraId="5E4ED083">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cs="Times New Roman"/>
                <w:color w:val="auto"/>
                <w:kern w:val="0"/>
                <w:highlight w:val="none"/>
                <w:lang w:val="en-US" w:eastAsia="zh-CN"/>
              </w:rPr>
            </w:pPr>
            <w:r>
              <w:rPr>
                <w:rFonts w:hint="eastAsia" w:cs="Times New Roman"/>
                <w:color w:val="auto"/>
                <w:kern w:val="0"/>
                <w:highlight w:val="none"/>
                <w:lang w:val="en-US" w:eastAsia="zh-CN"/>
              </w:rPr>
              <w:t xml:space="preserve">80.10 </w:t>
            </w:r>
          </w:p>
        </w:tc>
        <w:tc>
          <w:tcPr>
            <w:tcW w:w="1039" w:type="dxa"/>
            <w:vAlign w:val="center"/>
          </w:tcPr>
          <w:p w14:paraId="27526FF3">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4.8</w:t>
            </w:r>
          </w:p>
        </w:tc>
        <w:tc>
          <w:tcPr>
            <w:tcW w:w="1075" w:type="dxa"/>
            <w:vAlign w:val="center"/>
          </w:tcPr>
          <w:p w14:paraId="2DFB9482">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248.2</w:t>
            </w:r>
          </w:p>
        </w:tc>
        <w:tc>
          <w:tcPr>
            <w:tcW w:w="933" w:type="dxa"/>
            <w:vAlign w:val="center"/>
          </w:tcPr>
          <w:p w14:paraId="5C5FB13A">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14.8</w:t>
            </w:r>
          </w:p>
        </w:tc>
      </w:tr>
      <w:tr w14:paraId="402C8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7AFD0F5D">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生物素，μg</w:t>
            </w:r>
          </w:p>
        </w:tc>
        <w:tc>
          <w:tcPr>
            <w:tcW w:w="1036" w:type="dxa"/>
            <w:vAlign w:val="center"/>
          </w:tcPr>
          <w:p w14:paraId="73940318">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cs="Times New Roman"/>
                <w:color w:val="auto"/>
                <w:kern w:val="0"/>
                <w:highlight w:val="none"/>
                <w:lang w:val="en-US" w:eastAsia="zh-CN"/>
              </w:rPr>
            </w:pPr>
            <w:r>
              <w:rPr>
                <w:rFonts w:hint="eastAsia" w:cs="Times New Roman"/>
                <w:color w:val="auto"/>
                <w:kern w:val="0"/>
                <w:highlight w:val="none"/>
                <w:lang w:val="en-US" w:eastAsia="zh-CN"/>
              </w:rPr>
              <w:t xml:space="preserve">10.68 </w:t>
            </w:r>
          </w:p>
        </w:tc>
        <w:tc>
          <w:tcPr>
            <w:tcW w:w="1039" w:type="dxa"/>
            <w:vAlign w:val="center"/>
          </w:tcPr>
          <w:p w14:paraId="0BD90815">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0.64</w:t>
            </w:r>
          </w:p>
        </w:tc>
        <w:tc>
          <w:tcPr>
            <w:tcW w:w="1075" w:type="dxa"/>
            <w:vAlign w:val="center"/>
          </w:tcPr>
          <w:p w14:paraId="49B8AE54">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20.03</w:t>
            </w:r>
          </w:p>
        </w:tc>
        <w:tc>
          <w:tcPr>
            <w:tcW w:w="933" w:type="dxa"/>
            <w:vAlign w:val="center"/>
          </w:tcPr>
          <w:p w14:paraId="71F7128F">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1.20</w:t>
            </w:r>
          </w:p>
        </w:tc>
      </w:tr>
      <w:tr w14:paraId="0B33E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2C631DC3">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钠，mg</w:t>
            </w:r>
          </w:p>
        </w:tc>
        <w:tc>
          <w:tcPr>
            <w:tcW w:w="1036" w:type="dxa"/>
            <w:vAlign w:val="center"/>
          </w:tcPr>
          <w:p w14:paraId="2E14B58E">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cs="Times New Roman"/>
                <w:color w:val="auto"/>
                <w:kern w:val="0"/>
                <w:highlight w:val="none"/>
                <w:lang w:val="en-US" w:eastAsia="zh-CN"/>
              </w:rPr>
            </w:pPr>
            <w:r>
              <w:rPr>
                <w:rFonts w:hint="eastAsia" w:cs="Times New Roman"/>
                <w:color w:val="auto"/>
                <w:kern w:val="0"/>
                <w:highlight w:val="none"/>
                <w:lang w:val="en-US" w:eastAsia="zh-CN"/>
              </w:rPr>
              <w:t xml:space="preserve">355.11 </w:t>
            </w:r>
          </w:p>
        </w:tc>
        <w:tc>
          <w:tcPr>
            <w:tcW w:w="1039" w:type="dxa"/>
            <w:vAlign w:val="center"/>
          </w:tcPr>
          <w:p w14:paraId="39FDA30F">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21</w:t>
            </w:r>
          </w:p>
        </w:tc>
        <w:tc>
          <w:tcPr>
            <w:tcW w:w="1075" w:type="dxa"/>
            <w:vAlign w:val="center"/>
          </w:tcPr>
          <w:p w14:paraId="4AD432D6">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409</w:t>
            </w:r>
          </w:p>
        </w:tc>
        <w:tc>
          <w:tcPr>
            <w:tcW w:w="933" w:type="dxa"/>
            <w:vAlign w:val="center"/>
          </w:tcPr>
          <w:p w14:paraId="6B5874E5">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24</w:t>
            </w:r>
          </w:p>
        </w:tc>
      </w:tr>
      <w:tr w14:paraId="08817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5C7794AA">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钾，mg</w:t>
            </w:r>
          </w:p>
        </w:tc>
        <w:tc>
          <w:tcPr>
            <w:tcW w:w="1036" w:type="dxa"/>
            <w:vAlign w:val="center"/>
          </w:tcPr>
          <w:p w14:paraId="7BF9DE66">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cs="Times New Roman"/>
                <w:color w:val="auto"/>
                <w:kern w:val="0"/>
                <w:highlight w:val="none"/>
                <w:lang w:val="en-US" w:eastAsia="zh-CN"/>
              </w:rPr>
            </w:pPr>
            <w:r>
              <w:rPr>
                <w:rFonts w:hint="eastAsia" w:cs="Times New Roman"/>
                <w:color w:val="auto"/>
                <w:kern w:val="0"/>
                <w:highlight w:val="none"/>
                <w:lang w:val="en-US" w:eastAsia="zh-CN"/>
              </w:rPr>
              <w:t xml:space="preserve">467.25 </w:t>
            </w:r>
          </w:p>
        </w:tc>
        <w:tc>
          <w:tcPr>
            <w:tcW w:w="1039" w:type="dxa"/>
            <w:vAlign w:val="center"/>
          </w:tcPr>
          <w:p w14:paraId="18C55B81">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28</w:t>
            </w:r>
          </w:p>
        </w:tc>
        <w:tc>
          <w:tcPr>
            <w:tcW w:w="1075" w:type="dxa"/>
            <w:vAlign w:val="center"/>
          </w:tcPr>
          <w:p w14:paraId="6C995323">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550</w:t>
            </w:r>
          </w:p>
        </w:tc>
        <w:tc>
          <w:tcPr>
            <w:tcW w:w="933" w:type="dxa"/>
            <w:vAlign w:val="center"/>
          </w:tcPr>
          <w:p w14:paraId="77FFF7B9">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33</w:t>
            </w:r>
          </w:p>
        </w:tc>
      </w:tr>
      <w:tr w14:paraId="41DF4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72B4CE8B">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铜，μg</w:t>
            </w:r>
          </w:p>
        </w:tc>
        <w:tc>
          <w:tcPr>
            <w:tcW w:w="1036" w:type="dxa"/>
            <w:vAlign w:val="center"/>
          </w:tcPr>
          <w:p w14:paraId="589A5B89">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cs="Times New Roman"/>
                <w:color w:val="auto"/>
                <w:kern w:val="0"/>
                <w:highlight w:val="none"/>
                <w:lang w:val="en-US" w:eastAsia="zh-CN"/>
              </w:rPr>
            </w:pPr>
            <w:r>
              <w:rPr>
                <w:rFonts w:hint="eastAsia" w:cs="Times New Roman"/>
                <w:color w:val="auto"/>
                <w:kern w:val="0"/>
                <w:highlight w:val="none"/>
                <w:lang w:val="en-US" w:eastAsia="zh-CN"/>
              </w:rPr>
              <w:t xml:space="preserve">213.60 </w:t>
            </w:r>
          </w:p>
        </w:tc>
        <w:tc>
          <w:tcPr>
            <w:tcW w:w="1039" w:type="dxa"/>
            <w:vAlign w:val="center"/>
          </w:tcPr>
          <w:p w14:paraId="484C1EDC">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13.0</w:t>
            </w:r>
          </w:p>
        </w:tc>
        <w:tc>
          <w:tcPr>
            <w:tcW w:w="1075" w:type="dxa"/>
            <w:vAlign w:val="center"/>
          </w:tcPr>
          <w:p w14:paraId="03DF7A85">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366.7</w:t>
            </w:r>
          </w:p>
        </w:tc>
        <w:tc>
          <w:tcPr>
            <w:tcW w:w="933" w:type="dxa"/>
            <w:vAlign w:val="center"/>
          </w:tcPr>
          <w:p w14:paraId="5B60422B">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21.9</w:t>
            </w:r>
          </w:p>
        </w:tc>
      </w:tr>
      <w:tr w14:paraId="04BF1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5862511A">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镁，mg</w:t>
            </w:r>
          </w:p>
        </w:tc>
        <w:tc>
          <w:tcPr>
            <w:tcW w:w="1036" w:type="dxa"/>
            <w:vAlign w:val="center"/>
          </w:tcPr>
          <w:p w14:paraId="56D5AE7F">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cs="Times New Roman"/>
                <w:color w:val="auto"/>
                <w:kern w:val="0"/>
                <w:highlight w:val="none"/>
                <w:lang w:val="en-US" w:eastAsia="zh-CN"/>
              </w:rPr>
            </w:pPr>
            <w:r>
              <w:rPr>
                <w:rFonts w:hint="eastAsia" w:cs="Times New Roman"/>
                <w:color w:val="auto"/>
                <w:kern w:val="0"/>
                <w:highlight w:val="none"/>
                <w:lang w:val="en-US" w:eastAsia="zh-CN"/>
              </w:rPr>
              <w:t xml:space="preserve">88.11 </w:t>
            </w:r>
          </w:p>
        </w:tc>
        <w:tc>
          <w:tcPr>
            <w:tcW w:w="1039" w:type="dxa"/>
            <w:vAlign w:val="center"/>
          </w:tcPr>
          <w:p w14:paraId="6D946B2A">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5.3</w:t>
            </w:r>
          </w:p>
        </w:tc>
        <w:tc>
          <w:tcPr>
            <w:tcW w:w="1075" w:type="dxa"/>
            <w:vAlign w:val="center"/>
          </w:tcPr>
          <w:p w14:paraId="56F72A3F">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95.9</w:t>
            </w:r>
          </w:p>
        </w:tc>
        <w:tc>
          <w:tcPr>
            <w:tcW w:w="933" w:type="dxa"/>
            <w:vAlign w:val="center"/>
          </w:tcPr>
          <w:p w14:paraId="5D09C48C">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5.7</w:t>
            </w:r>
          </w:p>
        </w:tc>
      </w:tr>
      <w:tr w14:paraId="633E5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6CD1678A">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铁，mg</w:t>
            </w:r>
          </w:p>
        </w:tc>
        <w:tc>
          <w:tcPr>
            <w:tcW w:w="1036" w:type="dxa"/>
            <w:vAlign w:val="center"/>
          </w:tcPr>
          <w:p w14:paraId="6F76950F">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cs="Times New Roman"/>
                <w:color w:val="auto"/>
                <w:kern w:val="0"/>
                <w:highlight w:val="none"/>
                <w:lang w:val="en-US" w:eastAsia="zh-CN"/>
              </w:rPr>
            </w:pPr>
            <w:r>
              <w:rPr>
                <w:rFonts w:hint="eastAsia" w:cs="Times New Roman"/>
                <w:color w:val="auto"/>
                <w:kern w:val="0"/>
                <w:highlight w:val="none"/>
                <w:lang w:val="en-US" w:eastAsia="zh-CN"/>
              </w:rPr>
              <w:t xml:space="preserve">5.34 </w:t>
            </w:r>
          </w:p>
        </w:tc>
        <w:tc>
          <w:tcPr>
            <w:tcW w:w="1039" w:type="dxa"/>
            <w:vAlign w:val="center"/>
          </w:tcPr>
          <w:p w14:paraId="4635F2C9">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0.32</w:t>
            </w:r>
          </w:p>
        </w:tc>
        <w:tc>
          <w:tcPr>
            <w:tcW w:w="1075" w:type="dxa"/>
            <w:vAlign w:val="center"/>
          </w:tcPr>
          <w:p w14:paraId="1424B9AF">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5.08</w:t>
            </w:r>
          </w:p>
        </w:tc>
        <w:tc>
          <w:tcPr>
            <w:tcW w:w="933" w:type="dxa"/>
            <w:vAlign w:val="center"/>
          </w:tcPr>
          <w:p w14:paraId="2A84D4D5">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0.30</w:t>
            </w:r>
          </w:p>
        </w:tc>
      </w:tr>
      <w:tr w14:paraId="4B60E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6F81C79C">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锌，mg</w:t>
            </w:r>
          </w:p>
        </w:tc>
        <w:tc>
          <w:tcPr>
            <w:tcW w:w="1036" w:type="dxa"/>
            <w:vAlign w:val="center"/>
          </w:tcPr>
          <w:p w14:paraId="7ED2EB61">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cs="Times New Roman"/>
                <w:color w:val="auto"/>
                <w:kern w:val="0"/>
                <w:highlight w:val="none"/>
                <w:lang w:val="en-US" w:eastAsia="zh-CN"/>
              </w:rPr>
            </w:pPr>
            <w:r>
              <w:rPr>
                <w:rFonts w:hint="eastAsia" w:cs="Times New Roman"/>
                <w:color w:val="auto"/>
                <w:kern w:val="0"/>
                <w:highlight w:val="none"/>
                <w:lang w:val="en-US" w:eastAsia="zh-CN"/>
              </w:rPr>
              <w:t xml:space="preserve">4.01 </w:t>
            </w:r>
          </w:p>
        </w:tc>
        <w:tc>
          <w:tcPr>
            <w:tcW w:w="1039" w:type="dxa"/>
            <w:vAlign w:val="center"/>
          </w:tcPr>
          <w:p w14:paraId="6B823EA7">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0.24</w:t>
            </w:r>
          </w:p>
        </w:tc>
        <w:tc>
          <w:tcPr>
            <w:tcW w:w="1075" w:type="dxa"/>
            <w:vAlign w:val="center"/>
          </w:tcPr>
          <w:p w14:paraId="27C91617">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4.51</w:t>
            </w:r>
          </w:p>
        </w:tc>
        <w:tc>
          <w:tcPr>
            <w:tcW w:w="933" w:type="dxa"/>
            <w:vAlign w:val="center"/>
          </w:tcPr>
          <w:p w14:paraId="331AFDF1">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0.27</w:t>
            </w:r>
          </w:p>
        </w:tc>
      </w:tr>
      <w:tr w14:paraId="4F15B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13E6CEC3">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锰，μg</w:t>
            </w:r>
          </w:p>
        </w:tc>
        <w:tc>
          <w:tcPr>
            <w:tcW w:w="1036" w:type="dxa"/>
            <w:vAlign w:val="center"/>
          </w:tcPr>
          <w:p w14:paraId="09BECD9C">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cs="Times New Roman"/>
                <w:color w:val="auto"/>
                <w:kern w:val="0"/>
                <w:highlight w:val="none"/>
                <w:lang w:val="en-US" w:eastAsia="zh-CN"/>
              </w:rPr>
            </w:pPr>
            <w:r>
              <w:rPr>
                <w:rFonts w:hint="eastAsia" w:cs="Times New Roman"/>
                <w:color w:val="auto"/>
                <w:kern w:val="0"/>
                <w:highlight w:val="none"/>
                <w:lang w:val="en-US" w:eastAsia="zh-CN"/>
              </w:rPr>
              <w:t xml:space="preserve">1001.25 </w:t>
            </w:r>
          </w:p>
        </w:tc>
        <w:tc>
          <w:tcPr>
            <w:tcW w:w="1039" w:type="dxa"/>
            <w:vAlign w:val="center"/>
          </w:tcPr>
          <w:p w14:paraId="73B56FC4">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60</w:t>
            </w:r>
          </w:p>
        </w:tc>
        <w:tc>
          <w:tcPr>
            <w:tcW w:w="1075" w:type="dxa"/>
            <w:vAlign w:val="center"/>
          </w:tcPr>
          <w:p w14:paraId="568F3C86">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1128</w:t>
            </w:r>
          </w:p>
        </w:tc>
        <w:tc>
          <w:tcPr>
            <w:tcW w:w="933" w:type="dxa"/>
            <w:vAlign w:val="center"/>
          </w:tcPr>
          <w:p w14:paraId="19659DD3">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67</w:t>
            </w:r>
          </w:p>
        </w:tc>
      </w:tr>
      <w:tr w14:paraId="1B5C0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2852A5B1">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钙，mg</w:t>
            </w:r>
          </w:p>
        </w:tc>
        <w:tc>
          <w:tcPr>
            <w:tcW w:w="1036" w:type="dxa"/>
            <w:vAlign w:val="center"/>
          </w:tcPr>
          <w:p w14:paraId="462C369C">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cs="Times New Roman"/>
                <w:color w:val="auto"/>
                <w:kern w:val="0"/>
                <w:highlight w:val="none"/>
                <w:lang w:val="en-US" w:eastAsia="zh-CN"/>
              </w:rPr>
            </w:pPr>
            <w:r>
              <w:rPr>
                <w:rFonts w:hint="eastAsia" w:cs="Times New Roman"/>
                <w:color w:val="auto"/>
                <w:kern w:val="0"/>
                <w:highlight w:val="none"/>
                <w:lang w:val="en-US" w:eastAsia="zh-CN"/>
              </w:rPr>
              <w:t xml:space="preserve">320.40 </w:t>
            </w:r>
          </w:p>
        </w:tc>
        <w:tc>
          <w:tcPr>
            <w:tcW w:w="1039" w:type="dxa"/>
            <w:vAlign w:val="center"/>
          </w:tcPr>
          <w:p w14:paraId="4494CFE5">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19</w:t>
            </w:r>
          </w:p>
        </w:tc>
        <w:tc>
          <w:tcPr>
            <w:tcW w:w="1075" w:type="dxa"/>
            <w:vAlign w:val="center"/>
          </w:tcPr>
          <w:p w14:paraId="4CCD5197">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282</w:t>
            </w:r>
          </w:p>
        </w:tc>
        <w:tc>
          <w:tcPr>
            <w:tcW w:w="933" w:type="dxa"/>
            <w:vAlign w:val="center"/>
          </w:tcPr>
          <w:p w14:paraId="49CB63C9">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17</w:t>
            </w:r>
          </w:p>
        </w:tc>
      </w:tr>
      <w:tr w14:paraId="56D88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7A597968">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磷，mg</w:t>
            </w:r>
          </w:p>
        </w:tc>
        <w:tc>
          <w:tcPr>
            <w:tcW w:w="1036" w:type="dxa"/>
            <w:vAlign w:val="center"/>
          </w:tcPr>
          <w:p w14:paraId="45EA6B7C">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cs="Times New Roman"/>
                <w:color w:val="auto"/>
                <w:kern w:val="0"/>
                <w:highlight w:val="none"/>
                <w:lang w:val="en-US" w:eastAsia="zh-CN"/>
              </w:rPr>
            </w:pPr>
            <w:r>
              <w:rPr>
                <w:rFonts w:hint="eastAsia" w:cs="Times New Roman"/>
                <w:color w:val="auto"/>
                <w:kern w:val="0"/>
                <w:highlight w:val="none"/>
                <w:lang w:val="en-US" w:eastAsia="zh-CN"/>
              </w:rPr>
              <w:t xml:space="preserve">192.24 </w:t>
            </w:r>
          </w:p>
        </w:tc>
        <w:tc>
          <w:tcPr>
            <w:tcW w:w="1039" w:type="dxa"/>
            <w:vAlign w:val="center"/>
          </w:tcPr>
          <w:p w14:paraId="62EE65EF">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11.5</w:t>
            </w:r>
          </w:p>
        </w:tc>
        <w:tc>
          <w:tcPr>
            <w:tcW w:w="1075" w:type="dxa"/>
            <w:vAlign w:val="center"/>
          </w:tcPr>
          <w:p w14:paraId="355A66BC">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239.8</w:t>
            </w:r>
          </w:p>
        </w:tc>
        <w:tc>
          <w:tcPr>
            <w:tcW w:w="933" w:type="dxa"/>
            <w:vAlign w:val="center"/>
          </w:tcPr>
          <w:p w14:paraId="42CAE27A">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14.3</w:t>
            </w:r>
          </w:p>
        </w:tc>
      </w:tr>
      <w:tr w14:paraId="19795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0A57ACDD">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碘，μg</w:t>
            </w:r>
          </w:p>
        </w:tc>
        <w:tc>
          <w:tcPr>
            <w:tcW w:w="1036" w:type="dxa"/>
            <w:vAlign w:val="center"/>
          </w:tcPr>
          <w:p w14:paraId="5648BABB">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cs="Times New Roman"/>
                <w:color w:val="auto"/>
                <w:kern w:val="0"/>
                <w:highlight w:val="none"/>
                <w:lang w:val="en-US" w:eastAsia="zh-CN"/>
              </w:rPr>
            </w:pPr>
            <w:r>
              <w:rPr>
                <w:rFonts w:hint="eastAsia" w:cs="Times New Roman"/>
                <w:color w:val="auto"/>
                <w:kern w:val="0"/>
                <w:highlight w:val="none"/>
                <w:lang w:val="en-US" w:eastAsia="zh-CN"/>
              </w:rPr>
              <w:t xml:space="preserve">32.04 </w:t>
            </w:r>
          </w:p>
        </w:tc>
        <w:tc>
          <w:tcPr>
            <w:tcW w:w="1039" w:type="dxa"/>
            <w:vAlign w:val="center"/>
          </w:tcPr>
          <w:p w14:paraId="544FD263">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1.9</w:t>
            </w:r>
          </w:p>
        </w:tc>
        <w:tc>
          <w:tcPr>
            <w:tcW w:w="1075" w:type="dxa"/>
            <w:vAlign w:val="center"/>
          </w:tcPr>
          <w:p w14:paraId="26268D55">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45.1</w:t>
            </w:r>
          </w:p>
        </w:tc>
        <w:tc>
          <w:tcPr>
            <w:tcW w:w="933" w:type="dxa"/>
            <w:vAlign w:val="center"/>
          </w:tcPr>
          <w:p w14:paraId="23985F8F">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2.7</w:t>
            </w:r>
          </w:p>
        </w:tc>
      </w:tr>
      <w:tr w14:paraId="0CBBA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66A1C1AF">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氯，mg</w:t>
            </w:r>
          </w:p>
        </w:tc>
        <w:tc>
          <w:tcPr>
            <w:tcW w:w="1036" w:type="dxa"/>
            <w:vAlign w:val="center"/>
          </w:tcPr>
          <w:p w14:paraId="73086BD6">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cs="Times New Roman"/>
                <w:color w:val="auto"/>
                <w:kern w:val="0"/>
                <w:highlight w:val="none"/>
                <w:lang w:val="en-US" w:eastAsia="zh-CN"/>
              </w:rPr>
            </w:pPr>
            <w:r>
              <w:rPr>
                <w:rFonts w:hint="eastAsia" w:cs="Times New Roman"/>
                <w:color w:val="auto"/>
                <w:kern w:val="0"/>
                <w:highlight w:val="none"/>
                <w:lang w:val="en-US" w:eastAsia="zh-CN"/>
              </w:rPr>
              <w:t xml:space="preserve">29.90 </w:t>
            </w:r>
          </w:p>
        </w:tc>
        <w:tc>
          <w:tcPr>
            <w:tcW w:w="1039" w:type="dxa"/>
            <w:vAlign w:val="center"/>
          </w:tcPr>
          <w:p w14:paraId="3152A376">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1.8</w:t>
            </w:r>
          </w:p>
        </w:tc>
        <w:tc>
          <w:tcPr>
            <w:tcW w:w="1075" w:type="dxa"/>
            <w:vAlign w:val="center"/>
          </w:tcPr>
          <w:p w14:paraId="15EA2920">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395</w:t>
            </w:r>
          </w:p>
        </w:tc>
        <w:tc>
          <w:tcPr>
            <w:tcW w:w="933" w:type="dxa"/>
            <w:vAlign w:val="center"/>
          </w:tcPr>
          <w:p w14:paraId="77254582">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23.6</w:t>
            </w:r>
          </w:p>
        </w:tc>
      </w:tr>
      <w:tr w14:paraId="05738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7F782762">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硒，μg</w:t>
            </w:r>
          </w:p>
        </w:tc>
        <w:tc>
          <w:tcPr>
            <w:tcW w:w="1036" w:type="dxa"/>
            <w:vAlign w:val="center"/>
          </w:tcPr>
          <w:p w14:paraId="21FA57BC">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cs="Times New Roman"/>
                <w:color w:val="auto"/>
                <w:kern w:val="0"/>
                <w:highlight w:val="none"/>
                <w:lang w:val="en-US" w:eastAsia="zh-CN"/>
              </w:rPr>
            </w:pPr>
            <w:r>
              <w:rPr>
                <w:rFonts w:hint="eastAsia" w:cs="Times New Roman"/>
                <w:color w:val="auto"/>
                <w:kern w:val="0"/>
                <w:highlight w:val="none"/>
                <w:lang w:val="en-US" w:eastAsia="zh-CN"/>
              </w:rPr>
              <w:t xml:space="preserve">16.02 </w:t>
            </w:r>
          </w:p>
        </w:tc>
        <w:tc>
          <w:tcPr>
            <w:tcW w:w="1039" w:type="dxa"/>
            <w:vAlign w:val="center"/>
          </w:tcPr>
          <w:p w14:paraId="7E314740">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1.0</w:t>
            </w:r>
          </w:p>
        </w:tc>
        <w:tc>
          <w:tcPr>
            <w:tcW w:w="1075" w:type="dxa"/>
            <w:vAlign w:val="center"/>
          </w:tcPr>
          <w:p w14:paraId="4BF5131F">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16.9</w:t>
            </w:r>
          </w:p>
        </w:tc>
        <w:tc>
          <w:tcPr>
            <w:tcW w:w="933" w:type="dxa"/>
            <w:vAlign w:val="center"/>
          </w:tcPr>
          <w:p w14:paraId="5DC9A3CF">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1.0</w:t>
            </w:r>
          </w:p>
        </w:tc>
      </w:tr>
      <w:tr w14:paraId="38B19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12C34A56">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核苷酸，mg</w:t>
            </w:r>
          </w:p>
        </w:tc>
        <w:tc>
          <w:tcPr>
            <w:tcW w:w="1036" w:type="dxa"/>
            <w:vAlign w:val="center"/>
          </w:tcPr>
          <w:p w14:paraId="26129549">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cs="Times New Roman"/>
                <w:color w:val="auto"/>
                <w:kern w:val="0"/>
                <w:highlight w:val="none"/>
                <w:lang w:val="en-US" w:eastAsia="zh-CN"/>
              </w:rPr>
            </w:pPr>
            <w:r>
              <w:rPr>
                <w:rFonts w:hint="eastAsia" w:cs="Times New Roman"/>
                <w:color w:val="auto"/>
                <w:kern w:val="0"/>
                <w:highlight w:val="none"/>
                <w:lang w:val="en-US" w:eastAsia="zh-CN"/>
              </w:rPr>
              <w:t xml:space="preserve">507.30 </w:t>
            </w:r>
          </w:p>
        </w:tc>
        <w:tc>
          <w:tcPr>
            <w:tcW w:w="1039" w:type="dxa"/>
            <w:vAlign w:val="center"/>
          </w:tcPr>
          <w:p w14:paraId="5DAD874D">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eastAsia="宋体" w:cs="Times New Roman"/>
                <w:color w:val="auto"/>
                <w:highlight w:val="none"/>
                <w:lang w:val="en-US" w:eastAsia="zh-CN"/>
              </w:rPr>
            </w:pPr>
            <w:r>
              <w:rPr>
                <w:rFonts w:hint="eastAsia" w:cs="Times New Roman"/>
                <w:color w:val="auto"/>
                <w:kern w:val="0"/>
                <w:highlight w:val="none"/>
                <w:lang w:val="en-US" w:eastAsia="zh-CN"/>
              </w:rPr>
              <w:t>30</w:t>
            </w:r>
          </w:p>
        </w:tc>
        <w:tc>
          <w:tcPr>
            <w:tcW w:w="1075" w:type="dxa"/>
            <w:vAlign w:val="center"/>
          </w:tcPr>
          <w:p w14:paraId="0D6EF7CC">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509</w:t>
            </w:r>
          </w:p>
        </w:tc>
        <w:tc>
          <w:tcPr>
            <w:tcW w:w="933" w:type="dxa"/>
            <w:vAlign w:val="center"/>
          </w:tcPr>
          <w:p w14:paraId="5ABCE612">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30</w:t>
            </w:r>
          </w:p>
        </w:tc>
      </w:tr>
      <w:tr w14:paraId="11B72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171720A1">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铬，μg</w:t>
            </w:r>
          </w:p>
        </w:tc>
        <w:tc>
          <w:tcPr>
            <w:tcW w:w="1036" w:type="dxa"/>
            <w:vAlign w:val="center"/>
          </w:tcPr>
          <w:p w14:paraId="35710545">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w:t>
            </w:r>
          </w:p>
        </w:tc>
        <w:tc>
          <w:tcPr>
            <w:tcW w:w="1039" w:type="dxa"/>
            <w:vAlign w:val="center"/>
          </w:tcPr>
          <w:p w14:paraId="485C842E">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w:t>
            </w:r>
          </w:p>
        </w:tc>
        <w:tc>
          <w:tcPr>
            <w:tcW w:w="1075" w:type="dxa"/>
            <w:vAlign w:val="center"/>
          </w:tcPr>
          <w:p w14:paraId="4E4F0FBB">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21.7</w:t>
            </w:r>
          </w:p>
        </w:tc>
        <w:tc>
          <w:tcPr>
            <w:tcW w:w="933" w:type="dxa"/>
            <w:vAlign w:val="center"/>
          </w:tcPr>
          <w:p w14:paraId="07046A6E">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1.3</w:t>
            </w:r>
          </w:p>
        </w:tc>
      </w:tr>
      <w:tr w14:paraId="6C177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07B0BD02">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kern w:val="0"/>
                <w:highlight w:val="none"/>
              </w:rPr>
            </w:pPr>
            <w:r>
              <w:rPr>
                <w:rFonts w:hint="default" w:ascii="Times New Roman" w:hAnsi="Times New Roman" w:cs="Times New Roman"/>
                <w:color w:val="auto"/>
                <w:kern w:val="0"/>
                <w:highlight w:val="none"/>
              </w:rPr>
              <w:t>钼，μg</w:t>
            </w:r>
          </w:p>
        </w:tc>
        <w:tc>
          <w:tcPr>
            <w:tcW w:w="1036" w:type="dxa"/>
            <w:vAlign w:val="center"/>
          </w:tcPr>
          <w:p w14:paraId="08D18CB8">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w:t>
            </w:r>
          </w:p>
        </w:tc>
        <w:tc>
          <w:tcPr>
            <w:tcW w:w="1039" w:type="dxa"/>
            <w:vAlign w:val="center"/>
          </w:tcPr>
          <w:p w14:paraId="255B1148">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w:t>
            </w:r>
          </w:p>
        </w:tc>
        <w:tc>
          <w:tcPr>
            <w:tcW w:w="1075" w:type="dxa"/>
            <w:vAlign w:val="center"/>
          </w:tcPr>
          <w:p w14:paraId="3D40E7D3">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33.3</w:t>
            </w:r>
          </w:p>
        </w:tc>
        <w:tc>
          <w:tcPr>
            <w:tcW w:w="933" w:type="dxa"/>
            <w:vAlign w:val="center"/>
          </w:tcPr>
          <w:p w14:paraId="6361F14E">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2.0</w:t>
            </w:r>
          </w:p>
        </w:tc>
      </w:tr>
      <w:tr w14:paraId="32166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30024346">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left"/>
              <w:textAlignment w:val="auto"/>
              <w:rPr>
                <w:rFonts w:hint="default" w:ascii="Times New Roman" w:hAnsi="Times New Roman" w:cs="Times New Roman"/>
                <w:color w:val="auto"/>
                <w:kern w:val="0"/>
                <w:highlight w:val="none"/>
              </w:rPr>
            </w:pPr>
            <w:r>
              <w:rPr>
                <w:rFonts w:hint="default" w:ascii="Times New Roman" w:hAnsi="Times New Roman" w:cs="Times New Roman"/>
                <w:color w:val="auto"/>
                <w:kern w:val="0"/>
                <w:highlight w:val="none"/>
              </w:rPr>
              <w:t>胆碱，mg</w:t>
            </w:r>
          </w:p>
        </w:tc>
        <w:tc>
          <w:tcPr>
            <w:tcW w:w="1036" w:type="dxa"/>
            <w:vAlign w:val="center"/>
          </w:tcPr>
          <w:p w14:paraId="6B6E525D">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w:t>
            </w:r>
          </w:p>
        </w:tc>
        <w:tc>
          <w:tcPr>
            <w:tcW w:w="1039" w:type="dxa"/>
            <w:vAlign w:val="center"/>
          </w:tcPr>
          <w:p w14:paraId="203491D6">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w:t>
            </w:r>
          </w:p>
        </w:tc>
        <w:tc>
          <w:tcPr>
            <w:tcW w:w="1075" w:type="dxa"/>
            <w:vAlign w:val="center"/>
          </w:tcPr>
          <w:p w14:paraId="39C9A996">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167</w:t>
            </w:r>
          </w:p>
        </w:tc>
        <w:tc>
          <w:tcPr>
            <w:tcW w:w="933" w:type="dxa"/>
            <w:vAlign w:val="center"/>
          </w:tcPr>
          <w:p w14:paraId="1D41189B">
            <w:pPr>
              <w:pStyle w:val="36"/>
              <w:keepNext w:val="0"/>
              <w:keepLines w:val="0"/>
              <w:pageBreakBefore w:val="0"/>
              <w:widowControl w:val="0"/>
              <w:kinsoku/>
              <w:wordWrap/>
              <w:overflowPunct/>
              <w:topLinePunct w:val="0"/>
              <w:autoSpaceDE/>
              <w:autoSpaceDN/>
              <w:bidi w:val="0"/>
              <w:adjustRightInd/>
              <w:snapToGrid/>
              <w:spacing w:beforeLines="0" w:line="240" w:lineRule="auto"/>
              <w:ind w:firstLine="0" w:firstLineChars="0"/>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kern w:val="0"/>
                <w:highlight w:val="none"/>
              </w:rPr>
              <w:t>10</w:t>
            </w:r>
          </w:p>
        </w:tc>
      </w:tr>
    </w:tbl>
    <w:p w14:paraId="175D9DF2">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48" w:name="_Toc14500"/>
      <w:bookmarkStart w:id="49" w:name="_Toc22607"/>
      <w:r>
        <w:rPr>
          <w:rFonts w:hint="eastAsia" w:ascii="Times New Roman" w:hAnsi="Times New Roman" w:cs="黑体"/>
          <w:b/>
          <w:bCs/>
          <w:color w:val="auto"/>
          <w:szCs w:val="21"/>
          <w:highlight w:val="none"/>
        </w:rPr>
        <w:t>剂型及剂量</w:t>
      </w:r>
      <w:bookmarkEnd w:id="48"/>
      <w:bookmarkEnd w:id="49"/>
    </w:p>
    <w:p w14:paraId="58C82D74">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剂型：液体。</w:t>
      </w:r>
    </w:p>
    <w:p w14:paraId="3D67ABBF">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剂量：</w:t>
      </w: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lang w:val="en-US" w:eastAsia="zh-CN"/>
        </w:rPr>
        <w:t>连续</w:t>
      </w:r>
      <w:r>
        <w:rPr>
          <w:rFonts w:hint="eastAsia" w:ascii="Times New Roman" w:hAnsi="Times New Roman" w:cs="宋体"/>
          <w:color w:val="auto"/>
          <w:highlight w:val="none"/>
        </w:rPr>
        <w:t>服用</w:t>
      </w:r>
      <w:r>
        <w:rPr>
          <w:rFonts w:hint="eastAsia" w:ascii="Times New Roman" w:hAnsi="Times New Roman" w:cs="宋体"/>
          <w:color w:val="auto"/>
          <w:highlight w:val="none"/>
          <w:lang w:eastAsia="zh-CN"/>
        </w:rPr>
        <w:t>试验产品</w:t>
      </w:r>
      <w:r>
        <w:rPr>
          <w:rFonts w:hint="eastAsia" w:ascii="Times New Roman" w:hAnsi="Times New Roman" w:cs="宋体"/>
          <w:color w:val="auto"/>
          <w:highlight w:val="none"/>
        </w:rPr>
        <w:t>或对照产品，其</w:t>
      </w:r>
      <w:r>
        <w:rPr>
          <w:rFonts w:ascii="Times New Roman" w:hAnsi="Times New Roman" w:cs="宋体"/>
          <w:color w:val="auto"/>
          <w:highlight w:val="none"/>
        </w:rPr>
        <w:t>每日</w:t>
      </w:r>
      <w:r>
        <w:rPr>
          <w:rFonts w:hint="eastAsia" w:ascii="Times New Roman" w:hAnsi="Times New Roman" w:cs="宋体"/>
          <w:color w:val="auto"/>
          <w:highlight w:val="none"/>
        </w:rPr>
        <w:t>摄入量为400</w:t>
      </w:r>
      <w:r>
        <w:rPr>
          <w:rFonts w:ascii="Times New Roman" w:hAnsi="Times New Roman" w:cs="宋体"/>
          <w:color w:val="auto"/>
          <w:highlight w:val="none"/>
        </w:rPr>
        <w:t>kcal</w:t>
      </w:r>
      <w:r>
        <w:rPr>
          <w:rFonts w:hint="eastAsia" w:ascii="Times New Roman" w:hAnsi="Times New Roman" w:cs="宋体"/>
          <w:color w:val="auto"/>
          <w:highlight w:val="none"/>
        </w:rPr>
        <w:t>。</w:t>
      </w:r>
    </w:p>
    <w:p w14:paraId="6346567A">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50" w:name="_Toc2828"/>
      <w:bookmarkStart w:id="51" w:name="_Toc28198"/>
      <w:r>
        <w:rPr>
          <w:rFonts w:hint="eastAsia" w:ascii="Times New Roman" w:hAnsi="Times New Roman" w:cs="黑体"/>
          <w:b/>
          <w:bCs/>
          <w:color w:val="auto"/>
          <w:szCs w:val="21"/>
          <w:highlight w:val="none"/>
        </w:rPr>
        <w:t>包装和标签</w:t>
      </w:r>
      <w:bookmarkEnd w:id="50"/>
      <w:bookmarkEnd w:id="51"/>
    </w:p>
    <w:p w14:paraId="27402B2F">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lang w:eastAsia="zh-CN"/>
        </w:rPr>
        <w:t>试验产品</w:t>
      </w:r>
      <w:r>
        <w:rPr>
          <w:rFonts w:hint="eastAsia" w:ascii="Times New Roman" w:hAnsi="Times New Roman" w:cs="宋体"/>
          <w:color w:val="auto"/>
          <w:highlight w:val="none"/>
        </w:rPr>
        <w:t>：200 ml/袋</w:t>
      </w:r>
    </w:p>
    <w:p w14:paraId="06DA603F">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lang w:eastAsia="zh-CN"/>
        </w:rPr>
        <w:t>试验产品</w:t>
      </w:r>
      <w:r>
        <w:rPr>
          <w:rFonts w:hint="eastAsia" w:ascii="Times New Roman" w:hAnsi="Times New Roman" w:cs="宋体"/>
          <w:color w:val="auto"/>
          <w:highlight w:val="none"/>
        </w:rPr>
        <w:t>的标签和说明书应包含关于如何和何时适当使用</w:t>
      </w:r>
      <w:r>
        <w:rPr>
          <w:rFonts w:hint="eastAsia" w:ascii="Times New Roman" w:hAnsi="Times New Roman" w:cs="宋体"/>
          <w:color w:val="auto"/>
          <w:highlight w:val="none"/>
          <w:lang w:eastAsia="zh-CN"/>
        </w:rPr>
        <w:t>试验产品</w:t>
      </w:r>
      <w:r>
        <w:rPr>
          <w:rFonts w:hint="eastAsia" w:ascii="Times New Roman" w:hAnsi="Times New Roman" w:cs="宋体"/>
          <w:color w:val="auto"/>
          <w:highlight w:val="none"/>
        </w:rPr>
        <w:t>的说明</w:t>
      </w:r>
      <w:r>
        <w:rPr>
          <w:rFonts w:hint="eastAsia" w:ascii="Times New Roman" w:hAnsi="Times New Roman" w:cs="宋体"/>
          <w:color w:val="auto"/>
          <w:highlight w:val="none"/>
          <w:lang w:eastAsia="zh-CN"/>
        </w:rPr>
        <w:t>，</w:t>
      </w:r>
      <w:r>
        <w:rPr>
          <w:rFonts w:hint="eastAsia" w:ascii="Times New Roman" w:hAnsi="Times New Roman" w:cs="宋体"/>
          <w:color w:val="auto"/>
          <w:highlight w:val="none"/>
          <w:lang w:val="en-US" w:eastAsia="zh-CN"/>
        </w:rPr>
        <w:t>以及标明</w:t>
      </w:r>
      <w:r>
        <w:rPr>
          <w:rFonts w:hint="eastAsia" w:ascii="Times New Roman" w:hAnsi="Times New Roman" w:cs="宋体"/>
          <w:color w:val="auto"/>
          <w:highlight w:val="none"/>
          <w:lang w:eastAsia="zh-CN"/>
        </w:rPr>
        <w:t>“仅供临床试验使用”</w:t>
      </w:r>
      <w:r>
        <w:rPr>
          <w:rFonts w:hint="eastAsia" w:ascii="Times New Roman" w:hAnsi="Times New Roman" w:cs="宋体"/>
          <w:color w:val="auto"/>
          <w:highlight w:val="none"/>
        </w:rPr>
        <w:t>字样</w:t>
      </w:r>
      <w:r>
        <w:rPr>
          <w:rFonts w:hint="eastAsia" w:ascii="Times New Roman" w:hAnsi="Times New Roman" w:cs="宋体"/>
          <w:color w:val="auto"/>
          <w:highlight w:val="none"/>
          <w:lang w:eastAsia="zh-CN"/>
        </w:rPr>
        <w:t>。</w:t>
      </w:r>
    </w:p>
    <w:p w14:paraId="54E8AFFE">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对照产品：2</w:t>
      </w:r>
      <w:r>
        <w:rPr>
          <w:rFonts w:hint="eastAsia" w:ascii="Times New Roman" w:hAnsi="Times New Roman" w:cs="宋体"/>
          <w:color w:val="auto"/>
          <w:highlight w:val="none"/>
          <w:lang w:val="en-US" w:eastAsia="zh-CN"/>
        </w:rPr>
        <w:t>50</w:t>
      </w:r>
      <w:r>
        <w:rPr>
          <w:rFonts w:hint="eastAsia" w:ascii="Times New Roman" w:hAnsi="Times New Roman" w:cs="宋体"/>
          <w:color w:val="auto"/>
          <w:highlight w:val="none"/>
        </w:rPr>
        <w:t>ml/瓶</w:t>
      </w:r>
    </w:p>
    <w:p w14:paraId="65FEE832">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对照产品应粘贴“仅供临床试验使用”</w:t>
      </w:r>
      <w:r>
        <w:rPr>
          <w:rFonts w:hint="eastAsia" w:ascii="Times New Roman" w:hAnsi="Times New Roman" w:cs="宋体"/>
          <w:color w:val="auto"/>
          <w:highlight w:val="none"/>
          <w:lang w:val="en-US" w:eastAsia="zh-CN"/>
        </w:rPr>
        <w:t>标识</w:t>
      </w:r>
      <w:r>
        <w:rPr>
          <w:rFonts w:hint="eastAsia" w:ascii="Times New Roman" w:hAnsi="Times New Roman" w:cs="宋体"/>
          <w:color w:val="auto"/>
          <w:highlight w:val="none"/>
        </w:rPr>
        <w:t>。</w:t>
      </w:r>
    </w:p>
    <w:p w14:paraId="19844532">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52" w:name="_Toc32759"/>
      <w:bookmarkStart w:id="53" w:name="_Toc716"/>
      <w:r>
        <w:rPr>
          <w:rFonts w:hint="eastAsia" w:ascii="Times New Roman" w:hAnsi="Times New Roman" w:cs="黑体"/>
          <w:b/>
          <w:bCs/>
          <w:color w:val="auto"/>
          <w:szCs w:val="21"/>
          <w:highlight w:val="none"/>
        </w:rPr>
        <w:t>盲态和编码</w:t>
      </w:r>
      <w:bookmarkEnd w:id="52"/>
      <w:bookmarkEnd w:id="53"/>
    </w:p>
    <w:p w14:paraId="43F07C1B">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由于</w:t>
      </w:r>
      <w:r>
        <w:rPr>
          <w:rFonts w:hint="eastAsia" w:ascii="Times New Roman" w:hAnsi="Times New Roman" w:cs="宋体"/>
          <w:color w:val="auto"/>
          <w:highlight w:val="none"/>
          <w:lang w:eastAsia="zh-CN"/>
        </w:rPr>
        <w:t>试验产品</w:t>
      </w:r>
      <w:r>
        <w:rPr>
          <w:rFonts w:hint="eastAsia" w:ascii="Times New Roman" w:hAnsi="Times New Roman" w:cs="宋体"/>
          <w:color w:val="auto"/>
          <w:highlight w:val="none"/>
        </w:rPr>
        <w:t>与对照产品在配置剂量、味道、包装形式等方面不同，本</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未设盲法。</w:t>
      </w:r>
      <w:r>
        <w:rPr>
          <w:rFonts w:hint="eastAsia" w:ascii="Times New Roman" w:hAnsi="Times New Roman" w:cs="宋体"/>
          <w:color w:val="auto"/>
          <w:highlight w:val="none"/>
          <w:lang w:val="en-US" w:eastAsia="zh-CN"/>
        </w:rPr>
        <w:t>但</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采用简单随机化法，参照闫世艳、姚晨、夏结来在《简单随机化、中心分层区组随机化和最小化法的均衡性比较》中的说明。随机的过程可以确保分组前研究者、</w:t>
      </w: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rPr>
        <w:t>或监查员等均不了解</w:t>
      </w: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rPr>
        <w:t>将分配到哪个治疗组，只有在随机分组后研究者才获知</w:t>
      </w: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rPr>
        <w:t>分组情况及应使用哪种</w:t>
      </w:r>
      <w:r>
        <w:rPr>
          <w:rFonts w:hint="eastAsia" w:ascii="Times New Roman" w:hAnsi="Times New Roman" w:cs="宋体"/>
          <w:color w:val="auto"/>
          <w:highlight w:val="none"/>
          <w:lang w:eastAsia="zh-CN"/>
        </w:rPr>
        <w:t>试验用产品</w:t>
      </w:r>
      <w:r>
        <w:rPr>
          <w:rFonts w:hint="eastAsia" w:ascii="Times New Roman" w:hAnsi="Times New Roman" w:cs="宋体"/>
          <w:color w:val="auto"/>
          <w:highlight w:val="none"/>
        </w:rPr>
        <w:t>。</w:t>
      </w:r>
    </w:p>
    <w:p w14:paraId="7365DE29">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54" w:name="_Toc7878"/>
      <w:bookmarkStart w:id="55" w:name="_Toc17147"/>
      <w:r>
        <w:rPr>
          <w:rFonts w:hint="eastAsia" w:ascii="Times New Roman" w:hAnsi="Times New Roman" w:cs="黑体"/>
          <w:b/>
          <w:bCs/>
          <w:color w:val="auto"/>
          <w:szCs w:val="21"/>
          <w:highlight w:val="none"/>
          <w:lang w:val="en-US" w:eastAsia="zh-CN"/>
        </w:rPr>
        <w:t>样本的分配</w:t>
      </w:r>
      <w:bookmarkEnd w:id="54"/>
    </w:p>
    <w:p w14:paraId="718B184A">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 xml:space="preserve"> 根据各中心的病源情况，合理分配各中心的病例数。采用竞争入组的方式，如试验进行过程中各中心因实际操作问题考虑需要增减临床试验中心的，应经牵头单位同意后增减临床试验中心。</w:t>
      </w:r>
    </w:p>
    <w:p w14:paraId="40DE524B">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56" w:name="_Toc26568"/>
      <w:r>
        <w:rPr>
          <w:rFonts w:hint="eastAsia" w:ascii="Times New Roman" w:hAnsi="Times New Roman" w:cs="黑体"/>
          <w:b/>
          <w:bCs/>
          <w:color w:val="auto"/>
          <w:szCs w:val="21"/>
          <w:highlight w:val="none"/>
        </w:rPr>
        <w:t>破解代码</w:t>
      </w:r>
      <w:bookmarkEnd w:id="55"/>
      <w:bookmarkEnd w:id="56"/>
    </w:p>
    <w:p w14:paraId="0A22317D">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本</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为开放性</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，研究者知晓每名</w:t>
      </w: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rPr>
        <w:t>分配的</w:t>
      </w:r>
      <w:r>
        <w:rPr>
          <w:rFonts w:hint="eastAsia" w:ascii="Times New Roman" w:hAnsi="Times New Roman" w:cs="宋体"/>
          <w:color w:val="auto"/>
          <w:highlight w:val="none"/>
          <w:lang w:eastAsia="zh-CN"/>
        </w:rPr>
        <w:t>试验用产品</w:t>
      </w:r>
      <w:r>
        <w:rPr>
          <w:rFonts w:hint="eastAsia" w:ascii="Times New Roman" w:hAnsi="Times New Roman" w:cs="宋体"/>
          <w:color w:val="auto"/>
          <w:highlight w:val="none"/>
        </w:rPr>
        <w:t>，破解代码不适用于本</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w:t>
      </w:r>
    </w:p>
    <w:p w14:paraId="054B577E">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57" w:name="_Toc8723"/>
      <w:bookmarkStart w:id="58" w:name="_Toc30179"/>
      <w:r>
        <w:rPr>
          <w:rFonts w:hint="eastAsia" w:ascii="Times New Roman" w:hAnsi="Times New Roman" w:cs="黑体"/>
          <w:b/>
          <w:bCs w:val="0"/>
          <w:color w:val="auto"/>
          <w:szCs w:val="24"/>
          <w:highlight w:val="none"/>
          <w:lang w:eastAsia="zh-CN"/>
        </w:rPr>
        <w:t>试验用产品</w:t>
      </w:r>
      <w:r>
        <w:rPr>
          <w:rFonts w:hint="eastAsia" w:ascii="Times New Roman" w:hAnsi="Times New Roman" w:cs="黑体"/>
          <w:b/>
          <w:bCs w:val="0"/>
          <w:color w:val="auto"/>
          <w:szCs w:val="24"/>
          <w:highlight w:val="none"/>
        </w:rPr>
        <w:t>管理和依从性</w:t>
      </w:r>
      <w:bookmarkEnd w:id="57"/>
      <w:bookmarkEnd w:id="58"/>
    </w:p>
    <w:p w14:paraId="291F401C">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59" w:name="_Toc9237"/>
      <w:bookmarkStart w:id="60" w:name="_Toc4187"/>
      <w:r>
        <w:rPr>
          <w:rFonts w:hint="eastAsia" w:ascii="Times New Roman" w:hAnsi="Times New Roman" w:cs="黑体"/>
          <w:b/>
          <w:bCs/>
          <w:color w:val="auto"/>
          <w:szCs w:val="21"/>
          <w:highlight w:val="none"/>
        </w:rPr>
        <w:t>服用途径及服用方法</w:t>
      </w:r>
      <w:bookmarkEnd w:id="59"/>
      <w:bookmarkEnd w:id="60"/>
    </w:p>
    <w:p w14:paraId="7C37FA67">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lang w:eastAsia="zh-CN"/>
        </w:rPr>
        <w:t>试验产品</w:t>
      </w:r>
      <w:r>
        <w:rPr>
          <w:rFonts w:hint="eastAsia" w:ascii="Times New Roman" w:hAnsi="Times New Roman" w:cs="宋体"/>
          <w:color w:val="auto"/>
          <w:highlight w:val="none"/>
        </w:rPr>
        <w:t>及对照产品经口服服用。</w:t>
      </w:r>
    </w:p>
    <w:p w14:paraId="4C009927">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rPr>
        <w:t>禁止通过胃肠外（静脉）使用。</w:t>
      </w:r>
    </w:p>
    <w:p w14:paraId="6D89205A">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lang w:eastAsia="zh-CN"/>
        </w:rPr>
        <w:t>受试者于试验周期内连续服用试验产品或对照产品，试验周期为21(±1)天。</w:t>
      </w:r>
    </w:p>
    <w:p w14:paraId="4D9BC3E0">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hint="eastAsia" w:ascii="Times New Roman" w:hAnsi="Times New Roman" w:cs="宋体"/>
          <w:color w:val="auto"/>
          <w:highlight w:val="none"/>
        </w:rPr>
      </w:pPr>
      <w:r>
        <w:rPr>
          <w:rFonts w:hint="eastAsia" w:ascii="Times New Roman" w:hAnsi="Times New Roman" w:cs="宋体"/>
          <w:color w:val="auto"/>
          <w:highlight w:val="none"/>
        </w:rPr>
        <w:t>参考《特定全营养配方食品临床试验技术指导原则  肿瘤》，</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期间</w:t>
      </w:r>
      <w:r>
        <w:rPr>
          <w:rFonts w:hint="eastAsia" w:ascii="Times New Roman" w:hAnsi="Times New Roman" w:cs="宋体"/>
          <w:color w:val="auto"/>
          <w:highlight w:val="none"/>
          <w:lang w:eastAsia="zh-CN"/>
        </w:rPr>
        <w:t>受试者每日摄入总能量</w:t>
      </w:r>
      <w:r>
        <w:rPr>
          <w:rFonts w:hint="eastAsia" w:ascii="Times New Roman" w:hAnsi="Times New Roman"/>
          <w:color w:val="auto"/>
          <w:highlight w:val="none"/>
          <w:lang w:val="en-US" w:eastAsia="zh-CN"/>
        </w:rPr>
        <w:t>根据基线体重、</w:t>
      </w:r>
      <w:r>
        <w:rPr>
          <w:rFonts w:hint="eastAsia" w:ascii="Times New Roman" w:hAnsi="Times New Roman" w:cs="宋体"/>
          <w:color w:val="auto"/>
          <w:highlight w:val="none"/>
        </w:rPr>
        <w:t>以27.5kcal/kg.d标准进行计算。</w:t>
      </w: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lang w:val="en-US" w:eastAsia="zh-CN"/>
        </w:rPr>
        <w:t>每日</w:t>
      </w:r>
      <w:r>
        <w:rPr>
          <w:rFonts w:hint="eastAsia" w:ascii="Times New Roman" w:hAnsi="Times New Roman" w:cs="宋体"/>
          <w:color w:val="auto"/>
          <w:highlight w:val="none"/>
        </w:rPr>
        <w:t>服用</w:t>
      </w:r>
      <w:r>
        <w:rPr>
          <w:rFonts w:hint="eastAsia" w:ascii="Times New Roman" w:hAnsi="Times New Roman" w:cs="宋体"/>
          <w:color w:val="auto"/>
          <w:highlight w:val="none"/>
          <w:lang w:eastAsia="zh-CN"/>
        </w:rPr>
        <w:t>试验产品</w:t>
      </w:r>
      <w:r>
        <w:rPr>
          <w:rFonts w:hint="eastAsia" w:ascii="Times New Roman" w:hAnsi="Times New Roman" w:cs="宋体"/>
          <w:color w:val="auto"/>
          <w:highlight w:val="none"/>
        </w:rPr>
        <w:t>或对照产品</w:t>
      </w:r>
      <w:r>
        <w:rPr>
          <w:rFonts w:hint="eastAsia" w:ascii="Times New Roman" w:hAnsi="Times New Roman" w:cs="宋体"/>
          <w:color w:val="auto"/>
          <w:highlight w:val="none"/>
          <w:lang w:val="en-US" w:eastAsia="zh-CN"/>
        </w:rPr>
        <w:t>400kcal</w:t>
      </w:r>
      <w:r>
        <w:rPr>
          <w:rFonts w:hint="eastAsia" w:ascii="Times New Roman" w:hAnsi="Times New Roman" w:cs="宋体"/>
          <w:color w:val="auto"/>
          <w:highlight w:val="none"/>
          <w:lang w:eastAsia="zh-CN"/>
        </w:rPr>
        <w:t>，</w:t>
      </w:r>
      <w:r>
        <w:rPr>
          <w:rFonts w:hint="eastAsia" w:ascii="Times New Roman" w:hAnsi="Times New Roman" w:cs="宋体"/>
          <w:color w:val="auto"/>
          <w:highlight w:val="none"/>
        </w:rPr>
        <w:t>剩余能量参照膳食食谱通过普通膳食摄入</w:t>
      </w:r>
      <w:r>
        <w:rPr>
          <w:rFonts w:hint="eastAsia" w:ascii="Times New Roman" w:hAnsi="Times New Roman" w:cs="宋体"/>
          <w:color w:val="auto"/>
          <w:highlight w:val="none"/>
          <w:lang w:eastAsia="zh-CN"/>
        </w:rPr>
        <w:t>，摄入情况将由受试者进行拍照，经授权人员进行记录。产品服用第1</w:t>
      </w:r>
      <w:r>
        <w:rPr>
          <w:rFonts w:hint="eastAsia" w:cs="宋体"/>
          <w:color w:val="auto"/>
          <w:highlight w:val="none"/>
          <w:lang w:eastAsia="zh-CN"/>
        </w:rPr>
        <w:t>、</w:t>
      </w:r>
      <w:r>
        <w:rPr>
          <w:rFonts w:hint="eastAsia" w:ascii="Times New Roman" w:hAnsi="Times New Roman" w:cs="宋体"/>
          <w:color w:val="auto"/>
          <w:highlight w:val="none"/>
          <w:lang w:eastAsia="zh-CN"/>
        </w:rPr>
        <w:t>2天作为适应期，</w:t>
      </w:r>
      <w:r>
        <w:rPr>
          <w:rFonts w:hint="eastAsia" w:cs="宋体"/>
          <w:color w:val="auto"/>
          <w:highlight w:val="none"/>
          <w:lang w:eastAsia="zh-CN"/>
        </w:rPr>
        <w:t>产品摄入量</w:t>
      </w:r>
      <w:r>
        <w:rPr>
          <w:rFonts w:hint="eastAsia" w:ascii="Times New Roman" w:hAnsi="Times New Roman" w:cs="宋体"/>
          <w:color w:val="auto"/>
          <w:szCs w:val="21"/>
          <w:highlight w:val="none"/>
          <w:lang w:val="en-US" w:eastAsia="zh-CN"/>
        </w:rPr>
        <w:t>和总能量摄入</w:t>
      </w:r>
      <w:r>
        <w:rPr>
          <w:rFonts w:hint="eastAsia" w:cs="宋体"/>
          <w:color w:val="auto"/>
          <w:szCs w:val="21"/>
          <w:highlight w:val="none"/>
          <w:lang w:val="en-US" w:eastAsia="zh-CN"/>
        </w:rPr>
        <w:t>量</w:t>
      </w:r>
      <w:r>
        <w:rPr>
          <w:rFonts w:hint="eastAsia" w:ascii="Times New Roman" w:hAnsi="Times New Roman" w:cs="宋体"/>
          <w:color w:val="auto"/>
          <w:highlight w:val="none"/>
          <w:lang w:eastAsia="zh-CN"/>
        </w:rPr>
        <w:t>可以不达上述标准。</w:t>
      </w:r>
    </w:p>
    <w:p w14:paraId="6A710D97">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61" w:name="_Toc12808"/>
      <w:bookmarkStart w:id="62" w:name="_Toc14627"/>
      <w:r>
        <w:rPr>
          <w:rFonts w:hint="eastAsia" w:ascii="Times New Roman" w:hAnsi="Times New Roman" w:cs="黑体"/>
          <w:b/>
          <w:bCs/>
          <w:color w:val="auto"/>
          <w:szCs w:val="21"/>
          <w:highlight w:val="none"/>
        </w:rPr>
        <w:t>受试者依从性</w:t>
      </w:r>
      <w:bookmarkEnd w:id="61"/>
      <w:bookmarkEnd w:id="62"/>
    </w:p>
    <w:p w14:paraId="1A80AF52">
      <w:pPr>
        <w:pStyle w:val="5"/>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宋体"/>
          <w:color w:val="auto"/>
          <w:highlight w:val="none"/>
          <w:lang w:val="en-US" w:eastAsia="zh-CN"/>
        </w:rPr>
      </w:pPr>
      <w:r>
        <w:rPr>
          <w:rFonts w:hint="eastAsia" w:cs="宋体"/>
          <w:color w:val="auto"/>
          <w:highlight w:val="none"/>
          <w:lang w:val="en-US" w:eastAsia="zh-CN"/>
        </w:rPr>
        <w:t>服用周期内，受试者每日</w:t>
      </w:r>
      <w:r>
        <w:rPr>
          <w:rFonts w:hint="eastAsia" w:ascii="Times New Roman" w:hAnsi="Times New Roman" w:cs="宋体"/>
          <w:color w:val="auto"/>
          <w:highlight w:val="none"/>
        </w:rPr>
        <w:t>试验用产品和</w:t>
      </w:r>
      <w:r>
        <w:rPr>
          <w:rFonts w:hint="eastAsia" w:ascii="Times New Roman" w:hAnsi="Times New Roman" w:cs="宋体"/>
          <w:color w:val="auto"/>
          <w:highlight w:val="none"/>
          <w:lang w:val="en-US" w:eastAsia="zh-CN"/>
        </w:rPr>
        <w:t>普通</w:t>
      </w:r>
      <w:r>
        <w:rPr>
          <w:rFonts w:hint="eastAsia" w:ascii="Times New Roman" w:hAnsi="Times New Roman" w:cs="宋体"/>
          <w:color w:val="auto"/>
          <w:highlight w:val="none"/>
        </w:rPr>
        <w:t>膳食</w:t>
      </w:r>
      <w:r>
        <w:rPr>
          <w:rFonts w:hint="eastAsia" w:cs="宋体"/>
          <w:color w:val="auto"/>
          <w:highlight w:val="none"/>
          <w:lang w:val="en-US" w:eastAsia="zh-CN"/>
        </w:rPr>
        <w:t>的</w:t>
      </w:r>
      <w:r>
        <w:rPr>
          <w:rFonts w:hint="eastAsia" w:ascii="Times New Roman" w:hAnsi="Times New Roman" w:cs="宋体"/>
          <w:color w:val="auto"/>
          <w:highlight w:val="none"/>
        </w:rPr>
        <w:t>摄入</w:t>
      </w:r>
      <w:r>
        <w:rPr>
          <w:rFonts w:hint="eastAsia" w:ascii="Times New Roman" w:hAnsi="Times New Roman" w:cs="宋体"/>
          <w:color w:val="auto"/>
          <w:highlight w:val="none"/>
          <w:lang w:val="en-US" w:eastAsia="zh-CN"/>
        </w:rPr>
        <w:t>情况</w:t>
      </w:r>
      <w:r>
        <w:rPr>
          <w:rFonts w:hint="eastAsia" w:cs="宋体"/>
          <w:color w:val="auto"/>
          <w:highlight w:val="none"/>
          <w:lang w:val="en-US" w:eastAsia="zh-CN"/>
        </w:rPr>
        <w:t>将由受试者进行拍照</w:t>
      </w:r>
      <w:r>
        <w:rPr>
          <w:rFonts w:hint="eastAsia" w:ascii="Times New Roman" w:hAnsi="Times New Roman" w:cs="宋体"/>
          <w:color w:val="auto"/>
          <w:highlight w:val="none"/>
          <w:lang w:val="en-US" w:eastAsia="zh-CN"/>
        </w:rPr>
        <w:t>，</w:t>
      </w:r>
      <w:r>
        <w:rPr>
          <w:rFonts w:hint="eastAsia" w:ascii="Times New Roman" w:hAnsi="Times New Roman" w:cs="宋体"/>
          <w:color w:val="auto"/>
          <w:highlight w:val="none"/>
        </w:rPr>
        <w:t>经授权人员进行</w:t>
      </w:r>
      <w:r>
        <w:rPr>
          <w:rFonts w:hint="eastAsia" w:ascii="Times New Roman" w:hAnsi="Times New Roman" w:cs="宋体"/>
          <w:color w:val="auto"/>
          <w:highlight w:val="none"/>
          <w:lang w:val="en-US" w:eastAsia="zh-CN"/>
        </w:rPr>
        <w:t>记录</w:t>
      </w:r>
      <w:r>
        <w:rPr>
          <w:rFonts w:hint="eastAsia" w:ascii="Times New Roman" w:hAnsi="Times New Roman" w:cs="宋体"/>
          <w:color w:val="auto"/>
          <w:highlight w:val="none"/>
        </w:rPr>
        <w:t>。</w:t>
      </w:r>
    </w:p>
    <w:p w14:paraId="2108E2BE">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cs="宋体"/>
          <w:color w:val="auto"/>
          <w:highlight w:val="none"/>
          <w:lang w:val="en-US" w:eastAsia="zh-CN"/>
        </w:rPr>
        <w:t>每日摄入情况</w:t>
      </w:r>
      <w:r>
        <w:rPr>
          <w:rFonts w:hint="eastAsia" w:ascii="Times New Roman" w:hAnsi="Times New Roman" w:cs="宋体"/>
          <w:color w:val="auto"/>
          <w:highlight w:val="none"/>
        </w:rPr>
        <w:t>将用作评估</w:t>
      </w: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rPr>
        <w:t>依从性的依据，并且期望借此提醒和敦促</w:t>
      </w: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rPr>
        <w:t>按照方案规定的</w:t>
      </w:r>
      <w:r>
        <w:rPr>
          <w:rFonts w:hint="eastAsia" w:ascii="Times New Roman" w:hAnsi="Times New Roman" w:cs="宋体"/>
          <w:color w:val="auto"/>
          <w:highlight w:val="none"/>
          <w:lang w:val="en-US" w:eastAsia="zh-CN"/>
        </w:rPr>
        <w:t>目标</w:t>
      </w:r>
      <w:r>
        <w:rPr>
          <w:rFonts w:hint="eastAsia" w:ascii="Times New Roman" w:hAnsi="Times New Roman" w:cs="宋体"/>
          <w:color w:val="auto"/>
          <w:highlight w:val="none"/>
        </w:rPr>
        <w:t>量</w:t>
      </w:r>
      <w:r>
        <w:rPr>
          <w:rFonts w:hint="eastAsia" w:ascii="Times New Roman" w:hAnsi="Times New Roman" w:cs="宋体"/>
          <w:color w:val="auto"/>
          <w:highlight w:val="none"/>
          <w:lang w:val="en-US" w:eastAsia="zh-CN"/>
        </w:rPr>
        <w:t>摄入</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lang w:val="en-US" w:eastAsia="zh-CN"/>
        </w:rPr>
        <w:t>用</w:t>
      </w:r>
      <w:r>
        <w:rPr>
          <w:rFonts w:hint="eastAsia" w:ascii="Times New Roman" w:hAnsi="Times New Roman" w:cs="宋体"/>
          <w:color w:val="auto"/>
          <w:highlight w:val="none"/>
          <w:lang w:eastAsia="zh-CN"/>
        </w:rPr>
        <w:t>产品</w:t>
      </w:r>
      <w:r>
        <w:rPr>
          <w:rFonts w:hint="eastAsia" w:ascii="Times New Roman" w:hAnsi="Times New Roman" w:cs="宋体"/>
          <w:color w:val="auto"/>
          <w:highlight w:val="none"/>
          <w:lang w:val="en-US" w:eastAsia="zh-CN"/>
        </w:rPr>
        <w:t>和普通膳食</w:t>
      </w:r>
      <w:r>
        <w:rPr>
          <w:rFonts w:hint="eastAsia" w:ascii="Times New Roman" w:hAnsi="Times New Roman" w:cs="宋体"/>
          <w:color w:val="auto"/>
          <w:highlight w:val="none"/>
        </w:rPr>
        <w:t>。</w:t>
      </w:r>
    </w:p>
    <w:p w14:paraId="5FB59ACA">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依从性将根据</w:t>
      </w:r>
      <w:r>
        <w:rPr>
          <w:rFonts w:hint="eastAsia" w:ascii="Times New Roman" w:hAnsi="Times New Roman" w:cs="宋体"/>
          <w:color w:val="auto"/>
          <w:highlight w:val="none"/>
          <w:lang w:val="en-US" w:eastAsia="zh-CN"/>
        </w:rPr>
        <w:t>摄入</w:t>
      </w:r>
      <w:r>
        <w:rPr>
          <w:rFonts w:hint="eastAsia" w:ascii="Times New Roman" w:hAnsi="Times New Roman" w:cs="宋体"/>
          <w:color w:val="auto"/>
          <w:highlight w:val="none"/>
        </w:rPr>
        <w:t>量与目标量相比进行衡量。</w:t>
      </w:r>
      <w:r>
        <w:rPr>
          <w:rFonts w:hint="eastAsia" w:ascii="Times New Roman" w:hAnsi="Times New Roman" w:cs="宋体"/>
          <w:color w:val="auto"/>
          <w:highlight w:val="none"/>
          <w:lang w:val="en-US" w:eastAsia="zh-CN"/>
        </w:rPr>
        <w:t>经</w:t>
      </w:r>
      <w:r>
        <w:rPr>
          <w:rFonts w:hint="eastAsia" w:ascii="Times New Roman" w:hAnsi="Times New Roman" w:cs="宋体"/>
          <w:color w:val="auto"/>
          <w:highlight w:val="none"/>
        </w:rPr>
        <w:t>授权人员将对</w:t>
      </w:r>
      <w:r>
        <w:rPr>
          <w:rFonts w:hint="eastAsia" w:ascii="Times New Roman" w:hAnsi="Times New Roman" w:cs="宋体"/>
          <w:color w:val="auto"/>
          <w:highlight w:val="none"/>
          <w:lang w:val="en-US" w:eastAsia="zh-CN"/>
        </w:rPr>
        <w:t>每日摄入</w:t>
      </w:r>
      <w:r>
        <w:rPr>
          <w:rFonts w:hint="eastAsia" w:cs="宋体"/>
          <w:color w:val="auto"/>
          <w:highlight w:val="none"/>
          <w:lang w:val="en-US" w:eastAsia="zh-CN"/>
        </w:rPr>
        <w:t>情况</w:t>
      </w:r>
      <w:r>
        <w:rPr>
          <w:rFonts w:hint="eastAsia" w:ascii="Times New Roman" w:hAnsi="Times New Roman" w:cs="宋体"/>
          <w:color w:val="auto"/>
          <w:highlight w:val="none"/>
        </w:rPr>
        <w:t>进行评估衡量。</w:t>
      </w:r>
    </w:p>
    <w:p w14:paraId="2CEE22F4">
      <w:pPr>
        <w:pStyle w:val="5"/>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宋体"/>
          <w:color w:val="auto"/>
          <w:highlight w:val="none"/>
          <w:lang w:val="en-US" w:eastAsia="zh-CN"/>
        </w:rPr>
      </w:pPr>
      <w:r>
        <w:rPr>
          <w:rFonts w:hint="eastAsia" w:ascii="Times New Roman" w:hAnsi="Times New Roman" w:cs="宋体"/>
          <w:color w:val="auto"/>
          <w:highlight w:val="none"/>
        </w:rPr>
        <w:t>受试者的产品每日摄入量</w:t>
      </w:r>
      <w:r>
        <w:rPr>
          <w:rFonts w:hint="eastAsia" w:ascii="Times New Roman" w:hAnsi="Times New Roman" w:cs="宋体"/>
          <w:color w:val="auto"/>
          <w:highlight w:val="none"/>
          <w:lang w:val="en-US" w:eastAsia="zh-CN"/>
        </w:rPr>
        <w:t>和普通膳食</w:t>
      </w:r>
      <w:r>
        <w:rPr>
          <w:rFonts w:hint="eastAsia" w:ascii="Times New Roman" w:hAnsi="Times New Roman" w:cs="宋体"/>
          <w:color w:val="auto"/>
          <w:highlight w:val="none"/>
        </w:rPr>
        <w:t>每日摄入量上下浮动不超过10%，</w:t>
      </w:r>
      <w:r>
        <w:rPr>
          <w:rFonts w:hint="eastAsia" w:ascii="Times New Roman" w:hAnsi="Times New Roman" w:cs="宋体"/>
          <w:color w:val="auto"/>
          <w:highlight w:val="none"/>
          <w:lang w:val="en-US" w:eastAsia="zh-CN"/>
        </w:rPr>
        <w:t>且</w:t>
      </w:r>
      <w:r>
        <w:rPr>
          <w:rFonts w:hint="eastAsia" w:ascii="Times New Roman" w:hAnsi="Times New Roman" w:cs="宋体"/>
          <w:color w:val="auto"/>
          <w:highlight w:val="none"/>
        </w:rPr>
        <w:t>总能量摄入上下浮动超过20%的天数不多于</w:t>
      </w:r>
      <w:r>
        <w:rPr>
          <w:rFonts w:hint="eastAsia" w:ascii="Times New Roman" w:hAnsi="Times New Roman" w:cs="宋体"/>
          <w:color w:val="auto"/>
          <w:highlight w:val="none"/>
          <w:lang w:val="en-US" w:eastAsia="zh-CN"/>
        </w:rPr>
        <w:t>2</w:t>
      </w:r>
      <w:r>
        <w:rPr>
          <w:rFonts w:hint="eastAsia" w:ascii="Times New Roman" w:hAnsi="Times New Roman" w:cs="宋体"/>
          <w:color w:val="auto"/>
          <w:highlight w:val="none"/>
        </w:rPr>
        <w:t>天，受试者对方案的依从性良好</w:t>
      </w:r>
      <w:r>
        <w:rPr>
          <w:rFonts w:hint="eastAsia" w:cs="宋体"/>
          <w:color w:val="auto"/>
          <w:highlight w:val="none"/>
          <w:lang w:eastAsia="zh-CN"/>
        </w:rPr>
        <w:t>；</w:t>
      </w:r>
      <w:r>
        <w:rPr>
          <w:rFonts w:hint="eastAsia" w:cs="宋体"/>
          <w:color w:val="auto"/>
          <w:highlight w:val="none"/>
          <w:lang w:val="en-US" w:eastAsia="zh-CN"/>
        </w:rPr>
        <w:t>适应期不纳入依从性判定。</w:t>
      </w:r>
    </w:p>
    <w:p w14:paraId="4124D937">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63" w:name="_Toc32237"/>
      <w:bookmarkStart w:id="64" w:name="_Toc31604"/>
      <w:r>
        <w:rPr>
          <w:rFonts w:hint="eastAsia" w:ascii="Times New Roman" w:hAnsi="Times New Roman" w:cs="黑体"/>
          <w:b/>
          <w:bCs w:val="0"/>
          <w:color w:val="auto"/>
          <w:szCs w:val="24"/>
          <w:highlight w:val="none"/>
          <w:lang w:eastAsia="zh-CN"/>
        </w:rPr>
        <w:t>试验用产品</w:t>
      </w:r>
      <w:r>
        <w:rPr>
          <w:rFonts w:hint="eastAsia" w:ascii="Times New Roman" w:hAnsi="Times New Roman" w:cs="黑体"/>
          <w:b/>
          <w:bCs w:val="0"/>
          <w:color w:val="auto"/>
          <w:szCs w:val="24"/>
          <w:highlight w:val="none"/>
        </w:rPr>
        <w:t>处理</w:t>
      </w:r>
      <w:bookmarkEnd w:id="63"/>
      <w:bookmarkEnd w:id="64"/>
    </w:p>
    <w:p w14:paraId="6CAEA280">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65" w:name="_Toc25631"/>
      <w:bookmarkStart w:id="66" w:name="_Toc20170"/>
      <w:r>
        <w:rPr>
          <w:rFonts w:hint="eastAsia" w:ascii="Times New Roman" w:hAnsi="Times New Roman" w:cs="黑体"/>
          <w:b/>
          <w:bCs/>
          <w:color w:val="auto"/>
          <w:szCs w:val="21"/>
          <w:highlight w:val="none"/>
        </w:rPr>
        <w:t>存储和运输</w:t>
      </w:r>
      <w:bookmarkEnd w:id="65"/>
      <w:bookmarkEnd w:id="66"/>
    </w:p>
    <w:p w14:paraId="586657D8">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auto"/>
          <w:highlight w:val="none"/>
          <w:lang w:val="en-US" w:eastAsia="zh-CN"/>
        </w:rPr>
      </w:pPr>
      <w:r>
        <w:rPr>
          <w:rFonts w:hint="eastAsia" w:ascii="Times New Roman" w:hAnsi="Times New Roman"/>
          <w:color w:val="auto"/>
          <w:highlight w:val="none"/>
          <w:lang w:val="en-US" w:eastAsia="zh-CN"/>
        </w:rPr>
        <w:t>试验用产品将</w:t>
      </w:r>
      <w:r>
        <w:rPr>
          <w:rFonts w:hint="eastAsia" w:ascii="Times New Roman" w:hAnsi="Times New Roman" w:cs="宋体"/>
          <w:color w:val="auto"/>
          <w:highlight w:val="none"/>
        </w:rPr>
        <w:t>按照说明书</w:t>
      </w:r>
      <w:r>
        <w:rPr>
          <w:rFonts w:hint="eastAsia" w:ascii="Times New Roman" w:hAnsi="Times New Roman" w:cs="宋体"/>
          <w:color w:val="auto"/>
          <w:highlight w:val="none"/>
          <w:lang w:val="en-US" w:eastAsia="zh-CN"/>
        </w:rPr>
        <w:t>中要求</w:t>
      </w:r>
      <w:r>
        <w:rPr>
          <w:rFonts w:hint="eastAsia" w:ascii="Times New Roman" w:hAnsi="Times New Roman" w:cs="宋体"/>
          <w:color w:val="auto"/>
          <w:highlight w:val="none"/>
        </w:rPr>
        <w:t>进行存储</w:t>
      </w:r>
      <w:r>
        <w:rPr>
          <w:rFonts w:hint="eastAsia" w:ascii="Times New Roman" w:hAnsi="Times New Roman" w:cs="宋体"/>
          <w:color w:val="auto"/>
          <w:highlight w:val="none"/>
          <w:lang w:val="en-US" w:eastAsia="zh-CN"/>
        </w:rPr>
        <w:t>和运输</w:t>
      </w:r>
      <w:r>
        <w:rPr>
          <w:rFonts w:hint="eastAsia" w:ascii="Times New Roman" w:hAnsi="Times New Roman" w:cs="宋体"/>
          <w:color w:val="auto"/>
          <w:highlight w:val="none"/>
          <w:lang w:eastAsia="zh-CN"/>
        </w:rPr>
        <w:t>。</w:t>
      </w:r>
    </w:p>
    <w:p w14:paraId="024AB840">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67" w:name="_Toc4746"/>
      <w:bookmarkStart w:id="68" w:name="_Toc21803"/>
      <w:r>
        <w:rPr>
          <w:rFonts w:hint="eastAsia" w:ascii="Times New Roman" w:hAnsi="Times New Roman" w:cs="黑体"/>
          <w:b/>
          <w:bCs/>
          <w:color w:val="auto"/>
          <w:szCs w:val="21"/>
          <w:highlight w:val="none"/>
        </w:rPr>
        <w:t>配药和问责</w:t>
      </w:r>
      <w:bookmarkEnd w:id="67"/>
      <w:bookmarkEnd w:id="68"/>
    </w:p>
    <w:p w14:paraId="2267667E">
      <w:pPr>
        <w:pStyle w:val="5"/>
        <w:keepNext w:val="0"/>
        <w:keepLines w:val="0"/>
        <w:pageBreakBefore w:val="0"/>
        <w:widowControl w:val="0"/>
        <w:kinsoku/>
        <w:wordWrap/>
        <w:overflowPunct/>
        <w:topLinePunct w:val="0"/>
        <w:autoSpaceDE/>
        <w:autoSpaceDN/>
        <w:bidi w:val="0"/>
        <w:adjustRightInd/>
        <w:snapToGrid/>
        <w:ind w:firstLine="315" w:firstLineChars="150"/>
        <w:textAlignment w:val="auto"/>
        <w:rPr>
          <w:rFonts w:ascii="Times New Roman" w:hAnsi="Times New Roman" w:cs="宋体"/>
          <w:color w:val="auto"/>
          <w:highlight w:val="none"/>
        </w:rPr>
      </w:pPr>
      <w:r>
        <w:rPr>
          <w:rFonts w:hint="eastAsia" w:ascii="Times New Roman" w:hAnsi="Times New Roman" w:cs="宋体"/>
          <w:color w:val="auto"/>
          <w:highlight w:val="none"/>
          <w:lang w:val="en-US" w:eastAsia="zh-CN"/>
        </w:rPr>
        <w:t>（1）</w:t>
      </w:r>
      <w:r>
        <w:rPr>
          <w:rFonts w:hint="eastAsia" w:ascii="Times New Roman" w:hAnsi="Times New Roman" w:cs="宋体"/>
          <w:color w:val="auto"/>
          <w:highlight w:val="none"/>
          <w:lang w:eastAsia="zh-CN"/>
        </w:rPr>
        <w:t>试验用产品</w:t>
      </w:r>
      <w:r>
        <w:rPr>
          <w:rFonts w:hint="eastAsia" w:ascii="Times New Roman" w:hAnsi="Times New Roman" w:cs="宋体"/>
          <w:color w:val="auto"/>
          <w:highlight w:val="none"/>
        </w:rPr>
        <w:t>将由</w:t>
      </w:r>
      <w:r>
        <w:rPr>
          <w:rFonts w:hint="eastAsia" w:ascii="Times New Roman" w:hAnsi="Times New Roman" w:cs="宋体"/>
          <w:color w:val="auto"/>
          <w:highlight w:val="none"/>
          <w:lang w:eastAsia="zh-CN"/>
        </w:rPr>
        <w:t>申办方</w:t>
      </w:r>
      <w:r>
        <w:rPr>
          <w:rFonts w:hint="eastAsia" w:ascii="Times New Roman" w:hAnsi="Times New Roman" w:cs="宋体"/>
          <w:color w:val="auto"/>
          <w:highlight w:val="none"/>
        </w:rPr>
        <w:t>负责提供给研究者。</w:t>
      </w:r>
    </w:p>
    <w:p w14:paraId="0C582D21">
      <w:pPr>
        <w:pStyle w:val="5"/>
        <w:keepNext w:val="0"/>
        <w:keepLines w:val="0"/>
        <w:pageBreakBefore w:val="0"/>
        <w:widowControl w:val="0"/>
        <w:kinsoku/>
        <w:wordWrap/>
        <w:overflowPunct/>
        <w:topLinePunct w:val="0"/>
        <w:autoSpaceDE/>
        <w:autoSpaceDN/>
        <w:bidi w:val="0"/>
        <w:adjustRightInd/>
        <w:snapToGrid/>
        <w:ind w:firstLine="315" w:firstLineChars="150"/>
        <w:textAlignment w:val="auto"/>
        <w:rPr>
          <w:rFonts w:ascii="Times New Roman" w:hAnsi="Times New Roman" w:cs="宋体"/>
          <w:color w:val="auto"/>
          <w:highlight w:val="none"/>
        </w:rPr>
      </w:pPr>
      <w:r>
        <w:rPr>
          <w:rFonts w:hint="eastAsia" w:ascii="Times New Roman" w:hAnsi="Times New Roman" w:cs="宋体"/>
          <w:color w:val="auto"/>
          <w:highlight w:val="none"/>
          <w:lang w:val="en-US" w:eastAsia="zh-CN"/>
        </w:rPr>
        <w:t>（2）研究者</w:t>
      </w:r>
      <w:r>
        <w:rPr>
          <w:rFonts w:hint="eastAsia" w:ascii="Times New Roman" w:hAnsi="Times New Roman" w:cs="宋体"/>
          <w:color w:val="auto"/>
          <w:highlight w:val="none"/>
        </w:rPr>
        <w:t>/</w:t>
      </w:r>
      <w:r>
        <w:rPr>
          <w:rFonts w:hint="eastAsia" w:ascii="Times New Roman" w:hAnsi="Times New Roman" w:cs="宋体"/>
          <w:color w:val="auto"/>
          <w:highlight w:val="none"/>
          <w:lang w:eastAsia="zh-CN"/>
        </w:rPr>
        <w:t>营养师</w:t>
      </w:r>
      <w:r>
        <w:rPr>
          <w:rFonts w:hint="eastAsia" w:ascii="Times New Roman" w:hAnsi="Times New Roman" w:cs="宋体"/>
          <w:color w:val="auto"/>
          <w:highlight w:val="none"/>
        </w:rPr>
        <w:t>或经授权人员将清点并确认接收所有发送的试验产品或对照产品。</w:t>
      </w:r>
    </w:p>
    <w:p w14:paraId="360E33D0">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研究者/营养师或</w:t>
      </w:r>
      <w:r>
        <w:rPr>
          <w:rFonts w:hint="eastAsia" w:ascii="Times New Roman" w:hAnsi="Times New Roman" w:cs="宋体"/>
          <w:color w:val="auto"/>
          <w:highlight w:val="none"/>
          <w:lang w:val="en-US" w:eastAsia="zh-CN"/>
        </w:rPr>
        <w:t>经授权</w:t>
      </w:r>
      <w:r>
        <w:rPr>
          <w:rFonts w:hint="eastAsia" w:ascii="Times New Roman" w:hAnsi="Times New Roman" w:cs="宋体"/>
          <w:color w:val="auto"/>
          <w:highlight w:val="none"/>
        </w:rPr>
        <w:t>人员将准确记录</w:t>
      </w:r>
      <w:r>
        <w:rPr>
          <w:rFonts w:hint="eastAsia" w:ascii="Times New Roman" w:hAnsi="Times New Roman" w:cs="宋体"/>
          <w:color w:val="auto"/>
          <w:highlight w:val="none"/>
          <w:lang w:eastAsia="zh-CN"/>
        </w:rPr>
        <w:t>试验用产品</w:t>
      </w:r>
      <w:r>
        <w:rPr>
          <w:rFonts w:hint="eastAsia" w:ascii="Times New Roman" w:hAnsi="Times New Roman" w:cs="宋体"/>
          <w:color w:val="auto"/>
          <w:highlight w:val="none"/>
        </w:rPr>
        <w:t>的分发情况。这些记录将注明分发日期和数量、分发对象和分发人（</w:t>
      </w:r>
      <w:r>
        <w:rPr>
          <w:rFonts w:hint="eastAsia" w:ascii="Times New Roman" w:hAnsi="Times New Roman" w:cs="宋体"/>
          <w:color w:val="auto"/>
          <w:highlight w:val="none"/>
          <w:lang w:eastAsia="zh-CN"/>
        </w:rPr>
        <w:t>试验用产品</w:t>
      </w:r>
      <w:r>
        <w:rPr>
          <w:rFonts w:hint="eastAsia" w:ascii="Times New Roman" w:hAnsi="Times New Roman" w:cs="宋体"/>
          <w:color w:val="auto"/>
          <w:highlight w:val="none"/>
        </w:rPr>
        <w:t>分发记录）</w:t>
      </w:r>
      <w:r>
        <w:rPr>
          <w:rFonts w:hint="eastAsia" w:ascii="Times New Roman" w:hAnsi="Times New Roman" w:cs="宋体"/>
          <w:color w:val="auto"/>
          <w:highlight w:val="none"/>
          <w:lang w:val="en-US" w:eastAsia="zh-CN"/>
        </w:rPr>
        <w:t>等信息</w:t>
      </w:r>
      <w:r>
        <w:rPr>
          <w:rFonts w:hint="eastAsia" w:ascii="Times New Roman" w:hAnsi="Times New Roman" w:cs="宋体"/>
          <w:color w:val="auto"/>
          <w:highlight w:val="none"/>
        </w:rPr>
        <w:t>。</w:t>
      </w:r>
      <w:r>
        <w:rPr>
          <w:rFonts w:hint="eastAsia" w:ascii="Times New Roman" w:hAnsi="Times New Roman" w:cs="宋体"/>
          <w:color w:val="auto"/>
          <w:highlight w:val="none"/>
          <w:lang w:eastAsia="zh-CN"/>
        </w:rPr>
        <w:t>试验用产品</w:t>
      </w:r>
      <w:r>
        <w:rPr>
          <w:rFonts w:hint="eastAsia" w:ascii="Times New Roman" w:hAnsi="Times New Roman" w:cs="宋体"/>
          <w:color w:val="auto"/>
          <w:highlight w:val="none"/>
        </w:rPr>
        <w:t>不得提供给参与</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的受试者以外的任何个人。</w:t>
      </w:r>
    </w:p>
    <w:p w14:paraId="4273AD31">
      <w:pPr>
        <w:pStyle w:val="5"/>
        <w:keepNext w:val="0"/>
        <w:keepLines w:val="0"/>
        <w:pageBreakBefore w:val="0"/>
        <w:widowControl w:val="0"/>
        <w:kinsoku/>
        <w:wordWrap/>
        <w:overflowPunct/>
        <w:topLinePunct w:val="0"/>
        <w:autoSpaceDE/>
        <w:autoSpaceDN/>
        <w:bidi w:val="0"/>
        <w:adjustRightInd/>
        <w:snapToGrid/>
        <w:ind w:firstLine="315" w:firstLineChars="150"/>
        <w:textAlignment w:val="auto"/>
        <w:rPr>
          <w:rFonts w:hint="eastAsia" w:ascii="Times New Roman" w:hAnsi="Times New Roman" w:cs="宋体"/>
          <w:color w:val="auto"/>
          <w:highlight w:val="none"/>
          <w:lang w:eastAsia="zh-CN"/>
        </w:rPr>
      </w:pPr>
      <w:r>
        <w:rPr>
          <w:rFonts w:hint="eastAsia" w:ascii="Times New Roman" w:hAnsi="Times New Roman" w:cs="宋体"/>
          <w:color w:val="auto"/>
          <w:highlight w:val="none"/>
          <w:lang w:eastAsia="zh-CN"/>
        </w:rPr>
        <w:t>（</w:t>
      </w:r>
      <w:r>
        <w:rPr>
          <w:rFonts w:hint="eastAsia" w:ascii="Times New Roman" w:hAnsi="Times New Roman" w:cs="宋体"/>
          <w:color w:val="auto"/>
          <w:highlight w:val="none"/>
          <w:lang w:val="en-US" w:eastAsia="zh-CN"/>
        </w:rPr>
        <w:t>3</w:t>
      </w:r>
      <w:r>
        <w:rPr>
          <w:rFonts w:hint="eastAsia" w:ascii="Times New Roman" w:hAnsi="Times New Roman" w:cs="宋体"/>
          <w:color w:val="auto"/>
          <w:highlight w:val="none"/>
          <w:lang w:eastAsia="zh-CN"/>
        </w:rPr>
        <w:t>）</w:t>
      </w:r>
      <w:r>
        <w:rPr>
          <w:rFonts w:hint="eastAsia" w:ascii="Times New Roman" w:hAnsi="Times New Roman" w:cs="宋体"/>
          <w:color w:val="auto"/>
          <w:highlight w:val="none"/>
        </w:rPr>
        <w:t>在本</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中可能出现分发错误</w:t>
      </w:r>
      <w:r>
        <w:rPr>
          <w:rFonts w:hint="eastAsia" w:ascii="Times New Roman" w:hAnsi="Times New Roman" w:cs="宋体"/>
          <w:color w:val="auto"/>
          <w:highlight w:val="none"/>
          <w:lang w:eastAsia="zh-CN"/>
        </w:rPr>
        <w:t>：</w:t>
      </w:r>
    </w:p>
    <w:p w14:paraId="50B69FB3">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lang w:eastAsia="zh-CN"/>
        </w:rPr>
      </w:pPr>
      <w:r>
        <w:rPr>
          <w:rFonts w:hint="eastAsia" w:ascii="Times New Roman" w:hAnsi="Times New Roman" w:cs="宋体"/>
          <w:color w:val="auto"/>
          <w:highlight w:val="none"/>
          <w:lang w:val="en-US" w:eastAsia="zh-CN"/>
        </w:rPr>
        <w:t>①试验用产品</w:t>
      </w:r>
      <w:r>
        <w:rPr>
          <w:rFonts w:hint="eastAsia" w:ascii="Times New Roman" w:hAnsi="Times New Roman" w:cs="宋体"/>
          <w:color w:val="auto"/>
          <w:highlight w:val="none"/>
          <w:lang w:eastAsia="zh-CN"/>
        </w:rPr>
        <w:t>分发错误，</w:t>
      </w:r>
      <w:r>
        <w:rPr>
          <w:rFonts w:hint="eastAsia" w:ascii="Times New Roman" w:hAnsi="Times New Roman" w:cs="宋体"/>
          <w:color w:val="auto"/>
          <w:highlight w:val="none"/>
          <w:lang w:val="en-US" w:eastAsia="zh-CN"/>
        </w:rPr>
        <w:t>受试者</w:t>
      </w:r>
      <w:r>
        <w:rPr>
          <w:rFonts w:hint="eastAsia" w:ascii="Times New Roman" w:hAnsi="Times New Roman" w:cs="宋体"/>
          <w:color w:val="auto"/>
          <w:highlight w:val="none"/>
          <w:lang w:eastAsia="zh-CN"/>
        </w:rPr>
        <w:t>还未服用</w:t>
      </w:r>
      <w:r>
        <w:rPr>
          <w:rFonts w:hint="eastAsia" w:ascii="Times New Roman" w:hAnsi="Times New Roman" w:cs="宋体"/>
          <w:color w:val="auto"/>
          <w:highlight w:val="none"/>
          <w:lang w:val="en-US" w:eastAsia="zh-CN"/>
        </w:rPr>
        <w:t>错误产品</w:t>
      </w:r>
      <w:r>
        <w:rPr>
          <w:rFonts w:hint="eastAsia" w:ascii="Times New Roman" w:hAnsi="Times New Roman" w:cs="宋体"/>
          <w:color w:val="auto"/>
          <w:highlight w:val="none"/>
          <w:lang w:eastAsia="zh-CN"/>
        </w:rPr>
        <w:t>，</w:t>
      </w:r>
      <w:r>
        <w:rPr>
          <w:rFonts w:hint="eastAsia" w:ascii="Times New Roman" w:hAnsi="Times New Roman" w:cs="宋体"/>
          <w:color w:val="auto"/>
          <w:highlight w:val="none"/>
          <w:lang w:val="en-US" w:eastAsia="zh-CN"/>
        </w:rPr>
        <w:t>则将错误记录在试验用产品分发记录上，并及时</w:t>
      </w:r>
      <w:r>
        <w:rPr>
          <w:rFonts w:hint="eastAsia" w:ascii="Times New Roman" w:hAnsi="Times New Roman" w:cs="宋体"/>
          <w:color w:val="auto"/>
          <w:highlight w:val="none"/>
          <w:lang w:eastAsia="zh-CN"/>
        </w:rPr>
        <w:t>更换</w:t>
      </w:r>
      <w:r>
        <w:rPr>
          <w:rFonts w:hint="eastAsia" w:ascii="Times New Roman" w:hAnsi="Times New Roman" w:cs="宋体"/>
          <w:color w:val="auto"/>
          <w:highlight w:val="none"/>
          <w:lang w:val="en-US" w:eastAsia="zh-CN"/>
        </w:rPr>
        <w:t>产品</w:t>
      </w:r>
      <w:r>
        <w:rPr>
          <w:rFonts w:hint="eastAsia" w:ascii="Times New Roman" w:hAnsi="Times New Roman" w:cs="宋体"/>
          <w:color w:val="auto"/>
          <w:highlight w:val="none"/>
          <w:lang w:eastAsia="zh-CN"/>
        </w:rPr>
        <w:t>；</w:t>
      </w:r>
    </w:p>
    <w:p w14:paraId="4D2E64F0">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lang w:eastAsia="zh-CN"/>
        </w:rPr>
        <w:t>②</w:t>
      </w:r>
      <w:r>
        <w:rPr>
          <w:rFonts w:hint="eastAsia" w:ascii="Times New Roman" w:hAnsi="Times New Roman" w:cs="宋体"/>
          <w:color w:val="auto"/>
          <w:highlight w:val="none"/>
          <w:lang w:val="en-US" w:eastAsia="zh-CN"/>
        </w:rPr>
        <w:t>试验用产品</w:t>
      </w:r>
      <w:r>
        <w:rPr>
          <w:rFonts w:hint="eastAsia" w:ascii="Times New Roman" w:hAnsi="Times New Roman" w:cs="宋体"/>
          <w:color w:val="auto"/>
          <w:highlight w:val="none"/>
          <w:lang w:eastAsia="zh-CN"/>
        </w:rPr>
        <w:t>分发错误，</w:t>
      </w:r>
      <w:r>
        <w:rPr>
          <w:rFonts w:hint="eastAsia" w:ascii="Times New Roman" w:hAnsi="Times New Roman" w:cs="宋体"/>
          <w:color w:val="auto"/>
          <w:highlight w:val="none"/>
          <w:lang w:val="en-US" w:eastAsia="zh-CN"/>
        </w:rPr>
        <w:t>受试者</w:t>
      </w:r>
      <w:r>
        <w:rPr>
          <w:rFonts w:hint="eastAsia" w:ascii="Times New Roman" w:hAnsi="Times New Roman" w:cs="宋体"/>
          <w:color w:val="auto"/>
          <w:highlight w:val="none"/>
          <w:lang w:eastAsia="zh-CN"/>
        </w:rPr>
        <w:t>已服用</w:t>
      </w:r>
      <w:r>
        <w:rPr>
          <w:rFonts w:hint="eastAsia" w:ascii="Times New Roman" w:hAnsi="Times New Roman" w:cs="宋体"/>
          <w:color w:val="auto"/>
          <w:highlight w:val="none"/>
          <w:lang w:val="en-US" w:eastAsia="zh-CN"/>
        </w:rPr>
        <w:t>错误产品</w:t>
      </w:r>
      <w:r>
        <w:rPr>
          <w:rFonts w:hint="eastAsia" w:ascii="Times New Roman" w:hAnsi="Times New Roman" w:cs="宋体"/>
          <w:color w:val="auto"/>
          <w:highlight w:val="none"/>
          <w:lang w:eastAsia="zh-CN"/>
        </w:rPr>
        <w:t>，</w:t>
      </w:r>
      <w:r>
        <w:rPr>
          <w:rFonts w:hint="eastAsia" w:ascii="Times New Roman" w:hAnsi="Times New Roman" w:cs="宋体"/>
          <w:color w:val="auto"/>
          <w:highlight w:val="none"/>
          <w:lang w:val="en-US" w:eastAsia="zh-CN"/>
        </w:rPr>
        <w:t>则将错误记录在试验用产品分发记录上，且该情况</w:t>
      </w:r>
      <w:r>
        <w:rPr>
          <w:rFonts w:hint="eastAsia" w:ascii="Times New Roman" w:hAnsi="Times New Roman" w:cs="宋体"/>
          <w:color w:val="auto"/>
          <w:highlight w:val="none"/>
          <w:lang w:eastAsia="zh-CN"/>
        </w:rPr>
        <w:t>符合退出标准，立即中止</w:t>
      </w:r>
      <w:r>
        <w:rPr>
          <w:rFonts w:hint="eastAsia" w:ascii="Times New Roman" w:hAnsi="Times New Roman" w:cs="宋体"/>
          <w:color w:val="auto"/>
          <w:highlight w:val="none"/>
          <w:lang w:val="en-US" w:eastAsia="zh-CN"/>
        </w:rPr>
        <w:t>该受试者</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w:t>
      </w:r>
    </w:p>
    <w:p w14:paraId="0E0BDB10">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hint="eastAsia" w:ascii="Times New Roman" w:hAnsi="Times New Roman" w:cs="黑体"/>
          <w:b/>
          <w:bCs/>
          <w:color w:val="auto"/>
          <w:szCs w:val="21"/>
          <w:highlight w:val="none"/>
          <w:lang w:val="en-US" w:eastAsia="zh-CN"/>
        </w:rPr>
      </w:pPr>
      <w:bookmarkStart w:id="69" w:name="_Toc21330"/>
      <w:r>
        <w:rPr>
          <w:rFonts w:hint="eastAsia" w:ascii="Times New Roman" w:hAnsi="Times New Roman" w:cs="黑体"/>
          <w:b/>
          <w:bCs/>
          <w:color w:val="auto"/>
          <w:szCs w:val="21"/>
          <w:highlight w:val="none"/>
          <w:lang w:val="en-US" w:eastAsia="zh-CN"/>
        </w:rPr>
        <w:t>试验用产品的退回和处理</w:t>
      </w:r>
      <w:bookmarkEnd w:id="69"/>
    </w:p>
    <w:p w14:paraId="5FE01C08">
      <w:pPr>
        <w:pStyle w:val="5"/>
        <w:keepNext w:val="0"/>
        <w:keepLines w:val="0"/>
        <w:pageBreakBefore w:val="0"/>
        <w:widowControl w:val="0"/>
        <w:numPr>
          <w:ilvl w:val="0"/>
          <w:numId w:val="8"/>
        </w:numPr>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受试者在末次访视时，应将未</w:t>
      </w:r>
      <w:r>
        <w:rPr>
          <w:rFonts w:hint="eastAsia" w:cs="宋体"/>
          <w:color w:val="auto"/>
          <w:highlight w:val="none"/>
          <w:lang w:eastAsia="zh-CN"/>
        </w:rPr>
        <w:t>开封</w:t>
      </w:r>
      <w:r>
        <w:rPr>
          <w:rFonts w:hint="eastAsia" w:ascii="Times New Roman" w:hAnsi="Times New Roman" w:cs="宋体"/>
          <w:color w:val="auto"/>
          <w:highlight w:val="none"/>
        </w:rPr>
        <w:t>的试验用产品退回给经授权人员。</w:t>
      </w:r>
    </w:p>
    <w:p w14:paraId="6200F0DE">
      <w:pPr>
        <w:pStyle w:val="5"/>
        <w:keepNext w:val="0"/>
        <w:keepLines w:val="0"/>
        <w:pageBreakBefore w:val="0"/>
        <w:widowControl w:val="0"/>
        <w:numPr>
          <w:ilvl w:val="0"/>
          <w:numId w:val="8"/>
        </w:numPr>
        <w:kinsoku/>
        <w:wordWrap/>
        <w:overflowPunct/>
        <w:topLinePunct w:val="0"/>
        <w:autoSpaceDE/>
        <w:autoSpaceDN/>
        <w:bidi w:val="0"/>
        <w:adjustRightInd/>
        <w:snapToGrid/>
        <w:textAlignment w:val="auto"/>
        <w:rPr>
          <w:rFonts w:hint="eastAsia" w:ascii="Times New Roman" w:hAnsi="Times New Roman" w:eastAsia="宋体" w:cs="宋体"/>
          <w:color w:val="auto"/>
          <w:highlight w:val="none"/>
          <w:lang w:eastAsia="zh-CN"/>
        </w:rPr>
      </w:pPr>
      <w:r>
        <w:rPr>
          <w:rFonts w:hint="eastAsia" w:cs="宋体"/>
          <w:color w:val="auto"/>
          <w:highlight w:val="none"/>
          <w:lang w:val="en-US" w:eastAsia="zh-CN"/>
        </w:rPr>
        <w:t>试验周期</w:t>
      </w:r>
      <w:r>
        <w:rPr>
          <w:rFonts w:hint="eastAsia" w:ascii="Times New Roman" w:hAnsi="Times New Roman" w:cs="宋体"/>
          <w:color w:val="auto"/>
          <w:highlight w:val="none"/>
        </w:rPr>
        <w:t>内，若受试者符合退出标准中任意一条，提前终止临床试验的，应及时联系经授权人员，将未</w:t>
      </w:r>
      <w:r>
        <w:rPr>
          <w:rFonts w:hint="eastAsia" w:cs="宋体"/>
          <w:color w:val="auto"/>
          <w:highlight w:val="none"/>
          <w:lang w:eastAsia="zh-CN"/>
        </w:rPr>
        <w:t>开封</w:t>
      </w:r>
      <w:r>
        <w:rPr>
          <w:rFonts w:hint="eastAsia" w:ascii="Times New Roman" w:hAnsi="Times New Roman" w:cs="宋体"/>
          <w:color w:val="auto"/>
          <w:highlight w:val="none"/>
        </w:rPr>
        <w:t>的试验用产品寄回。</w:t>
      </w:r>
    </w:p>
    <w:p w14:paraId="71D3D753">
      <w:pPr>
        <w:pStyle w:val="5"/>
        <w:keepNext w:val="0"/>
        <w:keepLines w:val="0"/>
        <w:pageBreakBefore w:val="0"/>
        <w:widowControl w:val="0"/>
        <w:numPr>
          <w:ilvl w:val="0"/>
          <w:numId w:val="8"/>
        </w:numPr>
        <w:kinsoku/>
        <w:wordWrap/>
        <w:overflowPunct/>
        <w:topLinePunct w:val="0"/>
        <w:autoSpaceDE/>
        <w:autoSpaceDN/>
        <w:bidi w:val="0"/>
        <w:adjustRightInd/>
        <w:snapToGrid/>
        <w:textAlignment w:val="auto"/>
        <w:rPr>
          <w:rFonts w:hint="eastAsia" w:ascii="Times New Roman" w:hAnsi="Times New Roman" w:eastAsia="宋体" w:cs="宋体"/>
          <w:color w:val="auto"/>
          <w:highlight w:val="none"/>
          <w:lang w:eastAsia="zh-CN"/>
        </w:rPr>
      </w:pPr>
      <w:r>
        <w:rPr>
          <w:rFonts w:hint="eastAsia" w:ascii="Times New Roman" w:hAnsi="Times New Roman" w:cs="宋体"/>
          <w:color w:val="auto"/>
          <w:highlight w:val="none"/>
        </w:rPr>
        <w:t>申办方</w:t>
      </w:r>
      <w:r>
        <w:rPr>
          <w:rFonts w:hint="eastAsia" w:ascii="Times New Roman" w:hAnsi="Times New Roman" w:cs="宋体"/>
          <w:color w:val="auto"/>
          <w:highlight w:val="none"/>
          <w:lang w:val="en-US" w:eastAsia="zh-CN"/>
        </w:rPr>
        <w:t>将</w:t>
      </w:r>
      <w:r>
        <w:rPr>
          <w:rFonts w:hint="eastAsia" w:ascii="Times New Roman" w:hAnsi="Times New Roman" w:cs="宋体"/>
          <w:color w:val="auto"/>
          <w:highlight w:val="none"/>
        </w:rPr>
        <w:t>委托</w:t>
      </w:r>
      <w:r>
        <w:rPr>
          <w:rFonts w:hint="eastAsia" w:ascii="Times New Roman" w:hAnsi="Times New Roman" w:cs="宋体"/>
          <w:color w:val="auto"/>
          <w:highlight w:val="none"/>
          <w:lang w:val="en-US" w:eastAsia="zh-CN"/>
        </w:rPr>
        <w:t>临床试验</w:t>
      </w:r>
      <w:r>
        <w:rPr>
          <w:rFonts w:hint="eastAsia" w:ascii="Times New Roman" w:hAnsi="Times New Roman" w:cs="宋体"/>
          <w:color w:val="auto"/>
          <w:highlight w:val="none"/>
        </w:rPr>
        <w:t>中心处理退回产品，将其作为医疗垃圾处理并保存相关记录</w:t>
      </w:r>
      <w:r>
        <w:rPr>
          <w:rFonts w:hint="eastAsia" w:ascii="Times New Roman" w:hAnsi="Times New Roman" w:cs="宋体"/>
          <w:color w:val="auto"/>
          <w:highlight w:val="none"/>
          <w:lang w:eastAsia="zh-CN"/>
        </w:rPr>
        <w:t>。</w:t>
      </w:r>
    </w:p>
    <w:p w14:paraId="6D11E61D">
      <w:pPr>
        <w:pStyle w:val="3"/>
        <w:keepNext w:val="0"/>
        <w:keepLines w:val="0"/>
        <w:pageBreakBefore w:val="0"/>
        <w:widowControl w:val="0"/>
        <w:numPr>
          <w:ilvl w:val="0"/>
          <w:numId w:val="1"/>
        </w:numPr>
        <w:kinsoku/>
        <w:wordWrap/>
        <w:overflowPunct/>
        <w:topLinePunct w:val="0"/>
        <w:autoSpaceDE/>
        <w:autoSpaceDN/>
        <w:bidi w:val="0"/>
        <w:adjustRightInd/>
        <w:snapToGrid/>
        <w:spacing w:before="0" w:line="240" w:lineRule="auto"/>
        <w:textAlignment w:val="auto"/>
        <w:rPr>
          <w:rFonts w:ascii="Times New Roman" w:hAnsi="Times New Roman" w:cs="黑体"/>
          <w:b/>
          <w:bCs/>
          <w:color w:val="auto"/>
          <w:szCs w:val="28"/>
          <w:highlight w:val="none"/>
        </w:rPr>
      </w:pPr>
      <w:bookmarkStart w:id="70" w:name="_Toc10294"/>
      <w:bookmarkStart w:id="71" w:name="_Toc11693"/>
      <w:r>
        <w:rPr>
          <w:rFonts w:hint="eastAsia" w:ascii="Times New Roman" w:hAnsi="Times New Roman" w:cs="黑体"/>
          <w:b/>
          <w:bCs/>
          <w:color w:val="auto"/>
          <w:szCs w:val="28"/>
          <w:highlight w:val="none"/>
        </w:rPr>
        <w:t>合并</w:t>
      </w:r>
      <w:bookmarkEnd w:id="70"/>
      <w:r>
        <w:rPr>
          <w:rFonts w:hint="eastAsia" w:ascii="Times New Roman" w:hAnsi="Times New Roman" w:cs="黑体"/>
          <w:b/>
          <w:bCs/>
          <w:color w:val="auto"/>
          <w:szCs w:val="28"/>
          <w:highlight w:val="none"/>
          <w:lang w:val="en-US" w:eastAsia="zh-CN"/>
        </w:rPr>
        <w:t>用药、</w:t>
      </w:r>
      <w:r>
        <w:rPr>
          <w:rFonts w:hint="eastAsia" w:ascii="Times New Roman" w:hAnsi="Times New Roman" w:cs="黑体"/>
          <w:b/>
          <w:bCs/>
          <w:color w:val="auto"/>
          <w:szCs w:val="28"/>
          <w:highlight w:val="none"/>
        </w:rPr>
        <w:t>饮食</w:t>
      </w:r>
      <w:bookmarkEnd w:id="71"/>
    </w:p>
    <w:p w14:paraId="7B70ED29">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72" w:name="_Toc30870"/>
      <w:bookmarkStart w:id="73" w:name="_Toc17945"/>
      <w:r>
        <w:rPr>
          <w:rFonts w:hint="eastAsia" w:ascii="Times New Roman" w:hAnsi="Times New Roman" w:cs="黑体"/>
          <w:b/>
          <w:bCs w:val="0"/>
          <w:color w:val="auto"/>
          <w:szCs w:val="24"/>
          <w:highlight w:val="none"/>
        </w:rPr>
        <w:t>许可的合并</w:t>
      </w:r>
      <w:bookmarkEnd w:id="72"/>
      <w:r>
        <w:rPr>
          <w:rFonts w:hint="eastAsia" w:ascii="Times New Roman" w:hAnsi="Times New Roman" w:cs="黑体"/>
          <w:b/>
          <w:bCs/>
          <w:color w:val="auto"/>
          <w:szCs w:val="28"/>
          <w:highlight w:val="none"/>
          <w:lang w:val="en-US" w:eastAsia="zh-CN"/>
        </w:rPr>
        <w:t>用药、</w:t>
      </w:r>
      <w:r>
        <w:rPr>
          <w:rFonts w:hint="eastAsia" w:ascii="Times New Roman" w:hAnsi="Times New Roman" w:cs="黑体"/>
          <w:b/>
          <w:bCs/>
          <w:color w:val="auto"/>
          <w:szCs w:val="28"/>
          <w:highlight w:val="none"/>
        </w:rPr>
        <w:t>饮食</w:t>
      </w:r>
      <w:bookmarkEnd w:id="73"/>
    </w:p>
    <w:p w14:paraId="1D818528">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rPr>
        <w:t>为满足个人需要，受试者可在研究者的指导下口服药物，并予以记录。</w:t>
      </w:r>
    </w:p>
    <w:p w14:paraId="755E9AC6">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lang w:val="en-US" w:eastAsia="zh-CN"/>
        </w:rPr>
        <w:t>受试者的普通膳食需要按研究者和营养师提供的膳食食谱进食。</w:t>
      </w:r>
    </w:p>
    <w:p w14:paraId="0D6055F6">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74" w:name="_Toc14015"/>
      <w:bookmarkStart w:id="75" w:name="_Toc21644"/>
      <w:bookmarkStart w:id="76" w:name="_许可但应限制的合并用药"/>
      <w:r>
        <w:rPr>
          <w:rFonts w:hint="eastAsia" w:ascii="Times New Roman" w:hAnsi="Times New Roman" w:cs="黑体"/>
          <w:b/>
          <w:bCs w:val="0"/>
          <w:color w:val="auto"/>
          <w:szCs w:val="24"/>
          <w:highlight w:val="none"/>
        </w:rPr>
        <w:t>许可但应限制的合并</w:t>
      </w:r>
      <w:bookmarkEnd w:id="74"/>
      <w:r>
        <w:rPr>
          <w:rFonts w:hint="eastAsia" w:ascii="Times New Roman" w:hAnsi="Times New Roman" w:cs="黑体"/>
          <w:b/>
          <w:bCs/>
          <w:color w:val="auto"/>
          <w:szCs w:val="28"/>
          <w:highlight w:val="none"/>
          <w:lang w:val="en-US" w:eastAsia="zh-CN"/>
        </w:rPr>
        <w:t>用药</w:t>
      </w:r>
      <w:bookmarkEnd w:id="75"/>
    </w:p>
    <w:bookmarkEnd w:id="76"/>
    <w:p w14:paraId="1311DE9D">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lang w:val="en-US" w:eastAsia="zh-CN"/>
        </w:rPr>
        <w:t>受试者在试验过程中</w:t>
      </w:r>
      <w:r>
        <w:rPr>
          <w:rFonts w:hint="eastAsia" w:ascii="Times New Roman" w:hAnsi="Times New Roman"/>
          <w:color w:val="auto"/>
          <w:highlight w:val="none"/>
          <w:lang w:eastAsia="zh-CN"/>
        </w:rPr>
        <w:t>出现空腹血糖≥10mmol/L时可以给予</w:t>
      </w:r>
      <w:r>
        <w:rPr>
          <w:rFonts w:hint="eastAsia" w:ascii="Times New Roman" w:hAnsi="Times New Roman"/>
          <w:color w:val="auto"/>
          <w:highlight w:val="none"/>
          <w:lang w:val="en-US" w:eastAsia="zh-CN"/>
        </w:rPr>
        <w:t>药物降糖处理，满足受试者个体化需求。</w:t>
      </w:r>
    </w:p>
    <w:p w14:paraId="726BC27A">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77" w:name="_Toc1046"/>
      <w:bookmarkStart w:id="78" w:name="_Toc30591"/>
      <w:r>
        <w:rPr>
          <w:rFonts w:hint="eastAsia" w:ascii="Times New Roman" w:hAnsi="Times New Roman" w:cs="黑体"/>
          <w:b/>
          <w:bCs w:val="0"/>
          <w:color w:val="auto"/>
          <w:szCs w:val="24"/>
          <w:highlight w:val="none"/>
        </w:rPr>
        <w:t>禁止合并</w:t>
      </w:r>
      <w:bookmarkEnd w:id="77"/>
      <w:r>
        <w:rPr>
          <w:rFonts w:hint="eastAsia" w:ascii="Times New Roman" w:hAnsi="Times New Roman" w:cs="黑体"/>
          <w:b/>
          <w:bCs/>
          <w:color w:val="auto"/>
          <w:szCs w:val="28"/>
          <w:highlight w:val="none"/>
          <w:lang w:val="en-US" w:eastAsia="zh-CN"/>
        </w:rPr>
        <w:t>用药、</w:t>
      </w:r>
      <w:r>
        <w:rPr>
          <w:rFonts w:hint="eastAsia" w:ascii="Times New Roman" w:hAnsi="Times New Roman" w:cs="黑体"/>
          <w:b/>
          <w:bCs/>
          <w:color w:val="auto"/>
          <w:szCs w:val="28"/>
          <w:highlight w:val="none"/>
        </w:rPr>
        <w:t>饮食</w:t>
      </w:r>
      <w:bookmarkEnd w:id="78"/>
    </w:p>
    <w:p w14:paraId="0BC008FF">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指定的营养支持是本</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中允许的唯一具有免疫活性的补充剂，禁止经口服/管饲服用除</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指定的</w:t>
      </w:r>
      <w:r>
        <w:rPr>
          <w:rFonts w:hint="eastAsia" w:ascii="Times New Roman" w:hAnsi="Times New Roman" w:cs="宋体"/>
          <w:color w:val="auto"/>
          <w:highlight w:val="none"/>
          <w:lang w:eastAsia="zh-CN"/>
        </w:rPr>
        <w:t>试验产品</w:t>
      </w:r>
      <w:r>
        <w:rPr>
          <w:rFonts w:hint="eastAsia" w:ascii="Times New Roman" w:hAnsi="Times New Roman" w:cs="宋体"/>
          <w:color w:val="auto"/>
          <w:highlight w:val="none"/>
        </w:rPr>
        <w:t>或对照产品外的其他肠内营养制剂。</w:t>
      </w:r>
    </w:p>
    <w:p w14:paraId="34FA251F">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79" w:name="_Toc905"/>
      <w:bookmarkStart w:id="80" w:name="_Toc25457"/>
      <w:r>
        <w:rPr>
          <w:rFonts w:hint="eastAsia" w:ascii="Times New Roman" w:hAnsi="Times New Roman" w:cs="黑体"/>
          <w:b/>
          <w:bCs/>
          <w:color w:val="auto"/>
          <w:szCs w:val="28"/>
          <w:highlight w:val="none"/>
          <w:lang w:val="en-US" w:eastAsia="zh-CN"/>
        </w:rPr>
        <w:t>合并用药、</w:t>
      </w:r>
      <w:r>
        <w:rPr>
          <w:rFonts w:hint="eastAsia" w:ascii="Times New Roman" w:hAnsi="Times New Roman" w:cs="黑体"/>
          <w:b/>
          <w:bCs/>
          <w:color w:val="auto"/>
          <w:szCs w:val="28"/>
          <w:highlight w:val="none"/>
        </w:rPr>
        <w:t>饮食</w:t>
      </w:r>
      <w:r>
        <w:rPr>
          <w:rFonts w:hint="eastAsia" w:ascii="Times New Roman" w:hAnsi="Times New Roman" w:cs="黑体"/>
          <w:b/>
          <w:bCs w:val="0"/>
          <w:color w:val="auto"/>
          <w:szCs w:val="24"/>
          <w:highlight w:val="none"/>
        </w:rPr>
        <w:t>记录</w:t>
      </w:r>
      <w:bookmarkEnd w:id="79"/>
      <w:bookmarkEnd w:id="80"/>
    </w:p>
    <w:p w14:paraId="68D1B7C1">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合并用药指自第一次服用试验产品或对照产品之时开始，直至末次访视期间使用的药物，须作相关信息记录。</w:t>
      </w:r>
    </w:p>
    <w:p w14:paraId="578042D4">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合并饮食指自服用试验产品或对照产品第一天起（包含第一天），直至末次访视期间使用的饮食，须作相关信息记录。</w:t>
      </w:r>
    </w:p>
    <w:p w14:paraId="3B62196A">
      <w:pPr>
        <w:pStyle w:val="3"/>
        <w:keepNext w:val="0"/>
        <w:keepLines w:val="0"/>
        <w:pageBreakBefore w:val="0"/>
        <w:widowControl w:val="0"/>
        <w:numPr>
          <w:ilvl w:val="0"/>
          <w:numId w:val="1"/>
        </w:numPr>
        <w:kinsoku/>
        <w:wordWrap/>
        <w:overflowPunct/>
        <w:topLinePunct w:val="0"/>
        <w:autoSpaceDE/>
        <w:autoSpaceDN/>
        <w:bidi w:val="0"/>
        <w:adjustRightInd/>
        <w:snapToGrid/>
        <w:spacing w:before="0" w:line="240" w:lineRule="auto"/>
        <w:textAlignment w:val="auto"/>
        <w:rPr>
          <w:rFonts w:ascii="Times New Roman" w:hAnsi="Times New Roman" w:cs="黑体"/>
          <w:b/>
          <w:bCs/>
          <w:color w:val="auto"/>
          <w:szCs w:val="28"/>
          <w:highlight w:val="none"/>
        </w:rPr>
      </w:pPr>
      <w:bookmarkStart w:id="81" w:name="_Toc4602"/>
      <w:bookmarkStart w:id="82" w:name="_Toc8746"/>
      <w:r>
        <w:rPr>
          <w:rFonts w:hint="eastAsia" w:ascii="Times New Roman" w:hAnsi="Times New Roman" w:cs="黑体"/>
          <w:b/>
          <w:bCs/>
          <w:color w:val="auto"/>
          <w:szCs w:val="28"/>
          <w:highlight w:val="none"/>
          <w:lang w:eastAsia="zh-CN"/>
        </w:rPr>
        <w:t>试验</w:t>
      </w:r>
      <w:r>
        <w:rPr>
          <w:rFonts w:hint="eastAsia" w:ascii="Times New Roman" w:hAnsi="Times New Roman" w:cs="黑体"/>
          <w:b/>
          <w:bCs/>
          <w:color w:val="auto"/>
          <w:szCs w:val="28"/>
          <w:highlight w:val="none"/>
        </w:rPr>
        <w:t>评估和程序</w:t>
      </w:r>
      <w:bookmarkEnd w:id="81"/>
      <w:bookmarkEnd w:id="82"/>
    </w:p>
    <w:p w14:paraId="02F45124">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83" w:name="_Toc14009"/>
      <w:bookmarkStart w:id="84" w:name="_Toc7045"/>
      <w:r>
        <w:rPr>
          <w:rFonts w:hint="eastAsia" w:ascii="Times New Roman" w:hAnsi="Times New Roman" w:cs="黑体"/>
          <w:b/>
          <w:bCs w:val="0"/>
          <w:color w:val="auto"/>
          <w:szCs w:val="24"/>
          <w:highlight w:val="none"/>
        </w:rPr>
        <w:t>评估</w:t>
      </w:r>
      <w:bookmarkEnd w:id="83"/>
      <w:bookmarkEnd w:id="84"/>
    </w:p>
    <w:p w14:paraId="00C49638">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黑体"/>
          <w:color w:val="auto"/>
          <w:highlight w:val="none"/>
        </w:rPr>
      </w:pPr>
      <w:r>
        <w:rPr>
          <w:rFonts w:hint="eastAsia" w:ascii="Times New Roman" w:hAnsi="Times New Roman" w:cs="宋体"/>
          <w:color w:val="auto"/>
          <w:highlight w:val="none"/>
        </w:rPr>
        <w:t>对</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方案相关要求的评估和程序应由</w:t>
      </w:r>
      <w:r>
        <w:rPr>
          <w:rFonts w:hint="eastAsia" w:ascii="Times New Roman" w:hAnsi="Times New Roman" w:cs="宋体"/>
          <w:color w:val="auto"/>
          <w:highlight w:val="none"/>
          <w:lang w:val="en-US" w:eastAsia="zh-CN"/>
        </w:rPr>
        <w:t>经授权</w:t>
      </w:r>
      <w:r>
        <w:rPr>
          <w:rFonts w:hint="eastAsia" w:ascii="Times New Roman" w:hAnsi="Times New Roman" w:cs="宋体"/>
          <w:color w:val="auto"/>
          <w:highlight w:val="none"/>
        </w:rPr>
        <w:t>人员来执行。应尽一切努力遵循并完成所有方案要求的评估和程序。如研究者无法执行一项或多项方案规定的评估或程序，研究者将首先采取一切必要措施确保受试者的安全和健康。研究者将记录未执行的评估或程序的原因，及他/她已采取的任何纠正和预防措施，以确保方案得到充分遵循，也应将这些事件及时通知</w:t>
      </w:r>
      <w:r>
        <w:rPr>
          <w:rFonts w:hint="eastAsia" w:ascii="Times New Roman" w:hAnsi="Times New Roman" w:cs="宋体"/>
          <w:color w:val="auto"/>
          <w:highlight w:val="none"/>
          <w:lang w:eastAsia="zh-CN"/>
        </w:rPr>
        <w:t>申办方</w:t>
      </w:r>
      <w:r>
        <w:rPr>
          <w:rFonts w:hint="eastAsia" w:ascii="Times New Roman" w:hAnsi="Times New Roman" w:cs="宋体"/>
          <w:color w:val="auto"/>
          <w:highlight w:val="none"/>
        </w:rPr>
        <w:t>。</w:t>
      </w:r>
    </w:p>
    <w:p w14:paraId="602ECCD3">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85" w:name="_Toc5967"/>
      <w:bookmarkStart w:id="86" w:name="_Toc13565"/>
      <w:r>
        <w:rPr>
          <w:rFonts w:hint="eastAsia" w:ascii="Times New Roman" w:hAnsi="Times New Roman" w:cs="黑体"/>
          <w:b/>
          <w:bCs/>
          <w:color w:val="auto"/>
          <w:szCs w:val="21"/>
          <w:highlight w:val="none"/>
          <w:lang w:eastAsia="zh-CN"/>
        </w:rPr>
        <w:t>营养充足性</w:t>
      </w:r>
      <w:r>
        <w:rPr>
          <w:rFonts w:hint="eastAsia" w:ascii="Times New Roman" w:hAnsi="Times New Roman" w:cs="黑体"/>
          <w:b/>
          <w:bCs/>
          <w:color w:val="auto"/>
          <w:szCs w:val="21"/>
          <w:highlight w:val="none"/>
          <w:lang w:val="en-US" w:eastAsia="zh-CN"/>
        </w:rPr>
        <w:t>和特殊医学用途临床效果</w:t>
      </w:r>
      <w:r>
        <w:rPr>
          <w:rFonts w:hint="eastAsia" w:ascii="Times New Roman" w:hAnsi="Times New Roman" w:cs="黑体"/>
          <w:b/>
          <w:bCs/>
          <w:color w:val="auto"/>
          <w:szCs w:val="21"/>
          <w:highlight w:val="none"/>
        </w:rPr>
        <w:t>评估方法</w:t>
      </w:r>
      <w:bookmarkEnd w:id="85"/>
      <w:bookmarkEnd w:id="86"/>
    </w:p>
    <w:p w14:paraId="2465A131">
      <w:pPr>
        <w:pStyle w:val="5"/>
        <w:keepNext w:val="0"/>
        <w:keepLines w:val="0"/>
        <w:pageBreakBefore w:val="0"/>
        <w:widowControl w:val="0"/>
        <w:numPr>
          <w:ilvl w:val="0"/>
          <w:numId w:val="0"/>
        </w:numPr>
        <w:tabs>
          <w:tab w:val="left" w:pos="640"/>
        </w:tabs>
        <w:kinsoku/>
        <w:wordWrap/>
        <w:overflowPunct/>
        <w:topLinePunct w:val="0"/>
        <w:autoSpaceDE/>
        <w:autoSpaceDN/>
        <w:bidi w:val="0"/>
        <w:adjustRightInd/>
        <w:snapToGrid/>
        <w:ind w:left="210" w:leftChars="0"/>
        <w:textAlignment w:val="auto"/>
        <w:rPr>
          <w:rFonts w:ascii="Times New Roman" w:hAnsi="Times New Roman" w:cs="宋体"/>
          <w:color w:val="auto"/>
          <w:highlight w:val="none"/>
        </w:rPr>
      </w:pPr>
      <w:r>
        <w:rPr>
          <w:rFonts w:hint="eastAsia" w:ascii="Times New Roman" w:hAnsi="Times New Roman" w:cs="宋体"/>
          <w:color w:val="auto"/>
          <w:highlight w:val="none"/>
          <w:lang w:eastAsia="zh-CN"/>
        </w:rPr>
        <w:t>（</w:t>
      </w:r>
      <w:r>
        <w:rPr>
          <w:rFonts w:hint="eastAsia" w:ascii="Times New Roman" w:hAnsi="Times New Roman" w:cs="宋体"/>
          <w:color w:val="auto"/>
          <w:highlight w:val="none"/>
          <w:lang w:val="en-US" w:eastAsia="zh-CN"/>
        </w:rPr>
        <w:t>1）</w:t>
      </w:r>
      <w:r>
        <w:rPr>
          <w:rFonts w:hint="eastAsia" w:ascii="Times New Roman" w:hAnsi="Times New Roman" w:cs="宋体"/>
          <w:color w:val="auto"/>
          <w:highlight w:val="none"/>
        </w:rPr>
        <w:t>主要疗效</w:t>
      </w:r>
      <w:r>
        <w:rPr>
          <w:rFonts w:ascii="Times New Roman" w:hAnsi="Times New Roman" w:cs="宋体"/>
          <w:color w:val="auto"/>
          <w:highlight w:val="none"/>
        </w:rPr>
        <w:t>指标</w:t>
      </w:r>
      <w:r>
        <w:rPr>
          <w:rFonts w:hint="eastAsia" w:ascii="Times New Roman" w:hAnsi="Times New Roman" w:cs="宋体"/>
          <w:color w:val="auto"/>
          <w:highlight w:val="none"/>
        </w:rPr>
        <w:t>：前白蛋白；</w:t>
      </w:r>
    </w:p>
    <w:p w14:paraId="75CDF521">
      <w:pPr>
        <w:pStyle w:val="5"/>
        <w:keepNext w:val="0"/>
        <w:keepLines w:val="0"/>
        <w:pageBreakBefore w:val="0"/>
        <w:widowControl w:val="0"/>
        <w:numPr>
          <w:ilvl w:val="0"/>
          <w:numId w:val="0"/>
        </w:numPr>
        <w:tabs>
          <w:tab w:val="left" w:pos="640"/>
        </w:tabs>
        <w:kinsoku/>
        <w:wordWrap/>
        <w:overflowPunct/>
        <w:topLinePunct w:val="0"/>
        <w:autoSpaceDE/>
        <w:autoSpaceDN/>
        <w:bidi w:val="0"/>
        <w:adjustRightInd/>
        <w:snapToGrid/>
        <w:ind w:left="210" w:leftChars="0"/>
        <w:textAlignment w:val="auto"/>
        <w:rPr>
          <w:rFonts w:hint="eastAsia" w:ascii="Times New Roman" w:hAnsi="Times New Roman" w:cs="宋体"/>
          <w:color w:val="auto"/>
          <w:highlight w:val="none"/>
        </w:rPr>
      </w:pPr>
      <w:r>
        <w:rPr>
          <w:rFonts w:hint="eastAsia" w:ascii="Times New Roman" w:hAnsi="Times New Roman" w:cs="宋体"/>
          <w:color w:val="auto"/>
          <w:highlight w:val="none"/>
          <w:lang w:eastAsia="zh-CN"/>
        </w:rPr>
        <w:t>（</w:t>
      </w:r>
      <w:r>
        <w:rPr>
          <w:rFonts w:hint="eastAsia" w:ascii="Times New Roman" w:hAnsi="Times New Roman" w:cs="宋体"/>
          <w:color w:val="auto"/>
          <w:highlight w:val="none"/>
          <w:lang w:val="en-US" w:eastAsia="zh-CN"/>
        </w:rPr>
        <w:t>2）</w:t>
      </w:r>
      <w:r>
        <w:rPr>
          <w:rFonts w:hint="eastAsia" w:ascii="Times New Roman" w:hAnsi="Times New Roman" w:cs="宋体"/>
          <w:color w:val="auto"/>
          <w:highlight w:val="none"/>
        </w:rPr>
        <w:t>次要疗效指标：</w:t>
      </w:r>
    </w:p>
    <w:p w14:paraId="7F522BE7">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hint="eastAsia" w:ascii="Times New Roman" w:hAnsi="Times New Roman" w:cs="黑体"/>
          <w:color w:val="auto"/>
          <w:highlight w:val="none"/>
        </w:rPr>
      </w:pPr>
      <w:r>
        <w:rPr>
          <w:rFonts w:hint="eastAsia" w:ascii="Times New Roman" w:hAnsi="Times New Roman" w:cs="宋体"/>
          <w:color w:val="auto"/>
          <w:highlight w:val="none"/>
        </w:rPr>
        <w:t>营养</w:t>
      </w:r>
      <w:r>
        <w:rPr>
          <w:rFonts w:hint="eastAsia" w:ascii="Times New Roman" w:hAnsi="Times New Roman" w:cs="黑体"/>
          <w:color w:val="auto"/>
          <w:highlight w:val="none"/>
        </w:rPr>
        <w:t>充足性指标：体重、血清白蛋白、血红蛋白</w:t>
      </w:r>
    </w:p>
    <w:p w14:paraId="7AEADDDE">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hint="eastAsia" w:ascii="Times New Roman" w:hAnsi="Times New Roman" w:cs="黑体"/>
          <w:color w:val="auto"/>
          <w:highlight w:val="none"/>
        </w:rPr>
      </w:pPr>
      <w:r>
        <w:rPr>
          <w:rFonts w:hint="eastAsia" w:ascii="Times New Roman" w:hAnsi="Times New Roman" w:cs="宋体"/>
          <w:color w:val="auto"/>
          <w:highlight w:val="none"/>
          <w:lang w:eastAsia="zh-CN"/>
        </w:rPr>
        <w:t>特殊医学用途临床效果指标：</w:t>
      </w:r>
    </w:p>
    <w:p w14:paraId="3A52E4A8">
      <w:pPr>
        <w:pStyle w:val="5"/>
        <w:keepNext w:val="0"/>
        <w:keepLines w:val="0"/>
        <w:pageBreakBefore w:val="0"/>
        <w:widowControl w:val="0"/>
        <w:numPr>
          <w:ilvl w:val="1"/>
          <w:numId w:val="3"/>
        </w:numPr>
        <w:tabs>
          <w:tab w:val="left" w:pos="640"/>
        </w:tabs>
        <w:kinsoku/>
        <w:wordWrap/>
        <w:overflowPunct/>
        <w:topLinePunct w:val="0"/>
        <w:autoSpaceDE/>
        <w:autoSpaceDN/>
        <w:bidi w:val="0"/>
        <w:adjustRightInd/>
        <w:snapToGrid/>
        <w:ind w:left="636" w:leftChars="210" w:hanging="195" w:hangingChars="93"/>
        <w:textAlignment w:val="auto"/>
        <w:rPr>
          <w:rFonts w:hint="eastAsia" w:ascii="Times New Roman" w:hAnsi="Times New Roman" w:cs="黑体"/>
          <w:color w:val="auto"/>
          <w:highlight w:val="none"/>
        </w:rPr>
      </w:pPr>
      <w:r>
        <w:rPr>
          <w:rFonts w:hint="eastAsia" w:ascii="Times New Roman" w:hAnsi="Times New Roman" w:cs="黑体"/>
          <w:color w:val="auto"/>
          <w:highlight w:val="none"/>
          <w:lang w:eastAsia="zh-CN"/>
        </w:rPr>
        <w:t>肌肉指标</w:t>
      </w:r>
      <w:r>
        <w:rPr>
          <w:rFonts w:hint="eastAsia" w:ascii="Times New Roman" w:hAnsi="Times New Roman" w:cs="黑体"/>
          <w:color w:val="auto"/>
          <w:highlight w:val="none"/>
        </w:rPr>
        <w:t>：</w:t>
      </w:r>
      <w:r>
        <w:rPr>
          <w:rFonts w:hint="eastAsia" w:ascii="Times New Roman" w:hAnsi="Times New Roman" w:cs="宋体"/>
          <w:color w:val="auto"/>
          <w:highlight w:val="none"/>
          <w:lang w:val="en-US" w:eastAsia="zh-CN"/>
        </w:rPr>
        <w:t>握力、肌肉量、骨骼肌、去脂体重指数</w:t>
      </w:r>
    </w:p>
    <w:p w14:paraId="268D9D51">
      <w:pPr>
        <w:pStyle w:val="5"/>
        <w:keepNext w:val="0"/>
        <w:keepLines w:val="0"/>
        <w:pageBreakBefore w:val="0"/>
        <w:widowControl w:val="0"/>
        <w:numPr>
          <w:ilvl w:val="1"/>
          <w:numId w:val="3"/>
        </w:numPr>
        <w:tabs>
          <w:tab w:val="left" w:pos="640"/>
        </w:tabs>
        <w:kinsoku/>
        <w:wordWrap/>
        <w:overflowPunct/>
        <w:topLinePunct w:val="0"/>
        <w:autoSpaceDE/>
        <w:autoSpaceDN/>
        <w:bidi w:val="0"/>
        <w:adjustRightInd/>
        <w:snapToGrid/>
        <w:ind w:left="636" w:leftChars="210" w:hanging="195" w:hangingChars="93"/>
        <w:textAlignment w:val="auto"/>
        <w:rPr>
          <w:rFonts w:hint="eastAsia" w:ascii="Times New Roman" w:hAnsi="Times New Roman" w:cs="黑体"/>
          <w:color w:val="auto"/>
          <w:highlight w:val="none"/>
        </w:rPr>
      </w:pPr>
      <w:r>
        <w:rPr>
          <w:rFonts w:hint="eastAsia" w:ascii="Times New Roman" w:hAnsi="Times New Roman" w:cs="黑体"/>
          <w:color w:val="auto"/>
          <w:highlight w:val="none"/>
        </w:rPr>
        <w:t>炎性相关指标：C反应蛋白</w:t>
      </w:r>
    </w:p>
    <w:p w14:paraId="0E4BFC1F">
      <w:pPr>
        <w:pStyle w:val="5"/>
        <w:keepNext w:val="0"/>
        <w:keepLines w:val="0"/>
        <w:pageBreakBefore w:val="0"/>
        <w:widowControl w:val="0"/>
        <w:numPr>
          <w:ilvl w:val="1"/>
          <w:numId w:val="3"/>
        </w:numPr>
        <w:tabs>
          <w:tab w:val="left" w:pos="640"/>
        </w:tabs>
        <w:kinsoku/>
        <w:wordWrap/>
        <w:overflowPunct/>
        <w:topLinePunct w:val="0"/>
        <w:autoSpaceDE/>
        <w:autoSpaceDN/>
        <w:bidi w:val="0"/>
        <w:adjustRightInd/>
        <w:snapToGrid/>
        <w:ind w:left="636" w:leftChars="210" w:hanging="195" w:hangingChars="93"/>
        <w:textAlignment w:val="auto"/>
        <w:rPr>
          <w:rFonts w:hint="eastAsia" w:ascii="Times New Roman" w:hAnsi="Times New Roman" w:cs="黑体"/>
          <w:color w:val="auto"/>
          <w:highlight w:val="none"/>
        </w:rPr>
      </w:pPr>
      <w:r>
        <w:rPr>
          <w:rFonts w:hint="eastAsia" w:ascii="Times New Roman" w:hAnsi="Times New Roman" w:cs="黑体"/>
          <w:color w:val="auto"/>
          <w:highlight w:val="none"/>
        </w:rPr>
        <w:t>免疫相关指标：中性粒细胞/淋巴细胞比值</w:t>
      </w:r>
    </w:p>
    <w:p w14:paraId="53C1BD6D">
      <w:pPr>
        <w:pStyle w:val="5"/>
        <w:keepNext w:val="0"/>
        <w:keepLines w:val="0"/>
        <w:pageBreakBefore w:val="0"/>
        <w:widowControl w:val="0"/>
        <w:numPr>
          <w:ilvl w:val="1"/>
          <w:numId w:val="3"/>
        </w:numPr>
        <w:tabs>
          <w:tab w:val="left" w:pos="640"/>
        </w:tabs>
        <w:kinsoku/>
        <w:wordWrap/>
        <w:overflowPunct/>
        <w:topLinePunct w:val="0"/>
        <w:autoSpaceDE/>
        <w:autoSpaceDN/>
        <w:bidi w:val="0"/>
        <w:adjustRightInd/>
        <w:snapToGrid/>
        <w:ind w:left="636" w:leftChars="210" w:hanging="195" w:hangingChars="93"/>
        <w:textAlignment w:val="auto"/>
        <w:rPr>
          <w:rFonts w:hint="eastAsia" w:ascii="Times New Roman" w:hAnsi="Times New Roman" w:cs="黑体"/>
          <w:color w:val="auto"/>
          <w:highlight w:val="none"/>
        </w:rPr>
      </w:pPr>
      <w:r>
        <w:rPr>
          <w:rFonts w:hint="eastAsia" w:ascii="Times New Roman" w:hAnsi="Times New Roman" w:cs="黑体"/>
          <w:color w:val="auto"/>
          <w:highlight w:val="none"/>
        </w:rPr>
        <w:t>代谢相关指标：空腹胰岛素、空腹血糖、空腹血脂</w:t>
      </w:r>
    </w:p>
    <w:p w14:paraId="1ED2044E">
      <w:pPr>
        <w:pStyle w:val="5"/>
        <w:keepNext w:val="0"/>
        <w:keepLines w:val="0"/>
        <w:pageBreakBefore w:val="0"/>
        <w:widowControl w:val="0"/>
        <w:numPr>
          <w:ilvl w:val="1"/>
          <w:numId w:val="3"/>
        </w:numPr>
        <w:tabs>
          <w:tab w:val="left" w:pos="640"/>
        </w:tabs>
        <w:kinsoku/>
        <w:wordWrap/>
        <w:overflowPunct/>
        <w:topLinePunct w:val="0"/>
        <w:autoSpaceDE/>
        <w:autoSpaceDN/>
        <w:bidi w:val="0"/>
        <w:adjustRightInd/>
        <w:snapToGrid/>
        <w:ind w:left="636" w:leftChars="210" w:hanging="195" w:hangingChars="93"/>
        <w:textAlignment w:val="auto"/>
        <w:rPr>
          <w:rFonts w:hint="eastAsia" w:ascii="Times New Roman" w:hAnsi="Times New Roman" w:cs="宋体"/>
          <w:color w:val="auto"/>
          <w:highlight w:val="none"/>
        </w:rPr>
      </w:pPr>
      <w:r>
        <w:rPr>
          <w:rFonts w:hint="eastAsia" w:ascii="Times New Roman" w:hAnsi="Times New Roman" w:cs="黑体"/>
          <w:color w:val="auto"/>
          <w:highlight w:val="none"/>
        </w:rPr>
        <w:t>临床结局指标：</w:t>
      </w:r>
      <w:r>
        <w:rPr>
          <w:rFonts w:hint="eastAsia" w:ascii="Times New Roman" w:hAnsi="Times New Roman" w:cs="宋体"/>
          <w:color w:val="auto"/>
          <w:highlight w:val="none"/>
        </w:rPr>
        <w:t>生活质量</w:t>
      </w:r>
      <w:r>
        <w:rPr>
          <w:rFonts w:hint="eastAsia" w:ascii="Times New Roman" w:hAnsi="Times New Roman" w:cs="宋体"/>
          <w:color w:val="auto"/>
          <w:highlight w:val="none"/>
          <w:lang w:val="en-US" w:eastAsia="zh-CN"/>
        </w:rPr>
        <w:t>SF-12量表</w:t>
      </w:r>
    </w:p>
    <w:p w14:paraId="6F424814">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87" w:name="_Toc7836"/>
      <w:bookmarkStart w:id="88" w:name="_Toc4882"/>
      <w:r>
        <w:rPr>
          <w:rFonts w:hint="eastAsia" w:ascii="Times New Roman" w:hAnsi="Times New Roman" w:cs="黑体"/>
          <w:b/>
          <w:bCs/>
          <w:color w:val="auto"/>
          <w:szCs w:val="21"/>
          <w:highlight w:val="none"/>
          <w:lang w:eastAsia="zh-CN"/>
        </w:rPr>
        <w:t>临床安全性</w:t>
      </w:r>
      <w:r>
        <w:rPr>
          <w:rFonts w:hint="eastAsia" w:ascii="Times New Roman" w:hAnsi="Times New Roman" w:cs="黑体"/>
          <w:b/>
          <w:bCs/>
          <w:color w:val="auto"/>
          <w:szCs w:val="21"/>
          <w:highlight w:val="none"/>
        </w:rPr>
        <w:t>评估方法</w:t>
      </w:r>
      <w:bookmarkEnd w:id="87"/>
      <w:bookmarkEnd w:id="88"/>
    </w:p>
    <w:p w14:paraId="60CE7C9F">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lang w:eastAsia="zh-CN"/>
        </w:rPr>
        <w:t>临床安全性</w:t>
      </w:r>
      <w:r>
        <w:rPr>
          <w:rFonts w:hint="eastAsia" w:ascii="Times New Roman" w:hAnsi="Times New Roman" w:cs="宋体"/>
          <w:color w:val="auto"/>
          <w:highlight w:val="none"/>
        </w:rPr>
        <w:t>评估将包括生命体征、实验室检查、所有不良事件(AE)和严重不良事件(SAE)的监测和记录。当受试者有医学指征出现时可能需要研究者进行额外的</w:t>
      </w:r>
      <w:r>
        <w:rPr>
          <w:rFonts w:hint="eastAsia" w:ascii="Times New Roman" w:hAnsi="Times New Roman" w:cs="宋体"/>
          <w:color w:val="auto"/>
          <w:highlight w:val="none"/>
          <w:lang w:eastAsia="zh-CN"/>
        </w:rPr>
        <w:t>临床安全性</w:t>
      </w:r>
      <w:r>
        <w:rPr>
          <w:rFonts w:hint="eastAsia" w:ascii="Times New Roman" w:hAnsi="Times New Roman" w:cs="宋体"/>
          <w:color w:val="auto"/>
          <w:highlight w:val="none"/>
        </w:rPr>
        <w:t>评估。</w:t>
      </w:r>
    </w:p>
    <w:p w14:paraId="620A16BB">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黑体"/>
          <w:color w:val="auto"/>
          <w:highlight w:val="none"/>
        </w:rPr>
      </w:pPr>
      <w:r>
        <w:rPr>
          <w:rFonts w:hint="eastAsia" w:ascii="Times New Roman" w:hAnsi="Times New Roman" w:cs="黑体"/>
          <w:color w:val="auto"/>
          <w:highlight w:val="none"/>
        </w:rPr>
        <w:t>生命体征：</w:t>
      </w:r>
    </w:p>
    <w:p w14:paraId="6B3FE062">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休息五分钟后测得</w:t>
      </w:r>
      <w:r>
        <w:rPr>
          <w:rFonts w:hint="eastAsia" w:ascii="Times New Roman" w:hAnsi="Times New Roman" w:eastAsia="宋体" w:cs="宋体"/>
          <w:color w:val="auto"/>
          <w:szCs w:val="21"/>
          <w:highlight w:val="none"/>
        </w:rPr>
        <w:t>体温</w:t>
      </w:r>
      <w:r>
        <w:rPr>
          <w:rFonts w:hint="eastAsia" w:ascii="Times New Roman" w:hAnsi="Times New Roman" w:cs="宋体"/>
          <w:color w:val="auto"/>
          <w:szCs w:val="21"/>
          <w:highlight w:val="none"/>
          <w:lang w:eastAsia="zh-CN"/>
        </w:rPr>
        <w:t>、脉搏</w:t>
      </w:r>
      <w:r>
        <w:rPr>
          <w:rFonts w:hint="eastAsia" w:ascii="Times New Roman" w:hAnsi="Times New Roman" w:eastAsia="宋体" w:cs="宋体"/>
          <w:color w:val="auto"/>
          <w:szCs w:val="21"/>
          <w:highlight w:val="none"/>
        </w:rPr>
        <w:t>、</w:t>
      </w:r>
      <w:r>
        <w:rPr>
          <w:rFonts w:hint="eastAsia" w:ascii="Times New Roman" w:hAnsi="Times New Roman" w:cs="宋体"/>
          <w:color w:val="auto"/>
          <w:szCs w:val="21"/>
          <w:highlight w:val="none"/>
          <w:lang w:val="en-US" w:eastAsia="zh-CN"/>
        </w:rPr>
        <w:t>呼吸与</w:t>
      </w:r>
      <w:r>
        <w:rPr>
          <w:rFonts w:hint="eastAsia" w:ascii="Times New Roman" w:hAnsi="Times New Roman" w:eastAsia="宋体" w:cs="宋体"/>
          <w:color w:val="auto"/>
          <w:szCs w:val="21"/>
          <w:highlight w:val="none"/>
        </w:rPr>
        <w:t>血压</w:t>
      </w:r>
      <w:r>
        <w:rPr>
          <w:rFonts w:hint="eastAsia" w:ascii="Times New Roman" w:hAnsi="Times New Roman" w:cs="宋体"/>
          <w:color w:val="auto"/>
          <w:highlight w:val="none"/>
        </w:rPr>
        <w:t>，检测结果将在</w:t>
      </w:r>
      <w:r>
        <w:rPr>
          <w:rFonts w:hint="eastAsia" w:ascii="Times New Roman" w:hAnsi="Times New Roman" w:cs="宋体"/>
          <w:color w:val="auto"/>
          <w:highlight w:val="none"/>
          <w:lang w:val="en-US" w:eastAsia="zh-CN"/>
        </w:rPr>
        <w:t>筛选期</w:t>
      </w:r>
      <w:r>
        <w:rPr>
          <w:rFonts w:hint="eastAsia" w:cs="宋体"/>
          <w:color w:val="auto"/>
          <w:highlight w:val="none"/>
          <w:lang w:val="en-US" w:eastAsia="zh-CN"/>
        </w:rPr>
        <w:t>/</w:t>
      </w:r>
      <w:r>
        <w:rPr>
          <w:rFonts w:hint="eastAsia" w:ascii="Times New Roman" w:hAnsi="Times New Roman" w:cs="宋体"/>
          <w:color w:val="auto"/>
          <w:highlight w:val="none"/>
        </w:rPr>
        <w:t>基线</w:t>
      </w:r>
      <w:r>
        <w:rPr>
          <w:rFonts w:hint="eastAsia" w:ascii="Times New Roman" w:hAnsi="Times New Roman" w:cs="宋体"/>
          <w:color w:val="auto"/>
          <w:highlight w:val="none"/>
          <w:lang w:val="en-US" w:eastAsia="zh-CN"/>
        </w:rPr>
        <w:t>和末次访视</w:t>
      </w:r>
      <w:r>
        <w:rPr>
          <w:rFonts w:hint="eastAsia" w:ascii="Times New Roman" w:hAnsi="Times New Roman" w:cs="宋体"/>
          <w:color w:val="auto"/>
          <w:highlight w:val="none"/>
        </w:rPr>
        <w:t>被监测记录</w:t>
      </w:r>
      <w:r>
        <w:rPr>
          <w:rFonts w:hint="eastAsia" w:ascii="Times New Roman" w:hAnsi="Times New Roman" w:cs="宋体"/>
          <w:color w:val="auto"/>
          <w:highlight w:val="none"/>
          <w:lang w:eastAsia="zh-CN"/>
        </w:rPr>
        <w:t>，</w:t>
      </w:r>
      <w:r>
        <w:rPr>
          <w:rFonts w:hint="eastAsia" w:ascii="Times New Roman" w:hAnsi="Times New Roman" w:cs="宋体"/>
          <w:color w:val="auto"/>
          <w:highlight w:val="none"/>
          <w:lang w:val="en-US" w:eastAsia="zh-CN"/>
        </w:rPr>
        <w:t>并判断是否具有临床意义</w:t>
      </w:r>
      <w:r>
        <w:rPr>
          <w:rFonts w:hint="eastAsia" w:ascii="Times New Roman" w:hAnsi="Times New Roman" w:cs="宋体"/>
          <w:color w:val="auto"/>
          <w:highlight w:val="none"/>
        </w:rPr>
        <w:t>。</w:t>
      </w:r>
    </w:p>
    <w:p w14:paraId="50084245">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黑体"/>
          <w:color w:val="auto"/>
          <w:highlight w:val="none"/>
        </w:rPr>
      </w:pPr>
      <w:r>
        <w:rPr>
          <w:rFonts w:hint="eastAsia" w:ascii="Times New Roman" w:hAnsi="Times New Roman" w:cs="黑体"/>
          <w:color w:val="auto"/>
          <w:highlight w:val="none"/>
        </w:rPr>
        <w:t>实验室检查：</w:t>
      </w:r>
    </w:p>
    <w:p w14:paraId="5636F899">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实验室检查项目将在</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中心进行，</w:t>
      </w:r>
      <w:r>
        <w:rPr>
          <w:rFonts w:hint="eastAsia" w:ascii="Times New Roman" w:hAnsi="Times New Roman" w:cs="宋体"/>
          <w:color w:val="auto"/>
          <w:highlight w:val="none"/>
          <w:lang w:val="en-US" w:eastAsia="zh-CN"/>
        </w:rPr>
        <w:t>需在空腹状态下完成血样采集，</w:t>
      </w:r>
      <w:r>
        <w:rPr>
          <w:rFonts w:hint="eastAsia" w:ascii="Times New Roman" w:hAnsi="Times New Roman" w:cs="宋体"/>
          <w:color w:val="auto"/>
          <w:highlight w:val="none"/>
        </w:rPr>
        <w:t>检查结果将在</w:t>
      </w:r>
      <w:r>
        <w:rPr>
          <w:rFonts w:hint="eastAsia" w:ascii="Times New Roman" w:hAnsi="Times New Roman" w:cs="宋体"/>
          <w:color w:val="auto"/>
          <w:highlight w:val="none"/>
          <w:lang w:val="en-US" w:eastAsia="zh-CN"/>
        </w:rPr>
        <w:t>筛选期</w:t>
      </w:r>
      <w:r>
        <w:rPr>
          <w:rFonts w:hint="eastAsia" w:cs="宋体"/>
          <w:color w:val="auto"/>
          <w:highlight w:val="none"/>
          <w:lang w:val="en-US" w:eastAsia="zh-CN"/>
        </w:rPr>
        <w:t>/</w:t>
      </w:r>
      <w:r>
        <w:rPr>
          <w:rFonts w:hint="eastAsia" w:ascii="Times New Roman" w:hAnsi="Times New Roman" w:cs="宋体"/>
          <w:color w:val="auto"/>
          <w:highlight w:val="none"/>
        </w:rPr>
        <w:t>基线、</w:t>
      </w:r>
      <w:r>
        <w:rPr>
          <w:rFonts w:hint="eastAsia" w:ascii="Times New Roman" w:hAnsi="Times New Roman" w:cs="宋体"/>
          <w:color w:val="auto"/>
          <w:highlight w:val="none"/>
          <w:lang w:val="en-US" w:eastAsia="zh-CN"/>
        </w:rPr>
        <w:t>末次访视</w:t>
      </w:r>
      <w:r>
        <w:rPr>
          <w:rFonts w:hint="eastAsia" w:ascii="Times New Roman" w:hAnsi="Times New Roman" w:cs="宋体"/>
          <w:color w:val="auto"/>
          <w:highlight w:val="none"/>
        </w:rPr>
        <w:t>被监测记录。</w:t>
      </w:r>
    </w:p>
    <w:p w14:paraId="680C0387">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rPr>
        <w:t>记录服用</w:t>
      </w:r>
      <w:r>
        <w:rPr>
          <w:rFonts w:hint="eastAsia" w:ascii="Times New Roman" w:hAnsi="Times New Roman" w:cs="宋体"/>
          <w:color w:val="auto"/>
          <w:highlight w:val="none"/>
          <w:lang w:eastAsia="zh-CN"/>
        </w:rPr>
        <w:t>试验用产品</w:t>
      </w:r>
      <w:r>
        <w:rPr>
          <w:rFonts w:hint="eastAsia" w:ascii="Times New Roman" w:hAnsi="Times New Roman" w:cs="宋体"/>
          <w:color w:val="auto"/>
          <w:highlight w:val="none"/>
        </w:rPr>
        <w:t>开始至</w:t>
      </w:r>
      <w:r>
        <w:rPr>
          <w:rFonts w:hint="eastAsia" w:ascii="Times New Roman" w:hAnsi="Times New Roman" w:cs="宋体"/>
          <w:color w:val="auto"/>
          <w:highlight w:val="none"/>
          <w:lang w:val="en-US" w:eastAsia="zh-CN"/>
        </w:rPr>
        <w:t>末次访视</w:t>
      </w:r>
      <w:r>
        <w:rPr>
          <w:rFonts w:hint="eastAsia" w:ascii="Times New Roman" w:hAnsi="Times New Roman" w:cs="宋体"/>
          <w:color w:val="auto"/>
          <w:highlight w:val="none"/>
        </w:rPr>
        <w:t>发生的喂养不耐受反应的发生情况，包括恶心</w:t>
      </w:r>
      <w:r>
        <w:rPr>
          <w:rFonts w:hint="eastAsia" w:ascii="Times New Roman" w:hAnsi="Times New Roman" w:cs="宋体"/>
          <w:color w:val="auto"/>
          <w:highlight w:val="none"/>
          <w:lang w:eastAsia="zh-CN"/>
        </w:rPr>
        <w:t>、</w:t>
      </w:r>
      <w:r>
        <w:rPr>
          <w:rFonts w:hint="eastAsia" w:ascii="Times New Roman" w:hAnsi="Times New Roman" w:cs="宋体"/>
          <w:color w:val="auto"/>
          <w:highlight w:val="none"/>
        </w:rPr>
        <w:t>呕吐</w:t>
      </w:r>
      <w:r>
        <w:rPr>
          <w:rFonts w:hint="eastAsia" w:ascii="Times New Roman" w:hAnsi="Times New Roman" w:cs="宋体"/>
          <w:color w:val="auto"/>
          <w:highlight w:val="none"/>
          <w:lang w:eastAsia="zh-CN"/>
        </w:rPr>
        <w:t>、</w:t>
      </w:r>
      <w:r>
        <w:rPr>
          <w:rFonts w:hint="eastAsia" w:ascii="Times New Roman" w:hAnsi="Times New Roman" w:cs="宋体"/>
          <w:color w:val="auto"/>
          <w:highlight w:val="none"/>
        </w:rPr>
        <w:t>腹泻</w:t>
      </w:r>
      <w:r>
        <w:rPr>
          <w:rFonts w:hint="eastAsia" w:ascii="Times New Roman" w:hAnsi="Times New Roman" w:cs="宋体"/>
          <w:color w:val="auto"/>
          <w:highlight w:val="none"/>
          <w:lang w:eastAsia="zh-CN"/>
        </w:rPr>
        <w:t>、</w:t>
      </w:r>
      <w:r>
        <w:rPr>
          <w:rFonts w:hint="eastAsia" w:ascii="Times New Roman" w:hAnsi="Times New Roman" w:cs="宋体"/>
          <w:color w:val="auto"/>
          <w:highlight w:val="none"/>
        </w:rPr>
        <w:t>腹痛</w:t>
      </w:r>
      <w:r>
        <w:rPr>
          <w:rFonts w:hint="eastAsia" w:ascii="Times New Roman" w:hAnsi="Times New Roman" w:cs="宋体"/>
          <w:color w:val="auto"/>
          <w:highlight w:val="none"/>
          <w:lang w:eastAsia="zh-CN"/>
        </w:rPr>
        <w:t>、</w:t>
      </w:r>
      <w:r>
        <w:rPr>
          <w:rFonts w:hint="eastAsia" w:ascii="Times New Roman" w:hAnsi="Times New Roman" w:cs="宋体"/>
          <w:color w:val="auto"/>
          <w:highlight w:val="none"/>
        </w:rPr>
        <w:t>腹胀</w:t>
      </w:r>
      <w:r>
        <w:rPr>
          <w:rFonts w:hint="eastAsia" w:ascii="Times New Roman" w:hAnsi="Times New Roman" w:cs="宋体"/>
          <w:color w:val="auto"/>
          <w:highlight w:val="none"/>
          <w:lang w:eastAsia="zh-CN"/>
        </w:rPr>
        <w:t>、</w:t>
      </w:r>
      <w:r>
        <w:rPr>
          <w:rFonts w:hint="eastAsia" w:ascii="Times New Roman" w:hAnsi="Times New Roman" w:cs="宋体"/>
          <w:color w:val="auto"/>
          <w:highlight w:val="none"/>
        </w:rPr>
        <w:t>便秘等。</w:t>
      </w:r>
    </w:p>
    <w:p w14:paraId="024098DD">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rPr>
        <w:t>从</w:t>
      </w: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rPr>
        <w:t>签署知情同意书至末次访视期间发生的不良事件都将监测并被记录在</w:t>
      </w:r>
      <w:r>
        <w:rPr>
          <w:rFonts w:hint="eastAsia" w:ascii="Times New Roman" w:hAnsi="Times New Roman" w:cs="宋体"/>
          <w:color w:val="auto"/>
          <w:highlight w:val="none"/>
          <w:lang w:val="en-US" w:eastAsia="zh-CN"/>
        </w:rPr>
        <w:t>病例报告表</w:t>
      </w:r>
      <w:r>
        <w:rPr>
          <w:rFonts w:hint="eastAsia" w:ascii="Times New Roman" w:hAnsi="Times New Roman" w:cs="宋体"/>
          <w:color w:val="auto"/>
          <w:highlight w:val="none"/>
        </w:rPr>
        <w:t>中。</w:t>
      </w:r>
    </w:p>
    <w:p w14:paraId="478421F8">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89" w:name="_Toc30380"/>
      <w:bookmarkStart w:id="90" w:name="_Toc7763"/>
      <w:r>
        <w:rPr>
          <w:rFonts w:hint="eastAsia" w:ascii="Times New Roman" w:hAnsi="Times New Roman" w:cs="黑体"/>
          <w:b/>
          <w:bCs/>
          <w:color w:val="auto"/>
          <w:szCs w:val="21"/>
          <w:highlight w:val="none"/>
        </w:rPr>
        <w:t>其他评估</w:t>
      </w:r>
      <w:bookmarkEnd w:id="89"/>
      <w:bookmarkEnd w:id="90"/>
    </w:p>
    <w:p w14:paraId="2FF7A22B">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rPr>
        <w:t>将在筛选时接受NRS2002量表进行营养风险筛查，NRS2002量表见附</w:t>
      </w:r>
      <w:r>
        <w:rPr>
          <w:rFonts w:hint="eastAsia" w:ascii="Times New Roman" w:hAnsi="Times New Roman" w:cs="宋体"/>
          <w:color w:val="auto"/>
          <w:highlight w:val="none"/>
          <w:lang w:val="en-US" w:eastAsia="zh-CN"/>
        </w:rPr>
        <w:t>页</w:t>
      </w:r>
      <w:r>
        <w:rPr>
          <w:rFonts w:ascii="Times New Roman" w:hAnsi="Times New Roman" w:cs="宋体"/>
          <w:color w:val="auto"/>
          <w:highlight w:val="none"/>
        </w:rPr>
        <w:t>1</w:t>
      </w:r>
      <w:r>
        <w:rPr>
          <w:rFonts w:hint="eastAsia" w:ascii="Times New Roman" w:hAnsi="Times New Roman" w:cs="宋体"/>
          <w:color w:val="auto"/>
          <w:highlight w:val="none"/>
        </w:rPr>
        <w:t>。</w:t>
      </w:r>
    </w:p>
    <w:p w14:paraId="526EFA2D">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rPr>
        <w:t>妊娠试验：</w:t>
      </w:r>
      <w:r>
        <w:rPr>
          <w:rFonts w:hint="default" w:ascii="Times New Roman" w:hAnsi="Times New Roman" w:eastAsia="宋体" w:cs="黑体"/>
          <w:color w:val="auto"/>
          <w:sz w:val="21"/>
          <w:szCs w:val="21"/>
          <w:highlight w:val="none"/>
        </w:rPr>
        <w:t>育龄期女性受试者</w:t>
      </w:r>
      <w:r>
        <w:rPr>
          <w:rFonts w:hint="eastAsia" w:ascii="Times New Roman" w:hAnsi="Times New Roman" w:eastAsia="宋体" w:cs="黑体"/>
          <w:color w:val="auto"/>
          <w:sz w:val="21"/>
          <w:szCs w:val="21"/>
          <w:highlight w:val="none"/>
          <w:lang w:val="en-US" w:eastAsia="zh-CN"/>
        </w:rPr>
        <w:t>筛选期</w:t>
      </w:r>
      <w:r>
        <w:rPr>
          <w:rFonts w:hint="default" w:ascii="Times New Roman" w:hAnsi="Times New Roman" w:eastAsia="宋体" w:cs="黑体"/>
          <w:color w:val="auto"/>
          <w:sz w:val="21"/>
          <w:szCs w:val="21"/>
          <w:highlight w:val="none"/>
        </w:rPr>
        <w:t>需进行尿/血清妊娠试验</w:t>
      </w:r>
      <w:r>
        <w:rPr>
          <w:rFonts w:hint="eastAsia" w:ascii="Times New Roman" w:hAnsi="Times New Roman" w:cs="宋体"/>
          <w:color w:val="auto"/>
          <w:highlight w:val="none"/>
        </w:rPr>
        <w:t>，以排除怀孕的女性</w:t>
      </w: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rPr>
        <w:t>。</w:t>
      </w:r>
    </w:p>
    <w:p w14:paraId="6847FE38">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cs="宋体"/>
          <w:color w:val="auto"/>
          <w:highlight w:val="none"/>
          <w:lang w:val="en-US" w:eastAsia="zh-CN"/>
        </w:rPr>
        <w:t>服用周期内，受试者每日试验用产品和普通膳食的摄入情况将由受试者进行拍照，经授权人员进行记录。每日摄入情况</w:t>
      </w:r>
      <w:r>
        <w:rPr>
          <w:rFonts w:hint="eastAsia" w:ascii="Times New Roman" w:hAnsi="Times New Roman" w:cs="宋体"/>
          <w:color w:val="auto"/>
          <w:highlight w:val="none"/>
        </w:rPr>
        <w:t>将用作评估</w:t>
      </w: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rPr>
        <w:t>依从性的依据，并且将作为提醒和激励工具，以使</w:t>
      </w: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rPr>
        <w:t>遵守方案。</w:t>
      </w:r>
    </w:p>
    <w:p w14:paraId="51AC0E09">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left="408" w:hanging="198" w:firstLineChars="0"/>
        <w:textAlignment w:val="auto"/>
        <w:rPr>
          <w:rFonts w:ascii="Times New Roman" w:hAnsi="Times New Roman" w:cs="宋体"/>
          <w:color w:val="auto"/>
          <w:highlight w:val="none"/>
        </w:rPr>
      </w:pPr>
      <w:r>
        <w:rPr>
          <w:rFonts w:hint="eastAsia" w:ascii="Times New Roman" w:hAnsi="Times New Roman" w:cs="宋体"/>
          <w:color w:val="auto"/>
          <w:highlight w:val="none"/>
        </w:rPr>
        <w:t>在</w:t>
      </w:r>
      <w:r>
        <w:rPr>
          <w:rFonts w:hint="eastAsia" w:cs="宋体"/>
          <w:color w:val="auto"/>
          <w:highlight w:val="none"/>
          <w:lang w:val="en-US" w:eastAsia="zh-CN"/>
        </w:rPr>
        <w:t>试验期间内</w:t>
      </w:r>
      <w:r>
        <w:rPr>
          <w:rFonts w:hint="eastAsia" w:ascii="Times New Roman" w:hAnsi="Times New Roman" w:cs="宋体"/>
          <w:color w:val="auto"/>
          <w:highlight w:val="none"/>
        </w:rPr>
        <w:t>，依从性和遵循方案由负责执行此试验的临床医生监控，依从性将</w:t>
      </w:r>
      <w:r>
        <w:rPr>
          <w:rFonts w:hint="eastAsia" w:cs="宋体"/>
          <w:color w:val="auto"/>
          <w:highlight w:val="none"/>
          <w:lang w:val="en-US" w:eastAsia="zh-CN"/>
        </w:rPr>
        <w:t>根据</w:t>
      </w:r>
      <w:r>
        <w:rPr>
          <w:rFonts w:hint="eastAsia" w:ascii="Times New Roman" w:hAnsi="Times New Roman" w:cs="宋体"/>
          <w:color w:val="auto"/>
          <w:highlight w:val="none"/>
        </w:rPr>
        <w:t>每日摄入情况，基于研究者或经授权人员对受试者每日</w:t>
      </w:r>
      <w:r>
        <w:rPr>
          <w:rFonts w:hint="eastAsia" w:cs="宋体"/>
          <w:color w:val="auto"/>
          <w:highlight w:val="none"/>
          <w:lang w:val="en-US" w:eastAsia="zh-CN"/>
        </w:rPr>
        <w:t>摄入情况</w:t>
      </w:r>
      <w:r>
        <w:rPr>
          <w:rFonts w:hint="eastAsia" w:ascii="Times New Roman" w:hAnsi="Times New Roman" w:cs="宋体"/>
          <w:color w:val="auto"/>
          <w:highlight w:val="none"/>
        </w:rPr>
        <w:t>以及分发和退回的试验用产品数量的审查记录。</w:t>
      </w:r>
    </w:p>
    <w:p w14:paraId="6A423FBF">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rPr>
        <w:t>将在</w:t>
      </w:r>
      <w:r>
        <w:rPr>
          <w:rFonts w:hint="eastAsia" w:ascii="Times New Roman" w:hAnsi="Times New Roman" w:cs="宋体"/>
          <w:color w:val="auto"/>
          <w:highlight w:val="none"/>
          <w:lang w:val="en-US" w:eastAsia="zh-CN"/>
        </w:rPr>
        <w:t>筛选期</w:t>
      </w:r>
      <w:r>
        <w:rPr>
          <w:rFonts w:hint="eastAsia" w:cs="宋体"/>
          <w:color w:val="auto"/>
          <w:highlight w:val="none"/>
          <w:lang w:val="en-US" w:eastAsia="zh-CN"/>
        </w:rPr>
        <w:t>/</w:t>
      </w:r>
      <w:r>
        <w:rPr>
          <w:rFonts w:hint="eastAsia" w:ascii="Times New Roman" w:hAnsi="Times New Roman" w:cs="宋体"/>
          <w:color w:val="auto"/>
          <w:highlight w:val="none"/>
        </w:rPr>
        <w:t>基线及</w:t>
      </w:r>
      <w:r>
        <w:rPr>
          <w:rFonts w:hint="eastAsia" w:ascii="Times New Roman" w:hAnsi="Times New Roman" w:cs="宋体"/>
          <w:color w:val="auto"/>
          <w:highlight w:val="none"/>
          <w:lang w:val="en-US" w:eastAsia="zh-CN"/>
        </w:rPr>
        <w:t>末次访视</w:t>
      </w:r>
      <w:r>
        <w:rPr>
          <w:rFonts w:hint="eastAsia" w:ascii="Times New Roman" w:hAnsi="Times New Roman" w:cs="宋体"/>
          <w:color w:val="auto"/>
          <w:highlight w:val="none"/>
        </w:rPr>
        <w:t>测量体重，测量体重时受试者应脱鞋、并着</w:t>
      </w:r>
      <w:r>
        <w:rPr>
          <w:rFonts w:hint="eastAsia" w:ascii="Times New Roman" w:hAnsi="Times New Roman" w:cs="宋体"/>
          <w:color w:val="auto"/>
          <w:highlight w:val="none"/>
          <w:lang w:val="en-US" w:eastAsia="zh-CN"/>
        </w:rPr>
        <w:t>单</w:t>
      </w:r>
      <w:r>
        <w:rPr>
          <w:rFonts w:hint="eastAsia" w:ascii="Times New Roman" w:hAnsi="Times New Roman" w:cs="宋体"/>
          <w:color w:val="auto"/>
          <w:highlight w:val="none"/>
        </w:rPr>
        <w:t>衣。</w:t>
      </w:r>
    </w:p>
    <w:p w14:paraId="58B55A1D">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hint="eastAsia" w:ascii="Times New Roman" w:hAnsi="Times New Roman" w:cs="宋体"/>
          <w:color w:val="auto"/>
          <w:highlight w:val="none"/>
        </w:rPr>
      </w:pPr>
      <w:r>
        <w:rPr>
          <w:rFonts w:hint="eastAsia" w:ascii="Times New Roman" w:hAnsi="Times New Roman" w:cs="宋体"/>
          <w:color w:val="auto"/>
          <w:highlight w:val="none"/>
        </w:rPr>
        <w:t>在</w:t>
      </w:r>
      <w:r>
        <w:rPr>
          <w:rFonts w:hint="eastAsia" w:ascii="Times New Roman" w:hAnsi="Times New Roman" w:cs="宋体"/>
          <w:color w:val="auto"/>
          <w:highlight w:val="none"/>
          <w:lang w:val="en-US" w:eastAsia="zh-CN"/>
        </w:rPr>
        <w:t>筛选期</w:t>
      </w:r>
      <w:r>
        <w:rPr>
          <w:rFonts w:hint="eastAsia" w:cs="宋体"/>
          <w:color w:val="auto"/>
          <w:highlight w:val="none"/>
          <w:lang w:val="en-US" w:eastAsia="zh-CN"/>
        </w:rPr>
        <w:t>/</w:t>
      </w:r>
      <w:r>
        <w:rPr>
          <w:rFonts w:hint="eastAsia" w:ascii="Times New Roman" w:hAnsi="Times New Roman" w:cs="宋体"/>
          <w:color w:val="auto"/>
          <w:highlight w:val="none"/>
        </w:rPr>
        <w:t>基线及</w:t>
      </w:r>
      <w:r>
        <w:rPr>
          <w:rFonts w:hint="eastAsia" w:ascii="Times New Roman" w:hAnsi="Times New Roman" w:cs="宋体"/>
          <w:color w:val="auto"/>
          <w:highlight w:val="none"/>
          <w:lang w:val="en-US" w:eastAsia="zh-CN"/>
        </w:rPr>
        <w:t>末次访视</w:t>
      </w:r>
      <w:r>
        <w:rPr>
          <w:rFonts w:hint="eastAsia" w:ascii="Times New Roman" w:hAnsi="Times New Roman" w:cs="宋体"/>
          <w:color w:val="auto"/>
          <w:highlight w:val="none"/>
        </w:rPr>
        <w:t>使用</w:t>
      </w:r>
      <w:r>
        <w:rPr>
          <w:rFonts w:hint="eastAsia" w:ascii="Times New Roman" w:hAnsi="Times New Roman" w:cs="宋体"/>
          <w:color w:val="auto"/>
          <w:highlight w:val="none"/>
          <w:lang w:val="en-US" w:eastAsia="zh-CN"/>
        </w:rPr>
        <w:t>握力计测量握力（测量三次取平均值）、使用INBODY 人体成分分析仪</w:t>
      </w:r>
      <w:r>
        <w:rPr>
          <w:rFonts w:hint="eastAsia" w:ascii="Times New Roman" w:hAnsi="Times New Roman" w:cs="宋体"/>
          <w:color w:val="auto"/>
          <w:highlight w:val="none"/>
        </w:rPr>
        <w:t>进行</w:t>
      </w:r>
      <w:r>
        <w:rPr>
          <w:rFonts w:hint="eastAsia" w:ascii="Times New Roman" w:hAnsi="Times New Roman" w:cs="宋体"/>
          <w:color w:val="auto"/>
          <w:highlight w:val="none"/>
          <w:lang w:val="en-US" w:eastAsia="zh-CN"/>
        </w:rPr>
        <w:t>肌肉量、骨骼肌、去脂体重</w:t>
      </w:r>
      <w:r>
        <w:rPr>
          <w:rFonts w:hint="eastAsia" w:ascii="Times New Roman" w:hAnsi="Times New Roman" w:cs="宋体"/>
          <w:color w:val="auto"/>
          <w:highlight w:val="none"/>
        </w:rPr>
        <w:t>的测量。</w:t>
      </w:r>
    </w:p>
    <w:p w14:paraId="7C2E489A">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hint="eastAsia" w:ascii="Times New Roman" w:hAnsi="Times New Roman" w:cs="宋体"/>
          <w:color w:val="auto"/>
          <w:highlight w:val="none"/>
        </w:rPr>
      </w:pPr>
      <w:r>
        <w:rPr>
          <w:rFonts w:hint="eastAsia" w:ascii="Times New Roman" w:hAnsi="Times New Roman" w:cs="宋体"/>
          <w:color w:val="auto"/>
          <w:highlight w:val="none"/>
          <w:lang w:val="en-US" w:eastAsia="zh-CN"/>
        </w:rPr>
        <w:t>去脂体重指数通过INBODY 人体成分分析仪测得的去脂体重按照下方公式进行计算：</w:t>
      </w:r>
    </w:p>
    <w:p w14:paraId="24E8B002">
      <w:pPr>
        <w:pStyle w:val="5"/>
        <w:keepNext w:val="0"/>
        <w:keepLines w:val="0"/>
        <w:pageBreakBefore w:val="0"/>
        <w:widowControl w:val="0"/>
        <w:numPr>
          <w:ilvl w:val="0"/>
          <w:numId w:val="0"/>
        </w:numPr>
        <w:tabs>
          <w:tab w:val="left" w:pos="640"/>
        </w:tabs>
        <w:kinsoku/>
        <w:wordWrap/>
        <w:overflowPunct/>
        <w:topLinePunct w:val="0"/>
        <w:autoSpaceDE/>
        <w:autoSpaceDN/>
        <w:bidi w:val="0"/>
        <w:adjustRightInd/>
        <w:snapToGrid/>
        <w:ind w:left="210" w:leftChars="0"/>
        <w:jc w:val="center"/>
        <w:textAlignment w:val="auto"/>
        <w:rPr>
          <w:rFonts w:hint="eastAsia" w:ascii="Times New Roman" w:hAnsi="Times New Roman" w:cs="宋体"/>
          <w:color w:val="auto"/>
          <w:highlight w:val="none"/>
        </w:rPr>
      </w:pPr>
      <w:r>
        <w:rPr>
          <w:rFonts w:hint="eastAsia" w:ascii="Times New Roman" w:hAnsi="Times New Roman" w:eastAsia="宋体" w:cs="Times New Roman"/>
          <w:b w:val="0"/>
          <w:bCs w:val="0"/>
          <w:color w:val="auto"/>
          <w:kern w:val="0"/>
          <w:position w:val="-26"/>
          <w:sz w:val="21"/>
          <w:szCs w:val="21"/>
          <w:highlight w:val="none"/>
          <w:lang w:val="en-US" w:eastAsia="zh-CN"/>
        </w:rPr>
        <w:object>
          <v:shape id="_x0000_i1025" o:spt="75" type="#_x0000_t75" style="height:28.4pt;width:117.8pt;" o:ole="t" filled="f" o:preferrelative="t" stroked="f" coordsize="21600,21600">
            <v:path/>
            <v:fill on="f" focussize="0,0"/>
            <v:stroke on="f"/>
            <v:imagedata r:id="rId14" o:title=""/>
            <o:lock v:ext="edit" aspectratio="t"/>
            <w10:wrap type="none"/>
            <w10:anchorlock/>
          </v:shape>
          <o:OLEObject Type="Embed" ProgID="Equation.KSEE3" ShapeID="_x0000_i1025" DrawAspect="Content" ObjectID="_1468075725" r:id="rId13">
            <o:LockedField>false</o:LockedField>
          </o:OLEObject>
        </w:object>
      </w:r>
    </w:p>
    <w:p w14:paraId="35138B18">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91" w:name="_Toc10526"/>
      <w:bookmarkStart w:id="92" w:name="_Toc23843"/>
      <w:r>
        <w:rPr>
          <w:rFonts w:hint="eastAsia" w:ascii="Times New Roman" w:hAnsi="Times New Roman" w:cs="黑体"/>
          <w:b/>
          <w:bCs w:val="0"/>
          <w:color w:val="auto"/>
          <w:szCs w:val="24"/>
          <w:highlight w:val="none"/>
          <w:lang w:eastAsia="zh-CN"/>
        </w:rPr>
        <w:t>试验</w:t>
      </w:r>
      <w:r>
        <w:rPr>
          <w:rFonts w:hint="eastAsia" w:ascii="Times New Roman" w:hAnsi="Times New Roman" w:cs="黑体"/>
          <w:b/>
          <w:bCs w:val="0"/>
          <w:color w:val="auto"/>
          <w:szCs w:val="24"/>
          <w:highlight w:val="none"/>
        </w:rPr>
        <w:t>程序</w:t>
      </w:r>
      <w:bookmarkEnd w:id="91"/>
      <w:bookmarkEnd w:id="92"/>
    </w:p>
    <w:p w14:paraId="52175C81">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93" w:name="_Toc13718"/>
      <w:bookmarkStart w:id="94" w:name="_Toc10856"/>
      <w:r>
        <w:rPr>
          <w:rFonts w:hint="eastAsia" w:ascii="Times New Roman" w:hAnsi="Times New Roman" w:cs="黑体"/>
          <w:b/>
          <w:bCs/>
          <w:color w:val="auto"/>
          <w:szCs w:val="21"/>
          <w:highlight w:val="none"/>
        </w:rPr>
        <w:t>访视说明</w:t>
      </w:r>
      <w:bookmarkEnd w:id="93"/>
      <w:bookmarkEnd w:id="94"/>
    </w:p>
    <w:p w14:paraId="1365F9C6">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在进行任何筛选相关程序前，研究者将向潜在受试者</w:t>
      </w:r>
      <w:r>
        <w:rPr>
          <w:rFonts w:hint="eastAsia" w:ascii="Times New Roman" w:hAnsi="Times New Roman" w:cs="宋体"/>
          <w:color w:val="auto"/>
          <w:highlight w:val="none"/>
          <w:lang w:val="en-US" w:eastAsia="zh-CN"/>
        </w:rPr>
        <w:t>及其监护人/法定代理人</w:t>
      </w:r>
      <w:r>
        <w:rPr>
          <w:rFonts w:hint="eastAsia" w:ascii="Times New Roman" w:hAnsi="Times New Roman" w:cs="宋体"/>
          <w:color w:val="auto"/>
          <w:highlight w:val="none"/>
        </w:rPr>
        <w:t>充分解释</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，并提供</w:t>
      </w:r>
      <w:r>
        <w:rPr>
          <w:rFonts w:hint="eastAsia" w:ascii="Times New Roman" w:hAnsi="Times New Roman" w:cs="宋体"/>
          <w:color w:val="auto"/>
          <w:highlight w:val="none"/>
          <w:lang w:val="en-US" w:eastAsia="zh-CN"/>
        </w:rPr>
        <w:t>和</w:t>
      </w:r>
      <w:r>
        <w:rPr>
          <w:rFonts w:hint="eastAsia" w:ascii="Times New Roman" w:hAnsi="Times New Roman" w:cs="宋体"/>
          <w:color w:val="auto"/>
          <w:highlight w:val="none"/>
        </w:rPr>
        <w:t>解释知情同意书，如受试者愿意参加</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w:t>
      </w:r>
      <w:r>
        <w:rPr>
          <w:rFonts w:hint="eastAsia" w:ascii="Times New Roman" w:hAnsi="Times New Roman" w:cs="宋体"/>
          <w:color w:val="auto"/>
          <w:highlight w:val="none"/>
          <w:lang w:val="en-US" w:eastAsia="zh-CN"/>
        </w:rPr>
        <w:t>受试者和/或其监护人/法定代理人</w:t>
      </w:r>
      <w:r>
        <w:rPr>
          <w:rFonts w:hint="eastAsia" w:ascii="Times New Roman" w:hAnsi="Times New Roman" w:cs="宋体"/>
          <w:color w:val="auto"/>
          <w:highlight w:val="none"/>
        </w:rPr>
        <w:t>、研究者将分别签署两份知情同意书，受试者保留一份</w:t>
      </w:r>
      <w:r>
        <w:rPr>
          <w:rFonts w:hint="eastAsia" w:ascii="Times New Roman" w:hAnsi="Times New Roman" w:cs="宋体"/>
          <w:color w:val="auto"/>
          <w:highlight w:val="none"/>
          <w:lang w:eastAsia="zh-CN"/>
        </w:rPr>
        <w:t>，</w:t>
      </w:r>
      <w:r>
        <w:rPr>
          <w:rFonts w:hint="eastAsia" w:ascii="Times New Roman" w:hAnsi="Times New Roman"/>
          <w:color w:val="auto"/>
          <w:highlight w:val="none"/>
          <w:lang w:eastAsia="zh-CN"/>
        </w:rPr>
        <w:t>另一份作为临床试验文档保留</w:t>
      </w:r>
      <w:r>
        <w:rPr>
          <w:rFonts w:hint="eastAsia" w:ascii="Times New Roman" w:hAnsi="Times New Roman" w:cs="宋体"/>
          <w:color w:val="auto"/>
          <w:highlight w:val="none"/>
        </w:rPr>
        <w:t>。受试者是否符合参加</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的条件将通过入选/排除标准（见第8节）确认。</w:t>
      </w:r>
    </w:p>
    <w:p w14:paraId="17CC84D5">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程序必须根据计划的时间表进行，并严格遵循访视时间。符合</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条件的所有受试者将参加下述</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访视。</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和评估详情见第4节</w:t>
      </w:r>
      <w:r>
        <w:rPr>
          <w:rFonts w:hint="eastAsia" w:ascii="Times New Roman" w:hAnsi="Times New Roman" w:cs="宋体"/>
          <w:color w:val="auto"/>
          <w:highlight w:val="none"/>
          <w:lang w:val="en-US" w:eastAsia="zh-CN"/>
        </w:rPr>
        <w:t>试验流程图</w:t>
      </w:r>
      <w:r>
        <w:rPr>
          <w:rFonts w:hint="eastAsia" w:ascii="Times New Roman" w:hAnsi="Times New Roman" w:cs="宋体"/>
          <w:color w:val="auto"/>
          <w:highlight w:val="none"/>
        </w:rPr>
        <w:t>。</w:t>
      </w:r>
    </w:p>
    <w:p w14:paraId="1CC37F49">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auto"/>
          <w:highlight w:val="none"/>
          <w:lang w:eastAsia="zh-CN"/>
        </w:rPr>
      </w:pPr>
      <w:r>
        <w:rPr>
          <w:rFonts w:hint="eastAsia" w:ascii="Times New Roman" w:hAnsi="Times New Roman" w:cs="宋体"/>
          <w:color w:val="auto"/>
          <w:highlight w:val="none"/>
        </w:rPr>
        <w:t>筛选期</w:t>
      </w:r>
      <w:r>
        <w:rPr>
          <w:rFonts w:hint="eastAsia" w:cs="宋体"/>
          <w:color w:val="auto"/>
          <w:highlight w:val="none"/>
          <w:lang w:val="en-US" w:eastAsia="zh-CN"/>
        </w:rPr>
        <w:t>/</w:t>
      </w:r>
      <w:r>
        <w:rPr>
          <w:rFonts w:hint="eastAsia" w:ascii="Times New Roman" w:hAnsi="Times New Roman" w:cs="宋体"/>
          <w:color w:val="auto"/>
          <w:highlight w:val="none"/>
        </w:rPr>
        <w:t>基线血样采集均需在空腹状态下完成</w:t>
      </w:r>
      <w:r>
        <w:rPr>
          <w:rFonts w:hint="eastAsia" w:cs="宋体"/>
          <w:color w:val="auto"/>
          <w:highlight w:val="none"/>
          <w:lang w:eastAsia="zh-CN"/>
        </w:rPr>
        <w:t>；若受试者服用产品前2天内已在本院自行完成实验室检查（空腹状态下），检查结果可纳入参考</w:t>
      </w:r>
      <w:r>
        <w:rPr>
          <w:rFonts w:hint="eastAsia" w:ascii="Times New Roman" w:hAnsi="Times New Roman" w:cs="宋体"/>
          <w:color w:val="auto"/>
          <w:highlight w:val="none"/>
        </w:rPr>
        <w:t>。</w:t>
      </w:r>
      <w:r>
        <w:rPr>
          <w:rFonts w:hint="eastAsia" w:ascii="Times New Roman" w:hAnsi="Times New Roman" w:cs="宋体"/>
          <w:color w:val="auto"/>
          <w:highlight w:val="none"/>
          <w:lang w:val="en-US" w:eastAsia="zh-CN"/>
        </w:rPr>
        <w:t>末次访视血样采集</w:t>
      </w:r>
      <w:r>
        <w:rPr>
          <w:rFonts w:hint="eastAsia" w:cs="宋体"/>
          <w:color w:val="auto"/>
          <w:highlight w:val="none"/>
          <w:lang w:val="en-US" w:eastAsia="zh-CN"/>
        </w:rPr>
        <w:t>需在</w:t>
      </w:r>
      <w:r>
        <w:rPr>
          <w:rFonts w:hint="eastAsia" w:ascii="Times New Roman" w:hAnsi="Times New Roman" w:cs="宋体"/>
          <w:color w:val="auto"/>
          <w:highlight w:val="none"/>
        </w:rPr>
        <w:t>完成服用后次日空腹状态下</w:t>
      </w:r>
      <w:r>
        <w:rPr>
          <w:rFonts w:hint="eastAsia" w:cs="宋体"/>
          <w:color w:val="auto"/>
          <w:highlight w:val="none"/>
          <w:lang w:val="en-US" w:eastAsia="zh-CN"/>
        </w:rPr>
        <w:t>进行</w:t>
      </w:r>
      <w:r>
        <w:rPr>
          <w:rFonts w:hint="eastAsia" w:cs="宋体"/>
          <w:color w:val="auto"/>
          <w:highlight w:val="none"/>
          <w:lang w:eastAsia="zh-CN"/>
        </w:rPr>
        <w:t>。</w:t>
      </w:r>
    </w:p>
    <w:p w14:paraId="75857BD8">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95" w:name="_Toc27062"/>
      <w:bookmarkStart w:id="96" w:name="_Toc25390"/>
      <w:r>
        <w:rPr>
          <w:rFonts w:hint="eastAsia" w:ascii="Times New Roman" w:hAnsi="Times New Roman" w:cs="黑体"/>
          <w:b/>
          <w:bCs/>
          <w:color w:val="auto"/>
          <w:szCs w:val="21"/>
          <w:highlight w:val="none"/>
        </w:rPr>
        <w:t>筛选期</w:t>
      </w:r>
      <w:r>
        <w:rPr>
          <w:rFonts w:hint="eastAsia" w:cs="黑体"/>
          <w:b/>
          <w:bCs/>
          <w:color w:val="auto"/>
          <w:szCs w:val="21"/>
          <w:highlight w:val="none"/>
          <w:lang w:val="en-US" w:eastAsia="zh-CN"/>
        </w:rPr>
        <w:t>/基线</w:t>
      </w:r>
      <w:r>
        <w:rPr>
          <w:rFonts w:hint="eastAsia" w:ascii="Times New Roman" w:hAnsi="Times New Roman" w:cs="黑体"/>
          <w:b/>
          <w:bCs/>
          <w:color w:val="auto"/>
          <w:szCs w:val="21"/>
          <w:highlight w:val="none"/>
        </w:rPr>
        <w:t>（第</w:t>
      </w:r>
      <w:r>
        <w:rPr>
          <w:rFonts w:hint="eastAsia" w:cs="黑体"/>
          <w:b/>
          <w:bCs/>
          <w:color w:val="auto"/>
          <w:szCs w:val="21"/>
          <w:highlight w:val="none"/>
          <w:lang w:eastAsia="zh-CN"/>
        </w:rPr>
        <w:t>0(±1)</w:t>
      </w:r>
      <w:r>
        <w:rPr>
          <w:rFonts w:hint="eastAsia" w:ascii="Times New Roman" w:hAnsi="Times New Roman" w:cs="黑体"/>
          <w:b/>
          <w:bCs/>
          <w:color w:val="auto"/>
          <w:szCs w:val="21"/>
          <w:highlight w:val="none"/>
        </w:rPr>
        <w:t>天空腹状态）</w:t>
      </w:r>
      <w:bookmarkEnd w:id="95"/>
      <w:bookmarkEnd w:id="96"/>
    </w:p>
    <w:p w14:paraId="12370E2A">
      <w:pPr>
        <w:pStyle w:val="5"/>
        <w:keepNext w:val="0"/>
        <w:keepLines w:val="0"/>
        <w:pageBreakBefore w:val="0"/>
        <w:widowControl w:val="0"/>
        <w:kinsoku/>
        <w:wordWrap/>
        <w:overflowPunct/>
        <w:topLinePunct w:val="0"/>
        <w:autoSpaceDE/>
        <w:autoSpaceDN/>
        <w:bidi w:val="0"/>
        <w:adjustRightInd/>
        <w:snapToGrid/>
        <w:textAlignment w:val="auto"/>
        <w:rPr>
          <w:rFonts w:hint="eastAsia" w:cs="宋体"/>
          <w:color w:val="auto"/>
          <w:highlight w:val="none"/>
          <w:lang w:val="en-US" w:eastAsia="zh-CN"/>
        </w:rPr>
      </w:pPr>
      <w:r>
        <w:rPr>
          <w:rFonts w:hint="eastAsia" w:ascii="Times New Roman" w:hAnsi="Times New Roman" w:cs="宋体"/>
          <w:color w:val="auto"/>
          <w:highlight w:val="none"/>
        </w:rPr>
        <w:t>一旦</w:t>
      </w: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rPr>
        <w:t>已了解</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，同意参加并签署知情同意书，则将接受筛选评估</w:t>
      </w:r>
      <w:r>
        <w:rPr>
          <w:rFonts w:hint="eastAsia" w:cs="宋体"/>
          <w:color w:val="auto"/>
          <w:highlight w:val="none"/>
          <w:lang w:val="en-US" w:eastAsia="zh-CN"/>
        </w:rPr>
        <w:t>及基线值的测定。</w:t>
      </w:r>
    </w:p>
    <w:p w14:paraId="10267108">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cs="宋体"/>
          <w:color w:val="auto"/>
          <w:highlight w:val="none"/>
          <w:lang w:val="en-US" w:eastAsia="zh-CN"/>
        </w:rPr>
        <w:t>筛选期/基线将</w:t>
      </w:r>
      <w:r>
        <w:rPr>
          <w:rFonts w:hint="eastAsia" w:ascii="Times New Roman" w:hAnsi="Times New Roman" w:cs="宋体"/>
          <w:color w:val="auto"/>
          <w:highlight w:val="none"/>
        </w:rPr>
        <w:t>完成以下评估：</w:t>
      </w:r>
    </w:p>
    <w:p w14:paraId="0F0DFAB6">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rPr>
        <w:t>人口统计学资料(出生日期、性别、身高、体重、BMI)</w:t>
      </w:r>
    </w:p>
    <w:p w14:paraId="74418C5D">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rPr>
        <w:t>生命体征检查</w:t>
      </w:r>
      <w:r>
        <w:rPr>
          <w:rFonts w:hint="eastAsia" w:ascii="Times New Roman" w:hAnsi="Times New Roman" w:cs="宋体"/>
          <w:color w:val="auto"/>
          <w:szCs w:val="21"/>
          <w:highlight w:val="none"/>
          <w:lang w:eastAsia="zh-CN"/>
        </w:rPr>
        <w:t>（</w:t>
      </w:r>
      <w:r>
        <w:rPr>
          <w:rFonts w:hint="eastAsia" w:ascii="Times New Roman" w:hAnsi="Times New Roman" w:eastAsia="宋体" w:cs="宋体"/>
          <w:color w:val="auto"/>
          <w:szCs w:val="21"/>
          <w:highlight w:val="none"/>
        </w:rPr>
        <w:t>体温</w:t>
      </w:r>
      <w:r>
        <w:rPr>
          <w:rFonts w:hint="eastAsia" w:ascii="Times New Roman" w:hAnsi="Times New Roman" w:cs="宋体"/>
          <w:color w:val="auto"/>
          <w:szCs w:val="21"/>
          <w:highlight w:val="none"/>
          <w:lang w:eastAsia="zh-CN"/>
        </w:rPr>
        <w:t>、脉搏</w:t>
      </w:r>
      <w:r>
        <w:rPr>
          <w:rFonts w:hint="eastAsia" w:ascii="Times New Roman" w:hAnsi="Times New Roman" w:eastAsia="宋体" w:cs="宋体"/>
          <w:color w:val="auto"/>
          <w:szCs w:val="21"/>
          <w:highlight w:val="none"/>
        </w:rPr>
        <w:t>、</w:t>
      </w:r>
      <w:r>
        <w:rPr>
          <w:rFonts w:hint="eastAsia" w:ascii="Times New Roman" w:hAnsi="Times New Roman" w:cs="宋体"/>
          <w:color w:val="auto"/>
          <w:szCs w:val="21"/>
          <w:highlight w:val="none"/>
          <w:lang w:val="en-US" w:eastAsia="zh-CN"/>
        </w:rPr>
        <w:t>呼吸</w:t>
      </w:r>
      <w:r>
        <w:rPr>
          <w:rFonts w:hint="eastAsia" w:ascii="Times New Roman" w:hAnsi="Times New Roman" w:eastAsia="宋体" w:cs="宋体"/>
          <w:color w:val="auto"/>
          <w:szCs w:val="21"/>
          <w:highlight w:val="none"/>
        </w:rPr>
        <w:t>、血压</w:t>
      </w:r>
      <w:r>
        <w:rPr>
          <w:rFonts w:hint="eastAsia" w:ascii="Times New Roman" w:hAnsi="Times New Roman" w:cs="宋体"/>
          <w:color w:val="auto"/>
          <w:szCs w:val="21"/>
          <w:highlight w:val="none"/>
          <w:lang w:eastAsia="zh-CN"/>
        </w:rPr>
        <w:t>）</w:t>
      </w:r>
    </w:p>
    <w:p w14:paraId="6286544C">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rPr>
        <w:t>既往史（半年内）</w:t>
      </w:r>
    </w:p>
    <w:p w14:paraId="31044918">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rPr>
        <w:t>现病史</w:t>
      </w:r>
    </w:p>
    <w:p w14:paraId="221E3C01">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rPr>
        <w:t>营养风险筛查：NRS2002量表</w:t>
      </w:r>
    </w:p>
    <w:p w14:paraId="1B497325">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default" w:ascii="Times New Roman" w:hAnsi="Times New Roman" w:eastAsia="宋体" w:cs="黑体"/>
          <w:color w:val="auto"/>
          <w:sz w:val="21"/>
          <w:szCs w:val="21"/>
          <w:highlight w:val="none"/>
        </w:rPr>
        <w:t>育龄期女性受试者</w:t>
      </w:r>
      <w:r>
        <w:rPr>
          <w:rFonts w:hint="eastAsia" w:ascii="Times New Roman" w:hAnsi="Times New Roman" w:eastAsia="宋体" w:cs="黑体"/>
          <w:color w:val="auto"/>
          <w:sz w:val="21"/>
          <w:szCs w:val="21"/>
          <w:highlight w:val="none"/>
          <w:lang w:val="en-US" w:eastAsia="zh-CN"/>
        </w:rPr>
        <w:t>筛选期</w:t>
      </w:r>
      <w:r>
        <w:rPr>
          <w:rFonts w:hint="default" w:ascii="Times New Roman" w:hAnsi="Times New Roman" w:eastAsia="宋体" w:cs="黑体"/>
          <w:color w:val="auto"/>
          <w:sz w:val="21"/>
          <w:szCs w:val="21"/>
          <w:highlight w:val="none"/>
        </w:rPr>
        <w:t>需进行尿/血清妊娠试验</w:t>
      </w:r>
    </w:p>
    <w:p w14:paraId="551FEADC">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rPr>
        <w:t>实验室检查：</w:t>
      </w:r>
    </w:p>
    <w:p w14:paraId="305D0BEF">
      <w:pPr>
        <w:pStyle w:val="5"/>
        <w:keepNext w:val="0"/>
        <w:keepLines w:val="0"/>
        <w:pageBreakBefore w:val="0"/>
        <w:widowControl w:val="0"/>
        <w:numPr>
          <w:ilvl w:val="1"/>
          <w:numId w:val="3"/>
        </w:numPr>
        <w:tabs>
          <w:tab w:val="left" w:pos="640"/>
        </w:tabs>
        <w:kinsoku/>
        <w:wordWrap/>
        <w:overflowPunct/>
        <w:topLinePunct w:val="0"/>
        <w:autoSpaceDE/>
        <w:autoSpaceDN/>
        <w:bidi w:val="0"/>
        <w:adjustRightInd/>
        <w:snapToGrid/>
        <w:ind w:left="636" w:leftChars="210" w:hanging="195" w:hangingChars="93"/>
        <w:textAlignment w:val="auto"/>
        <w:rPr>
          <w:rFonts w:ascii="Times New Roman" w:hAnsi="Times New Roman" w:cs="宋体"/>
          <w:color w:val="auto"/>
          <w:highlight w:val="none"/>
        </w:rPr>
      </w:pPr>
      <w:r>
        <w:rPr>
          <w:rFonts w:hint="eastAsia" w:ascii="Times New Roman" w:hAnsi="Times New Roman" w:cs="宋体"/>
          <w:color w:val="auto"/>
          <w:highlight w:val="none"/>
        </w:rPr>
        <w:t>血常规：血红蛋白、红细胞计数、血小板计数、白细胞计数及分类（包括中性粒细胞、嗜酸性粒细胞、嗜碱性粒细胞、淋巴细胞和单核细胞）</w:t>
      </w:r>
    </w:p>
    <w:p w14:paraId="032D5F80">
      <w:pPr>
        <w:pStyle w:val="5"/>
        <w:keepNext w:val="0"/>
        <w:keepLines w:val="0"/>
        <w:pageBreakBefore w:val="0"/>
        <w:widowControl w:val="0"/>
        <w:numPr>
          <w:ilvl w:val="1"/>
          <w:numId w:val="3"/>
        </w:numPr>
        <w:tabs>
          <w:tab w:val="left" w:pos="640"/>
        </w:tabs>
        <w:kinsoku/>
        <w:wordWrap/>
        <w:overflowPunct/>
        <w:topLinePunct w:val="0"/>
        <w:autoSpaceDE/>
        <w:autoSpaceDN/>
        <w:bidi w:val="0"/>
        <w:adjustRightInd/>
        <w:snapToGrid/>
        <w:ind w:left="636" w:leftChars="210" w:hanging="195" w:hangingChars="93"/>
        <w:textAlignment w:val="auto"/>
        <w:rPr>
          <w:rFonts w:ascii="Times New Roman" w:hAnsi="Times New Roman" w:cs="宋体"/>
          <w:color w:val="auto"/>
          <w:highlight w:val="none"/>
        </w:rPr>
      </w:pPr>
      <w:r>
        <w:rPr>
          <w:rFonts w:hint="eastAsia" w:ascii="Times New Roman" w:hAnsi="Times New Roman" w:cs="宋体"/>
          <w:color w:val="auto"/>
          <w:highlight w:val="none"/>
        </w:rPr>
        <w:t>血生化</w:t>
      </w:r>
      <w:r>
        <w:rPr>
          <w:rFonts w:hint="eastAsia" w:ascii="Times New Roman" w:hAnsi="Times New Roman" w:cs="宋体"/>
          <w:color w:val="auto"/>
          <w:highlight w:val="none"/>
          <w:lang w:eastAsia="zh-CN"/>
        </w:rPr>
        <w:t>：</w:t>
      </w:r>
    </w:p>
    <w:p w14:paraId="4D11EE33">
      <w:pPr>
        <w:pStyle w:val="5"/>
        <w:keepNext w:val="0"/>
        <w:keepLines w:val="0"/>
        <w:pageBreakBefore w:val="0"/>
        <w:widowControl w:val="0"/>
        <w:numPr>
          <w:ilvl w:val="0"/>
          <w:numId w:val="0"/>
        </w:numPr>
        <w:tabs>
          <w:tab w:val="left" w:pos="640"/>
        </w:tabs>
        <w:kinsoku/>
        <w:wordWrap/>
        <w:overflowPunct/>
        <w:topLinePunct w:val="0"/>
        <w:autoSpaceDE/>
        <w:autoSpaceDN/>
        <w:bidi w:val="0"/>
        <w:adjustRightInd/>
        <w:snapToGrid/>
        <w:ind w:leftChars="117" w:firstLine="420" w:firstLineChars="200"/>
        <w:textAlignment w:val="auto"/>
        <w:rPr>
          <w:rFonts w:hint="eastAsia" w:ascii="Times New Roman" w:hAnsi="Times New Roman" w:cs="宋体"/>
          <w:color w:val="auto"/>
          <w:highlight w:val="none"/>
        </w:rPr>
      </w:pPr>
      <w:r>
        <w:rPr>
          <w:rFonts w:hint="eastAsia" w:ascii="Times New Roman" w:hAnsi="Times New Roman" w:cs="宋体"/>
          <w:color w:val="auto"/>
          <w:highlight w:val="none"/>
        </w:rPr>
        <w:t>肝</w:t>
      </w:r>
      <w:r>
        <w:rPr>
          <w:rFonts w:hint="eastAsia" w:ascii="Times New Roman" w:hAnsi="Times New Roman" w:cs="宋体"/>
          <w:color w:val="auto"/>
          <w:highlight w:val="none"/>
          <w:lang w:val="en-US" w:eastAsia="zh-CN"/>
        </w:rPr>
        <w:t>功能</w:t>
      </w:r>
      <w:r>
        <w:rPr>
          <w:rFonts w:hint="eastAsia" w:ascii="Times New Roman" w:hAnsi="Times New Roman" w:cs="宋体"/>
          <w:color w:val="auto"/>
          <w:highlight w:val="none"/>
          <w:lang w:eastAsia="zh-CN"/>
        </w:rPr>
        <w:t>：总胆红素、谷丙转氨酶、谷草转氨酶</w:t>
      </w:r>
    </w:p>
    <w:p w14:paraId="13C25514">
      <w:pPr>
        <w:pStyle w:val="5"/>
        <w:keepNext w:val="0"/>
        <w:keepLines w:val="0"/>
        <w:pageBreakBefore w:val="0"/>
        <w:widowControl w:val="0"/>
        <w:numPr>
          <w:ilvl w:val="0"/>
          <w:numId w:val="0"/>
        </w:numPr>
        <w:tabs>
          <w:tab w:val="left" w:pos="640"/>
        </w:tabs>
        <w:kinsoku/>
        <w:wordWrap/>
        <w:overflowPunct/>
        <w:topLinePunct w:val="0"/>
        <w:autoSpaceDE/>
        <w:autoSpaceDN/>
        <w:bidi w:val="0"/>
        <w:adjustRightInd/>
        <w:snapToGrid/>
        <w:ind w:leftChars="117" w:firstLine="420" w:firstLineChars="200"/>
        <w:textAlignment w:val="auto"/>
        <w:rPr>
          <w:rFonts w:hint="eastAsia" w:ascii="Times New Roman" w:hAnsi="Times New Roman" w:eastAsia="宋体" w:cs="宋体"/>
          <w:color w:val="auto"/>
          <w:highlight w:val="none"/>
          <w:lang w:eastAsia="zh-CN"/>
        </w:rPr>
      </w:pPr>
      <w:r>
        <w:rPr>
          <w:rFonts w:hint="eastAsia" w:ascii="Times New Roman" w:hAnsi="Times New Roman" w:cs="宋体"/>
          <w:color w:val="auto"/>
          <w:highlight w:val="none"/>
        </w:rPr>
        <w:t>肾功能</w:t>
      </w:r>
      <w:r>
        <w:rPr>
          <w:rFonts w:hint="eastAsia" w:ascii="Times New Roman" w:hAnsi="Times New Roman" w:cs="宋体"/>
          <w:color w:val="auto"/>
          <w:highlight w:val="none"/>
          <w:lang w:eastAsia="zh-CN"/>
        </w:rPr>
        <w:t>：</w:t>
      </w:r>
      <w:r>
        <w:rPr>
          <w:rFonts w:hint="eastAsia" w:ascii="Times New Roman" w:hAnsi="Times New Roman" w:cs="宋体"/>
          <w:color w:val="auto"/>
          <w:highlight w:val="none"/>
        </w:rPr>
        <w:t>肌酐、</w:t>
      </w:r>
      <w:r>
        <w:rPr>
          <w:rFonts w:hint="eastAsia" w:ascii="Times New Roman" w:hAnsi="Times New Roman" w:cs="宋体"/>
          <w:color w:val="auto"/>
          <w:highlight w:val="none"/>
          <w:lang w:eastAsia="zh-CN"/>
        </w:rPr>
        <w:t>尿素氮/尿素</w:t>
      </w:r>
    </w:p>
    <w:p w14:paraId="3201394C">
      <w:pPr>
        <w:pStyle w:val="5"/>
        <w:keepNext w:val="0"/>
        <w:keepLines w:val="0"/>
        <w:pageBreakBefore w:val="0"/>
        <w:widowControl w:val="0"/>
        <w:numPr>
          <w:ilvl w:val="0"/>
          <w:numId w:val="0"/>
        </w:numPr>
        <w:tabs>
          <w:tab w:val="left" w:pos="640"/>
        </w:tabs>
        <w:kinsoku/>
        <w:wordWrap/>
        <w:overflowPunct/>
        <w:topLinePunct w:val="0"/>
        <w:autoSpaceDE/>
        <w:autoSpaceDN/>
        <w:bidi w:val="0"/>
        <w:adjustRightInd/>
        <w:snapToGrid/>
        <w:ind w:leftChars="117" w:firstLine="420" w:firstLineChars="200"/>
        <w:textAlignment w:val="auto"/>
        <w:rPr>
          <w:rFonts w:ascii="Times New Roman" w:hAnsi="Times New Roman" w:cs="宋体"/>
          <w:color w:val="auto"/>
          <w:highlight w:val="none"/>
        </w:rPr>
      </w:pPr>
      <w:r>
        <w:rPr>
          <w:rFonts w:hint="eastAsia" w:ascii="Times New Roman" w:hAnsi="Times New Roman" w:cs="宋体"/>
          <w:color w:val="auto"/>
          <w:highlight w:val="none"/>
        </w:rPr>
        <w:t>血脂全</w:t>
      </w:r>
      <w:r>
        <w:rPr>
          <w:rFonts w:hint="eastAsia" w:ascii="Times New Roman" w:hAnsi="Times New Roman" w:cs="宋体"/>
          <w:color w:val="auto"/>
          <w:highlight w:val="none"/>
          <w:lang w:val="en-US" w:eastAsia="zh-CN"/>
        </w:rPr>
        <w:t>项</w:t>
      </w:r>
      <w:r>
        <w:rPr>
          <w:rFonts w:hint="eastAsia" w:ascii="Times New Roman" w:hAnsi="Times New Roman" w:cs="宋体"/>
          <w:color w:val="auto"/>
          <w:highlight w:val="none"/>
          <w:lang w:eastAsia="zh-CN"/>
        </w:rPr>
        <w:t>：</w:t>
      </w:r>
      <w:r>
        <w:rPr>
          <w:rFonts w:hint="eastAsia" w:ascii="Times New Roman" w:hAnsi="Times New Roman" w:cs="宋体"/>
          <w:color w:val="auto"/>
          <w:highlight w:val="none"/>
        </w:rPr>
        <w:t>甘油三酯、总胆固醇</w:t>
      </w:r>
      <w:r>
        <w:rPr>
          <w:rFonts w:hint="eastAsia" w:ascii="Times New Roman" w:hAnsi="Times New Roman" w:cs="宋体"/>
          <w:color w:val="auto"/>
          <w:highlight w:val="none"/>
          <w:lang w:eastAsia="zh-CN"/>
        </w:rPr>
        <w:t>、高密度脂蛋白、</w:t>
      </w:r>
      <w:r>
        <w:rPr>
          <w:rFonts w:hint="eastAsia" w:ascii="Times New Roman" w:hAnsi="Times New Roman" w:cs="宋体"/>
          <w:color w:val="auto"/>
          <w:highlight w:val="none"/>
          <w:lang w:val="en-US" w:eastAsia="zh-CN"/>
        </w:rPr>
        <w:t>低密度脂蛋白</w:t>
      </w:r>
    </w:p>
    <w:p w14:paraId="77A5A320">
      <w:pPr>
        <w:pStyle w:val="5"/>
        <w:keepNext w:val="0"/>
        <w:keepLines w:val="0"/>
        <w:pageBreakBefore w:val="0"/>
        <w:widowControl w:val="0"/>
        <w:numPr>
          <w:ilvl w:val="1"/>
          <w:numId w:val="3"/>
        </w:numPr>
        <w:tabs>
          <w:tab w:val="left" w:pos="640"/>
        </w:tabs>
        <w:kinsoku/>
        <w:wordWrap/>
        <w:overflowPunct/>
        <w:topLinePunct w:val="0"/>
        <w:autoSpaceDE/>
        <w:autoSpaceDN/>
        <w:bidi w:val="0"/>
        <w:adjustRightInd/>
        <w:snapToGrid/>
        <w:ind w:left="636" w:leftChars="210" w:hanging="195" w:hangingChars="93"/>
        <w:textAlignment w:val="auto"/>
        <w:rPr>
          <w:rFonts w:ascii="Times New Roman" w:hAnsi="Times New Roman" w:cs="宋体"/>
          <w:color w:val="auto"/>
          <w:highlight w:val="none"/>
        </w:rPr>
      </w:pPr>
      <w:r>
        <w:rPr>
          <w:rFonts w:hint="eastAsia" w:ascii="Times New Roman" w:hAnsi="Times New Roman" w:cs="宋体"/>
          <w:color w:val="auto"/>
          <w:highlight w:val="none"/>
        </w:rPr>
        <w:t>尿常规：尿酮体、尿蛋白、尿糖、尿红细胞、尿白细胞</w:t>
      </w:r>
    </w:p>
    <w:p w14:paraId="08C99834">
      <w:pPr>
        <w:pStyle w:val="5"/>
        <w:keepNext w:val="0"/>
        <w:keepLines w:val="0"/>
        <w:pageBreakBefore w:val="0"/>
        <w:widowControl w:val="0"/>
        <w:numPr>
          <w:ilvl w:val="1"/>
          <w:numId w:val="3"/>
        </w:numPr>
        <w:tabs>
          <w:tab w:val="left" w:pos="640"/>
        </w:tabs>
        <w:kinsoku/>
        <w:wordWrap/>
        <w:overflowPunct/>
        <w:topLinePunct w:val="0"/>
        <w:autoSpaceDE/>
        <w:autoSpaceDN/>
        <w:bidi w:val="0"/>
        <w:adjustRightInd/>
        <w:snapToGrid/>
        <w:ind w:left="636" w:leftChars="210" w:hanging="195" w:hangingChars="93"/>
        <w:textAlignment w:val="auto"/>
        <w:rPr>
          <w:rFonts w:ascii="Times New Roman" w:hAnsi="Times New Roman"/>
          <w:color w:val="auto"/>
          <w:highlight w:val="none"/>
        </w:rPr>
      </w:pPr>
      <w:r>
        <w:rPr>
          <w:rFonts w:hint="eastAsia" w:ascii="Times New Roman" w:hAnsi="Times New Roman" w:cs="宋体"/>
          <w:color w:val="auto"/>
          <w:highlight w:val="none"/>
        </w:rPr>
        <w:t>空腹血糖</w:t>
      </w:r>
    </w:p>
    <w:p w14:paraId="29DE9583">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rPr>
        <w:t>是否满足入排条件的评估</w:t>
      </w:r>
    </w:p>
    <w:p w14:paraId="3724A773">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rPr>
        <w:t>营养</w:t>
      </w:r>
      <w:r>
        <w:rPr>
          <w:rFonts w:hint="eastAsia" w:ascii="Times New Roman" w:hAnsi="Times New Roman" w:cs="宋体"/>
          <w:color w:val="auto"/>
          <w:highlight w:val="none"/>
          <w:lang w:val="en-US" w:eastAsia="zh-CN"/>
        </w:rPr>
        <w:t>充足性指标</w:t>
      </w:r>
      <w:r>
        <w:rPr>
          <w:rFonts w:hint="eastAsia" w:ascii="Times New Roman" w:hAnsi="Times New Roman" w:cs="宋体"/>
          <w:color w:val="auto"/>
          <w:highlight w:val="none"/>
        </w:rPr>
        <w:t>：前白蛋白、</w:t>
      </w:r>
      <w:r>
        <w:rPr>
          <w:rFonts w:hint="eastAsia" w:ascii="Times New Roman" w:hAnsi="Times New Roman" w:cs="宋体"/>
          <w:color w:val="auto"/>
          <w:highlight w:val="none"/>
          <w:lang w:val="en-US" w:eastAsia="zh-CN"/>
        </w:rPr>
        <w:t>血清</w:t>
      </w:r>
      <w:r>
        <w:rPr>
          <w:rFonts w:hint="eastAsia" w:ascii="Times New Roman" w:hAnsi="Times New Roman" w:cs="宋体"/>
          <w:color w:val="auto"/>
          <w:highlight w:val="none"/>
        </w:rPr>
        <w:t>白蛋白</w:t>
      </w:r>
      <w:r>
        <w:rPr>
          <w:rFonts w:hint="eastAsia" w:ascii="Times New Roman" w:hAnsi="Times New Roman" w:cs="宋体"/>
          <w:color w:val="auto"/>
          <w:highlight w:val="none"/>
          <w:lang w:eastAsia="zh-CN"/>
        </w:rPr>
        <w:t>、血红蛋白</w:t>
      </w:r>
    </w:p>
    <w:p w14:paraId="44FDA29A">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lang w:val="en-US" w:eastAsia="zh-CN"/>
        </w:rPr>
        <w:t>特殊医学用途临床效果指标：</w:t>
      </w:r>
    </w:p>
    <w:p w14:paraId="29DDF51C">
      <w:pPr>
        <w:pStyle w:val="5"/>
        <w:keepNext w:val="0"/>
        <w:keepLines w:val="0"/>
        <w:pageBreakBefore w:val="0"/>
        <w:widowControl w:val="0"/>
        <w:numPr>
          <w:ilvl w:val="1"/>
          <w:numId w:val="3"/>
        </w:numPr>
        <w:tabs>
          <w:tab w:val="left" w:pos="640"/>
        </w:tabs>
        <w:kinsoku/>
        <w:wordWrap/>
        <w:overflowPunct/>
        <w:topLinePunct w:val="0"/>
        <w:autoSpaceDE/>
        <w:autoSpaceDN/>
        <w:bidi w:val="0"/>
        <w:adjustRightInd/>
        <w:snapToGrid/>
        <w:ind w:left="636" w:leftChars="210" w:hanging="195" w:hangingChars="93"/>
        <w:textAlignment w:val="auto"/>
        <w:rPr>
          <w:rFonts w:ascii="Times New Roman" w:hAnsi="Times New Roman" w:cs="宋体"/>
          <w:color w:val="auto"/>
          <w:highlight w:val="none"/>
        </w:rPr>
      </w:pPr>
      <w:r>
        <w:rPr>
          <w:rFonts w:hint="eastAsia" w:ascii="Times New Roman" w:hAnsi="Times New Roman" w:cs="宋体"/>
          <w:color w:val="auto"/>
          <w:highlight w:val="none"/>
          <w:lang w:eastAsia="zh-CN"/>
        </w:rPr>
        <w:t>肌肉指标</w:t>
      </w:r>
      <w:r>
        <w:rPr>
          <w:rFonts w:hint="eastAsia" w:ascii="Times New Roman" w:hAnsi="Times New Roman" w:cs="宋体"/>
          <w:color w:val="auto"/>
          <w:highlight w:val="none"/>
        </w:rPr>
        <w:t>：</w:t>
      </w:r>
      <w:r>
        <w:rPr>
          <w:rFonts w:hint="eastAsia" w:ascii="Times New Roman" w:hAnsi="Times New Roman" w:cs="宋体"/>
          <w:color w:val="auto"/>
          <w:highlight w:val="none"/>
          <w:lang w:val="en-US" w:eastAsia="zh-CN"/>
        </w:rPr>
        <w:t>握力、肌肉量、骨骼肌、去脂体重指数</w:t>
      </w:r>
    </w:p>
    <w:p w14:paraId="71FF9BF8">
      <w:pPr>
        <w:pStyle w:val="5"/>
        <w:keepNext w:val="0"/>
        <w:keepLines w:val="0"/>
        <w:pageBreakBefore w:val="0"/>
        <w:widowControl w:val="0"/>
        <w:numPr>
          <w:ilvl w:val="1"/>
          <w:numId w:val="3"/>
        </w:numPr>
        <w:tabs>
          <w:tab w:val="left" w:pos="640"/>
        </w:tabs>
        <w:kinsoku/>
        <w:wordWrap/>
        <w:overflowPunct/>
        <w:topLinePunct w:val="0"/>
        <w:autoSpaceDE/>
        <w:autoSpaceDN/>
        <w:bidi w:val="0"/>
        <w:adjustRightInd/>
        <w:snapToGrid/>
        <w:ind w:left="636" w:leftChars="210" w:hanging="195" w:hangingChars="93"/>
        <w:textAlignment w:val="auto"/>
        <w:rPr>
          <w:rFonts w:hint="eastAsia" w:ascii="Times New Roman" w:hAnsi="Times New Roman" w:cs="宋体"/>
          <w:color w:val="auto"/>
          <w:highlight w:val="none"/>
        </w:rPr>
      </w:pPr>
      <w:r>
        <w:rPr>
          <w:rFonts w:hint="eastAsia" w:ascii="Times New Roman" w:hAnsi="Times New Roman" w:cs="宋体"/>
          <w:color w:val="auto"/>
          <w:highlight w:val="none"/>
          <w:lang w:val="en-US" w:eastAsia="zh-CN"/>
        </w:rPr>
        <w:t>炎性相关指标</w:t>
      </w:r>
      <w:r>
        <w:rPr>
          <w:rFonts w:hint="eastAsia" w:ascii="Times New Roman" w:hAnsi="Times New Roman" w:cs="宋体"/>
          <w:color w:val="auto"/>
          <w:highlight w:val="none"/>
        </w:rPr>
        <w:t>：C反应蛋白</w:t>
      </w:r>
    </w:p>
    <w:p w14:paraId="15CC3F61">
      <w:pPr>
        <w:pStyle w:val="5"/>
        <w:keepNext w:val="0"/>
        <w:keepLines w:val="0"/>
        <w:pageBreakBefore w:val="0"/>
        <w:widowControl w:val="0"/>
        <w:numPr>
          <w:ilvl w:val="1"/>
          <w:numId w:val="3"/>
        </w:numPr>
        <w:tabs>
          <w:tab w:val="left" w:pos="640"/>
        </w:tabs>
        <w:kinsoku/>
        <w:wordWrap/>
        <w:overflowPunct/>
        <w:topLinePunct w:val="0"/>
        <w:autoSpaceDE/>
        <w:autoSpaceDN/>
        <w:bidi w:val="0"/>
        <w:adjustRightInd/>
        <w:snapToGrid/>
        <w:ind w:left="636" w:leftChars="210" w:hanging="195" w:hangingChars="93"/>
        <w:textAlignment w:val="auto"/>
        <w:rPr>
          <w:rFonts w:hint="eastAsia" w:ascii="Times New Roman" w:hAnsi="Times New Roman" w:cs="宋体"/>
          <w:color w:val="auto"/>
          <w:highlight w:val="none"/>
        </w:rPr>
      </w:pPr>
      <w:r>
        <w:rPr>
          <w:rFonts w:hint="eastAsia" w:ascii="Times New Roman" w:hAnsi="Times New Roman" w:cs="宋体"/>
          <w:color w:val="auto"/>
          <w:highlight w:val="none"/>
          <w:lang w:val="en-US" w:eastAsia="zh-CN"/>
        </w:rPr>
        <w:t>免疫相关指标</w:t>
      </w:r>
      <w:r>
        <w:rPr>
          <w:rFonts w:hint="eastAsia" w:ascii="Times New Roman" w:hAnsi="Times New Roman" w:cs="宋体"/>
          <w:color w:val="auto"/>
          <w:highlight w:val="none"/>
        </w:rPr>
        <w:t>：中性粒细胞/淋巴细胞比值</w:t>
      </w:r>
    </w:p>
    <w:p w14:paraId="24A57EAD">
      <w:pPr>
        <w:pStyle w:val="5"/>
        <w:keepNext w:val="0"/>
        <w:keepLines w:val="0"/>
        <w:pageBreakBefore w:val="0"/>
        <w:widowControl w:val="0"/>
        <w:numPr>
          <w:ilvl w:val="1"/>
          <w:numId w:val="3"/>
        </w:numPr>
        <w:tabs>
          <w:tab w:val="left" w:pos="640"/>
        </w:tabs>
        <w:kinsoku/>
        <w:wordWrap/>
        <w:overflowPunct/>
        <w:topLinePunct w:val="0"/>
        <w:autoSpaceDE/>
        <w:autoSpaceDN/>
        <w:bidi w:val="0"/>
        <w:adjustRightInd/>
        <w:snapToGrid/>
        <w:ind w:left="636" w:leftChars="210" w:hanging="195" w:hangingChars="93"/>
        <w:textAlignment w:val="auto"/>
        <w:rPr>
          <w:rFonts w:hint="eastAsia" w:ascii="Times New Roman" w:hAnsi="Times New Roman" w:cs="宋体"/>
          <w:color w:val="auto"/>
          <w:highlight w:val="none"/>
        </w:rPr>
      </w:pPr>
      <w:r>
        <w:rPr>
          <w:rFonts w:hint="eastAsia" w:ascii="Times New Roman" w:hAnsi="Times New Roman" w:cs="宋体"/>
          <w:color w:val="auto"/>
          <w:highlight w:val="none"/>
          <w:lang w:val="en-US" w:eastAsia="zh-CN"/>
        </w:rPr>
        <w:t>代谢相关指标：空腹胰岛素、空腹血糖、空腹血脂</w:t>
      </w:r>
    </w:p>
    <w:p w14:paraId="280F517F">
      <w:pPr>
        <w:pStyle w:val="5"/>
        <w:keepNext w:val="0"/>
        <w:keepLines w:val="0"/>
        <w:pageBreakBefore w:val="0"/>
        <w:widowControl w:val="0"/>
        <w:numPr>
          <w:ilvl w:val="1"/>
          <w:numId w:val="3"/>
        </w:numPr>
        <w:tabs>
          <w:tab w:val="left" w:pos="640"/>
        </w:tabs>
        <w:kinsoku/>
        <w:wordWrap/>
        <w:overflowPunct/>
        <w:topLinePunct w:val="0"/>
        <w:autoSpaceDE/>
        <w:autoSpaceDN/>
        <w:bidi w:val="0"/>
        <w:adjustRightInd/>
        <w:snapToGrid/>
        <w:ind w:left="636" w:leftChars="210" w:hanging="195" w:hangingChars="93"/>
        <w:textAlignment w:val="auto"/>
        <w:rPr>
          <w:rFonts w:ascii="Times New Roman" w:hAnsi="Times New Roman" w:cs="宋体"/>
          <w:color w:val="auto"/>
          <w:highlight w:val="none"/>
        </w:rPr>
      </w:pPr>
      <w:r>
        <w:rPr>
          <w:rFonts w:hint="eastAsia" w:ascii="Times New Roman" w:hAnsi="Times New Roman" w:cs="宋体"/>
          <w:color w:val="auto"/>
          <w:highlight w:val="none"/>
          <w:lang w:val="en-US" w:eastAsia="zh-CN"/>
        </w:rPr>
        <w:t>临床结局指标：生活质量SF-12量表</w:t>
      </w:r>
    </w:p>
    <w:p w14:paraId="5FC64CE2">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rPr>
        <w:t>临床安全性观察：AE、SAE（含消化道反应）</w:t>
      </w:r>
    </w:p>
    <w:p w14:paraId="056C1FA1">
      <w:pPr>
        <w:pStyle w:val="5"/>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cs="宋体"/>
          <w:b/>
          <w:bCs/>
          <w:color w:val="auto"/>
          <w:highlight w:val="none"/>
        </w:rPr>
      </w:pPr>
      <w:bookmarkStart w:id="97" w:name="_Toc9218"/>
      <w:r>
        <w:rPr>
          <w:rFonts w:hint="eastAsia" w:ascii="Times New Roman" w:hAnsi="Times New Roman" w:cs="宋体"/>
          <w:b/>
          <w:bCs/>
          <w:color w:val="auto"/>
          <w:highlight w:val="none"/>
        </w:rPr>
        <w:t>随机及</w:t>
      </w:r>
      <w:r>
        <w:rPr>
          <w:rFonts w:hint="eastAsia" w:ascii="Times New Roman" w:hAnsi="Times New Roman" w:cs="宋体"/>
          <w:b/>
          <w:bCs/>
          <w:color w:val="auto"/>
          <w:highlight w:val="none"/>
          <w:lang w:eastAsia="zh-CN"/>
        </w:rPr>
        <w:t>试验</w:t>
      </w:r>
      <w:r>
        <w:rPr>
          <w:rFonts w:hint="eastAsia" w:ascii="Times New Roman" w:hAnsi="Times New Roman" w:cs="宋体"/>
          <w:b/>
          <w:bCs/>
          <w:color w:val="auto"/>
          <w:highlight w:val="none"/>
        </w:rPr>
        <w:t>物资</w:t>
      </w:r>
      <w:r>
        <w:rPr>
          <w:rFonts w:hint="eastAsia" w:ascii="Times New Roman" w:hAnsi="Times New Roman" w:cs="宋体"/>
          <w:b/>
          <w:bCs/>
          <w:color w:val="auto"/>
          <w:highlight w:val="none"/>
          <w:lang w:val="en-US" w:eastAsia="zh-CN"/>
        </w:rPr>
        <w:t>分发</w:t>
      </w:r>
      <w:r>
        <w:rPr>
          <w:rFonts w:hint="eastAsia" w:ascii="Times New Roman" w:hAnsi="Times New Roman" w:cs="宋体"/>
          <w:b/>
          <w:bCs/>
          <w:color w:val="auto"/>
          <w:highlight w:val="none"/>
        </w:rPr>
        <w:t>：</w:t>
      </w:r>
    </w:p>
    <w:p w14:paraId="44B262F3">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rPr>
        <w:t>如</w:t>
      </w: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rPr>
        <w:t>已完成</w:t>
      </w:r>
      <w:r>
        <w:rPr>
          <w:rFonts w:hint="eastAsia" w:cs="宋体"/>
          <w:color w:val="auto"/>
          <w:highlight w:val="none"/>
          <w:lang w:val="en-US" w:eastAsia="zh-CN"/>
        </w:rPr>
        <w:t>筛选</w:t>
      </w:r>
      <w:r>
        <w:rPr>
          <w:rFonts w:hint="eastAsia" w:ascii="Times New Roman" w:hAnsi="Times New Roman" w:cs="宋体"/>
          <w:color w:val="auto"/>
          <w:highlight w:val="none"/>
        </w:rPr>
        <w:t>相关评估，符合入组标准，不符合任何一条排除标准，研究者</w:t>
      </w:r>
      <w:r>
        <w:rPr>
          <w:rFonts w:hint="eastAsia" w:cs="宋体"/>
          <w:color w:val="auto"/>
          <w:highlight w:val="none"/>
          <w:lang w:val="en-US" w:eastAsia="zh-CN"/>
        </w:rPr>
        <w:t>将</w:t>
      </w:r>
      <w:r>
        <w:rPr>
          <w:rFonts w:hint="eastAsia" w:ascii="Times New Roman" w:hAnsi="Times New Roman" w:cs="宋体"/>
          <w:color w:val="auto"/>
          <w:highlight w:val="none"/>
        </w:rPr>
        <w:t>获得</w:t>
      </w: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rPr>
        <w:t>的随机号及分组信息。</w:t>
      </w:r>
    </w:p>
    <w:p w14:paraId="59B4CBBB">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rPr>
        <w:t>分发试验</w:t>
      </w:r>
      <w:r>
        <w:rPr>
          <w:rFonts w:hint="eastAsia" w:cs="宋体"/>
          <w:color w:val="auto"/>
          <w:highlight w:val="none"/>
          <w:lang w:val="en-US" w:eastAsia="zh-CN"/>
        </w:rPr>
        <w:t>物资</w:t>
      </w:r>
      <w:r>
        <w:rPr>
          <w:rFonts w:hint="eastAsia" w:ascii="Times New Roman" w:hAnsi="Times New Roman" w:cs="宋体"/>
          <w:color w:val="auto"/>
          <w:highlight w:val="none"/>
        </w:rPr>
        <w:t>。</w:t>
      </w:r>
    </w:p>
    <w:p w14:paraId="48B9DE44">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hint="eastAsia" w:cs="黑体"/>
          <w:b/>
          <w:bCs/>
          <w:color w:val="auto"/>
          <w:szCs w:val="21"/>
          <w:highlight w:val="none"/>
          <w:lang w:val="en-US" w:eastAsia="zh-CN"/>
        </w:rPr>
      </w:pPr>
      <w:bookmarkStart w:id="98" w:name="_Toc24076"/>
      <w:r>
        <w:rPr>
          <w:rFonts w:hint="eastAsia" w:cs="黑体"/>
          <w:b/>
          <w:bCs/>
          <w:color w:val="auto"/>
          <w:szCs w:val="21"/>
          <w:highlight w:val="none"/>
          <w:lang w:val="en-US" w:eastAsia="zh-CN"/>
        </w:rPr>
        <w:t>服用</w:t>
      </w:r>
      <w:r>
        <w:rPr>
          <w:rFonts w:hint="eastAsia" w:ascii="Times New Roman" w:hAnsi="Times New Roman" w:cs="黑体"/>
          <w:b/>
          <w:bCs/>
          <w:color w:val="auto"/>
          <w:szCs w:val="21"/>
          <w:highlight w:val="none"/>
          <w:lang w:val="en-US" w:eastAsia="zh-CN"/>
        </w:rPr>
        <w:t>周期</w:t>
      </w:r>
      <w:r>
        <w:rPr>
          <w:rFonts w:hint="eastAsia" w:cs="黑体"/>
          <w:b/>
          <w:bCs/>
          <w:color w:val="auto"/>
          <w:szCs w:val="21"/>
          <w:highlight w:val="none"/>
          <w:lang w:val="en-US" w:eastAsia="zh-CN"/>
        </w:rPr>
        <w:t>（20(±1)天）</w:t>
      </w:r>
      <w:bookmarkEnd w:id="98"/>
    </w:p>
    <w:bookmarkEnd w:id="97"/>
    <w:p w14:paraId="40E66D48">
      <w:pPr>
        <w:pStyle w:val="5"/>
        <w:keepNext w:val="0"/>
        <w:keepLines w:val="0"/>
        <w:pageBreakBefore w:val="0"/>
        <w:widowControl w:val="0"/>
        <w:numPr>
          <w:ilvl w:val="0"/>
          <w:numId w:val="0"/>
        </w:numPr>
        <w:tabs>
          <w:tab w:val="left" w:pos="640"/>
        </w:tabs>
        <w:kinsoku/>
        <w:wordWrap/>
        <w:overflowPunct/>
        <w:topLinePunct w:val="0"/>
        <w:autoSpaceDE/>
        <w:autoSpaceDN/>
        <w:bidi w:val="0"/>
        <w:adjustRightInd/>
        <w:snapToGrid/>
        <w:ind w:leftChars="0" w:firstLine="420" w:firstLineChars="200"/>
        <w:textAlignment w:val="auto"/>
        <w:rPr>
          <w:rFonts w:hint="default" w:ascii="Times New Roman" w:hAnsi="Times New Roman" w:eastAsia="宋体" w:cs="宋体"/>
          <w:color w:val="auto"/>
          <w:highlight w:val="none"/>
          <w:lang w:val="en-US" w:eastAsia="zh-CN"/>
        </w:rPr>
      </w:pPr>
      <w:r>
        <w:rPr>
          <w:rFonts w:hint="eastAsia" w:eastAsia="宋体" w:cs="黑体"/>
          <w:color w:val="auto"/>
          <w:sz w:val="21"/>
          <w:szCs w:val="21"/>
          <w:highlight w:val="none"/>
          <w:lang w:val="en-US" w:eastAsia="zh-CN"/>
        </w:rPr>
        <w:t>以第一次服用试验产品或对照产品的日期作为第1天</w:t>
      </w:r>
      <w:r>
        <w:rPr>
          <w:rFonts w:hint="eastAsia" w:cs="黑体"/>
          <w:color w:val="auto"/>
          <w:sz w:val="21"/>
          <w:szCs w:val="21"/>
          <w:highlight w:val="none"/>
          <w:lang w:val="en-US" w:eastAsia="zh-CN"/>
        </w:rPr>
        <w:t>，服用周期内</w:t>
      </w:r>
      <w:r>
        <w:rPr>
          <w:rFonts w:hint="eastAsia" w:ascii="Times New Roman" w:hAnsi="Times New Roman" w:cs="宋体"/>
          <w:color w:val="auto"/>
          <w:highlight w:val="none"/>
          <w:lang w:val="en-US" w:eastAsia="zh-CN"/>
        </w:rPr>
        <w:t>以下几项</w:t>
      </w:r>
      <w:r>
        <w:rPr>
          <w:rFonts w:hint="eastAsia" w:cs="宋体"/>
          <w:color w:val="auto"/>
          <w:highlight w:val="none"/>
          <w:lang w:val="en-US" w:eastAsia="zh-CN"/>
        </w:rPr>
        <w:t>需</w:t>
      </w:r>
      <w:r>
        <w:rPr>
          <w:rFonts w:hint="eastAsia" w:ascii="Times New Roman" w:hAnsi="Times New Roman" w:cs="宋体"/>
          <w:color w:val="auto"/>
          <w:highlight w:val="none"/>
          <w:lang w:val="en-US" w:eastAsia="zh-CN"/>
        </w:rPr>
        <w:t>每天记录：</w:t>
      </w:r>
    </w:p>
    <w:p w14:paraId="23CDB269">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lang w:val="en-US" w:eastAsia="zh-CN"/>
        </w:rPr>
        <w:t>每日摄入</w:t>
      </w:r>
      <w:r>
        <w:rPr>
          <w:rFonts w:hint="eastAsia" w:cs="宋体"/>
          <w:color w:val="auto"/>
          <w:highlight w:val="none"/>
          <w:lang w:val="en-US" w:eastAsia="zh-CN"/>
        </w:rPr>
        <w:t>情况</w:t>
      </w:r>
    </w:p>
    <w:p w14:paraId="670FA9ED">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rPr>
        <w:t>依从性</w:t>
      </w:r>
    </w:p>
    <w:p w14:paraId="79E030AF">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rPr>
        <w:t>对</w:t>
      </w:r>
      <w:r>
        <w:rPr>
          <w:rFonts w:hint="eastAsia" w:ascii="Times New Roman" w:hAnsi="Times New Roman" w:cs="宋体"/>
          <w:color w:val="auto"/>
          <w:highlight w:val="none"/>
          <w:lang w:val="en-US" w:eastAsia="zh-CN"/>
        </w:rPr>
        <w:t>每日摄入</w:t>
      </w:r>
      <w:r>
        <w:rPr>
          <w:rFonts w:hint="eastAsia" w:cs="宋体"/>
          <w:color w:val="auto"/>
          <w:highlight w:val="none"/>
          <w:lang w:val="en-US" w:eastAsia="zh-CN"/>
        </w:rPr>
        <w:t>情况</w:t>
      </w:r>
      <w:r>
        <w:rPr>
          <w:rFonts w:hint="eastAsia" w:ascii="Times New Roman" w:hAnsi="Times New Roman" w:cs="宋体"/>
          <w:color w:val="auto"/>
          <w:highlight w:val="none"/>
        </w:rPr>
        <w:t>的审核/评估</w:t>
      </w:r>
    </w:p>
    <w:p w14:paraId="736B044B">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rPr>
        <w:t>合并用药</w:t>
      </w:r>
    </w:p>
    <w:p w14:paraId="2686A2A1">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lang w:eastAsia="zh-CN"/>
        </w:rPr>
        <w:t>临床安全性观察：AE、SAE（含消化道反</w:t>
      </w:r>
      <w:r>
        <w:rPr>
          <w:rFonts w:hint="eastAsia" w:ascii="Times New Roman" w:hAnsi="Times New Roman" w:cs="宋体"/>
          <w:color w:val="auto"/>
          <w:highlight w:val="none"/>
          <w:lang w:val="en-US" w:eastAsia="zh-CN"/>
        </w:rPr>
        <w:t>应</w:t>
      </w:r>
      <w:r>
        <w:rPr>
          <w:rFonts w:hint="eastAsia" w:ascii="Times New Roman" w:hAnsi="Times New Roman" w:cs="宋体"/>
          <w:color w:val="auto"/>
          <w:highlight w:val="none"/>
          <w:lang w:eastAsia="zh-CN"/>
        </w:rPr>
        <w:t>）</w:t>
      </w:r>
    </w:p>
    <w:p w14:paraId="70B4B0B2">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lang w:val="en-US" w:eastAsia="zh-CN"/>
        </w:rPr>
        <w:t>受试者若提前终止试验，应及时联系经</w:t>
      </w:r>
      <w:r>
        <w:rPr>
          <w:rFonts w:hint="eastAsia" w:ascii="Times New Roman" w:hAnsi="Times New Roman" w:cs="宋体"/>
          <w:color w:val="auto"/>
          <w:highlight w:val="none"/>
        </w:rPr>
        <w:t>授权人员</w:t>
      </w:r>
      <w:r>
        <w:rPr>
          <w:rFonts w:hint="eastAsia" w:ascii="Times New Roman" w:hAnsi="Times New Roman" w:cs="宋体"/>
          <w:color w:val="auto"/>
          <w:highlight w:val="none"/>
          <w:lang w:val="en-US" w:eastAsia="zh-CN"/>
        </w:rPr>
        <w:t>寄回试验物资</w:t>
      </w:r>
    </w:p>
    <w:p w14:paraId="036CF292">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99" w:name="_Toc5324"/>
      <w:bookmarkStart w:id="100" w:name="_Toc10513"/>
      <w:bookmarkStart w:id="101" w:name="_Toc3136"/>
      <w:r>
        <w:rPr>
          <w:rFonts w:hint="eastAsia" w:ascii="Times New Roman" w:hAnsi="Times New Roman" w:cs="黑体"/>
          <w:b/>
          <w:bCs/>
          <w:color w:val="auto"/>
          <w:szCs w:val="21"/>
          <w:highlight w:val="none"/>
        </w:rPr>
        <w:t>末次访视（第21(±1)天空腹状态）</w:t>
      </w:r>
      <w:bookmarkEnd w:id="99"/>
      <w:bookmarkEnd w:id="100"/>
      <w:bookmarkEnd w:id="101"/>
    </w:p>
    <w:p w14:paraId="2604A69B">
      <w:pPr>
        <w:pStyle w:val="5"/>
        <w:keepNext w:val="0"/>
        <w:keepLines w:val="0"/>
        <w:pageBreakBefore w:val="0"/>
        <w:widowControl w:val="0"/>
        <w:numPr>
          <w:ilvl w:val="0"/>
          <w:numId w:val="0"/>
        </w:numPr>
        <w:tabs>
          <w:tab w:val="left" w:pos="640"/>
        </w:tabs>
        <w:kinsoku/>
        <w:wordWrap/>
        <w:overflowPunct/>
        <w:topLinePunct w:val="0"/>
        <w:autoSpaceDE/>
        <w:autoSpaceDN/>
        <w:bidi w:val="0"/>
        <w:adjustRightInd/>
        <w:snapToGrid/>
        <w:ind w:leftChars="0" w:firstLine="422" w:firstLineChars="200"/>
        <w:textAlignment w:val="auto"/>
        <w:rPr>
          <w:rFonts w:hint="eastAsia" w:ascii="Times New Roman" w:hAnsi="Times New Roman" w:eastAsia="宋体" w:cs="黑体"/>
          <w:b/>
          <w:bCs/>
          <w:color w:val="auto"/>
          <w:szCs w:val="21"/>
          <w:highlight w:val="none"/>
          <w:lang w:eastAsia="zh-CN"/>
        </w:rPr>
      </w:pPr>
      <w:r>
        <w:rPr>
          <w:rFonts w:hint="eastAsia" w:ascii="Times New Roman" w:hAnsi="Times New Roman" w:cs="黑体"/>
          <w:b/>
          <w:bCs/>
          <w:color w:val="auto"/>
          <w:szCs w:val="21"/>
          <w:highlight w:val="none"/>
        </w:rPr>
        <w:t>末次访视</w:t>
      </w:r>
      <w:r>
        <w:rPr>
          <w:rFonts w:hint="eastAsia" w:ascii="Times New Roman" w:hAnsi="Times New Roman" w:cs="黑体"/>
          <w:b/>
          <w:bCs/>
          <w:color w:val="auto"/>
          <w:szCs w:val="21"/>
          <w:highlight w:val="none"/>
          <w:lang w:val="en-US" w:eastAsia="zh-CN"/>
        </w:rPr>
        <w:t>时间</w:t>
      </w:r>
      <w:r>
        <w:rPr>
          <w:rFonts w:hint="eastAsia" w:ascii="Times New Roman" w:hAnsi="Times New Roman" w:cs="黑体"/>
          <w:b/>
          <w:bCs/>
          <w:color w:val="auto"/>
          <w:szCs w:val="21"/>
          <w:highlight w:val="none"/>
        </w:rPr>
        <w:t>为第21(±1)天，受试者需在完成</w:t>
      </w:r>
      <w:r>
        <w:rPr>
          <w:rFonts w:hint="eastAsia" w:cs="黑体"/>
          <w:b/>
          <w:bCs/>
          <w:color w:val="auto"/>
          <w:szCs w:val="21"/>
          <w:highlight w:val="none"/>
          <w:lang w:val="en-US" w:eastAsia="zh-CN"/>
        </w:rPr>
        <w:t>产品</w:t>
      </w:r>
      <w:r>
        <w:rPr>
          <w:rFonts w:hint="eastAsia" w:ascii="Times New Roman" w:hAnsi="Times New Roman" w:cs="黑体"/>
          <w:b/>
          <w:bCs/>
          <w:color w:val="auto"/>
          <w:szCs w:val="21"/>
          <w:highlight w:val="none"/>
        </w:rPr>
        <w:t>服用后次日空腹状态下采集血样</w:t>
      </w:r>
      <w:r>
        <w:rPr>
          <w:rFonts w:hint="eastAsia" w:cs="黑体"/>
          <w:b/>
          <w:bCs/>
          <w:color w:val="auto"/>
          <w:szCs w:val="21"/>
          <w:highlight w:val="none"/>
          <w:lang w:eastAsia="zh-CN"/>
        </w:rPr>
        <w:t>。</w:t>
      </w:r>
    </w:p>
    <w:p w14:paraId="20C7697E">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rPr>
        <w:t>体重</w:t>
      </w:r>
    </w:p>
    <w:p w14:paraId="5DF1B6AB">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rPr>
        <w:t>生命体征检查</w:t>
      </w:r>
      <w:r>
        <w:rPr>
          <w:rFonts w:hint="eastAsia" w:ascii="Times New Roman" w:hAnsi="Times New Roman" w:cs="宋体"/>
          <w:color w:val="auto"/>
          <w:szCs w:val="21"/>
          <w:highlight w:val="none"/>
          <w:lang w:eastAsia="zh-CN"/>
        </w:rPr>
        <w:t>（</w:t>
      </w:r>
      <w:r>
        <w:rPr>
          <w:rFonts w:hint="eastAsia" w:ascii="Times New Roman" w:hAnsi="Times New Roman" w:eastAsia="宋体" w:cs="宋体"/>
          <w:color w:val="auto"/>
          <w:szCs w:val="21"/>
          <w:highlight w:val="none"/>
        </w:rPr>
        <w:t>体温</w:t>
      </w:r>
      <w:r>
        <w:rPr>
          <w:rFonts w:hint="eastAsia" w:ascii="Times New Roman" w:hAnsi="Times New Roman" w:cs="宋体"/>
          <w:color w:val="auto"/>
          <w:szCs w:val="21"/>
          <w:highlight w:val="none"/>
          <w:lang w:eastAsia="zh-CN"/>
        </w:rPr>
        <w:t>、脉搏</w:t>
      </w:r>
      <w:r>
        <w:rPr>
          <w:rFonts w:hint="eastAsia" w:ascii="Times New Roman" w:hAnsi="Times New Roman" w:eastAsia="宋体" w:cs="宋体"/>
          <w:color w:val="auto"/>
          <w:szCs w:val="21"/>
          <w:highlight w:val="none"/>
        </w:rPr>
        <w:t>、</w:t>
      </w:r>
      <w:r>
        <w:rPr>
          <w:rFonts w:hint="eastAsia" w:ascii="Times New Roman" w:hAnsi="Times New Roman" w:cs="宋体"/>
          <w:color w:val="auto"/>
          <w:szCs w:val="21"/>
          <w:highlight w:val="none"/>
          <w:lang w:val="en-US" w:eastAsia="zh-CN"/>
        </w:rPr>
        <w:t>呼吸</w:t>
      </w:r>
      <w:r>
        <w:rPr>
          <w:rFonts w:hint="eastAsia" w:ascii="Times New Roman" w:hAnsi="Times New Roman" w:eastAsia="宋体" w:cs="宋体"/>
          <w:color w:val="auto"/>
          <w:szCs w:val="21"/>
          <w:highlight w:val="none"/>
        </w:rPr>
        <w:t>、血压</w:t>
      </w:r>
      <w:r>
        <w:rPr>
          <w:rFonts w:hint="eastAsia" w:ascii="Times New Roman" w:hAnsi="Times New Roman" w:cs="宋体"/>
          <w:color w:val="auto"/>
          <w:szCs w:val="21"/>
          <w:highlight w:val="none"/>
          <w:lang w:eastAsia="zh-CN"/>
        </w:rPr>
        <w:t>）</w:t>
      </w:r>
    </w:p>
    <w:p w14:paraId="0675B131">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rPr>
        <w:t>实验室检查：</w:t>
      </w:r>
    </w:p>
    <w:p w14:paraId="108D0C51">
      <w:pPr>
        <w:pStyle w:val="5"/>
        <w:keepNext w:val="0"/>
        <w:keepLines w:val="0"/>
        <w:pageBreakBefore w:val="0"/>
        <w:widowControl w:val="0"/>
        <w:numPr>
          <w:ilvl w:val="1"/>
          <w:numId w:val="3"/>
        </w:numPr>
        <w:tabs>
          <w:tab w:val="left" w:pos="640"/>
        </w:tabs>
        <w:kinsoku/>
        <w:wordWrap/>
        <w:overflowPunct/>
        <w:topLinePunct w:val="0"/>
        <w:autoSpaceDE/>
        <w:autoSpaceDN/>
        <w:bidi w:val="0"/>
        <w:adjustRightInd/>
        <w:snapToGrid/>
        <w:ind w:left="636" w:leftChars="210" w:hanging="195" w:hangingChars="93"/>
        <w:textAlignment w:val="auto"/>
        <w:rPr>
          <w:rFonts w:ascii="Times New Roman" w:hAnsi="Times New Roman" w:cs="宋体"/>
          <w:color w:val="auto"/>
          <w:highlight w:val="none"/>
        </w:rPr>
      </w:pPr>
      <w:r>
        <w:rPr>
          <w:rFonts w:hint="eastAsia" w:ascii="Times New Roman" w:hAnsi="Times New Roman" w:cs="宋体"/>
          <w:color w:val="auto"/>
          <w:highlight w:val="none"/>
        </w:rPr>
        <w:t>血常规：血红蛋白、红细胞计数、血小板计数、白细胞计数及分类（包括中性粒细胞、嗜酸性粒细胞、嗜碱性粒细胞、淋巴细胞和单核细胞）</w:t>
      </w:r>
    </w:p>
    <w:p w14:paraId="1F2C7999">
      <w:pPr>
        <w:pStyle w:val="5"/>
        <w:keepNext w:val="0"/>
        <w:keepLines w:val="0"/>
        <w:pageBreakBefore w:val="0"/>
        <w:widowControl w:val="0"/>
        <w:numPr>
          <w:ilvl w:val="1"/>
          <w:numId w:val="3"/>
        </w:numPr>
        <w:tabs>
          <w:tab w:val="left" w:pos="640"/>
        </w:tabs>
        <w:kinsoku/>
        <w:wordWrap/>
        <w:overflowPunct/>
        <w:topLinePunct w:val="0"/>
        <w:autoSpaceDE/>
        <w:autoSpaceDN/>
        <w:bidi w:val="0"/>
        <w:adjustRightInd/>
        <w:snapToGrid/>
        <w:ind w:left="636" w:leftChars="210" w:hanging="195" w:hangingChars="93"/>
        <w:textAlignment w:val="auto"/>
        <w:rPr>
          <w:rFonts w:ascii="Times New Roman" w:hAnsi="Times New Roman" w:cs="宋体"/>
          <w:color w:val="auto"/>
          <w:highlight w:val="none"/>
        </w:rPr>
      </w:pPr>
      <w:r>
        <w:rPr>
          <w:rFonts w:hint="eastAsia" w:ascii="Times New Roman" w:hAnsi="Times New Roman" w:cs="宋体"/>
          <w:color w:val="auto"/>
          <w:highlight w:val="none"/>
        </w:rPr>
        <w:t>血生化：</w:t>
      </w:r>
    </w:p>
    <w:p w14:paraId="3A81FA05">
      <w:pPr>
        <w:pStyle w:val="5"/>
        <w:keepNext w:val="0"/>
        <w:keepLines w:val="0"/>
        <w:pageBreakBefore w:val="0"/>
        <w:widowControl w:val="0"/>
        <w:numPr>
          <w:ilvl w:val="0"/>
          <w:numId w:val="0"/>
        </w:numPr>
        <w:tabs>
          <w:tab w:val="left" w:pos="640"/>
        </w:tabs>
        <w:kinsoku/>
        <w:wordWrap/>
        <w:overflowPunct/>
        <w:topLinePunct w:val="0"/>
        <w:autoSpaceDE/>
        <w:autoSpaceDN/>
        <w:bidi w:val="0"/>
        <w:adjustRightInd/>
        <w:snapToGrid/>
        <w:ind w:leftChars="117" w:firstLine="420" w:firstLineChars="200"/>
        <w:textAlignment w:val="auto"/>
        <w:rPr>
          <w:rFonts w:hint="eastAsia" w:ascii="Times New Roman" w:hAnsi="Times New Roman" w:cs="宋体"/>
          <w:color w:val="auto"/>
          <w:highlight w:val="none"/>
        </w:rPr>
      </w:pPr>
      <w:r>
        <w:rPr>
          <w:rFonts w:hint="eastAsia" w:ascii="Times New Roman" w:hAnsi="Times New Roman" w:cs="宋体"/>
          <w:color w:val="auto"/>
          <w:highlight w:val="none"/>
        </w:rPr>
        <w:t>肝功能</w:t>
      </w:r>
      <w:r>
        <w:rPr>
          <w:rFonts w:hint="eastAsia" w:ascii="Times New Roman" w:hAnsi="Times New Roman" w:cs="宋体"/>
          <w:color w:val="auto"/>
          <w:highlight w:val="none"/>
          <w:lang w:eastAsia="zh-CN"/>
        </w:rPr>
        <w:t>：</w:t>
      </w:r>
      <w:r>
        <w:rPr>
          <w:rFonts w:hint="eastAsia" w:ascii="Times New Roman" w:hAnsi="Times New Roman" w:cs="宋体"/>
          <w:color w:val="auto"/>
          <w:highlight w:val="none"/>
          <w:lang w:val="en-US" w:eastAsia="zh-CN"/>
        </w:rPr>
        <w:t>谷丙转氨酶、谷草转氨酶、总胆红素</w:t>
      </w:r>
    </w:p>
    <w:p w14:paraId="7F775DCD">
      <w:pPr>
        <w:pStyle w:val="5"/>
        <w:keepNext w:val="0"/>
        <w:keepLines w:val="0"/>
        <w:pageBreakBefore w:val="0"/>
        <w:widowControl w:val="0"/>
        <w:numPr>
          <w:ilvl w:val="0"/>
          <w:numId w:val="0"/>
        </w:numPr>
        <w:tabs>
          <w:tab w:val="left" w:pos="640"/>
        </w:tabs>
        <w:kinsoku/>
        <w:wordWrap/>
        <w:overflowPunct/>
        <w:topLinePunct w:val="0"/>
        <w:autoSpaceDE/>
        <w:autoSpaceDN/>
        <w:bidi w:val="0"/>
        <w:adjustRightInd/>
        <w:snapToGrid/>
        <w:ind w:leftChars="117" w:firstLine="420" w:firstLineChars="200"/>
        <w:textAlignment w:val="auto"/>
        <w:rPr>
          <w:rFonts w:hint="default" w:ascii="Times New Roman" w:hAnsi="Times New Roman" w:eastAsia="宋体" w:cs="宋体"/>
          <w:color w:val="auto"/>
          <w:highlight w:val="none"/>
          <w:lang w:val="en-US" w:eastAsia="zh-CN"/>
        </w:rPr>
      </w:pPr>
      <w:r>
        <w:rPr>
          <w:rFonts w:hint="eastAsia" w:ascii="Times New Roman" w:hAnsi="Times New Roman" w:cs="宋体"/>
          <w:color w:val="auto"/>
          <w:highlight w:val="none"/>
        </w:rPr>
        <w:t>肾功能</w:t>
      </w:r>
      <w:r>
        <w:rPr>
          <w:rFonts w:hint="eastAsia" w:ascii="Times New Roman" w:hAnsi="Times New Roman" w:cs="宋体"/>
          <w:color w:val="auto"/>
          <w:highlight w:val="none"/>
          <w:lang w:eastAsia="zh-CN"/>
        </w:rPr>
        <w:t>：</w:t>
      </w:r>
      <w:r>
        <w:rPr>
          <w:rFonts w:hint="eastAsia" w:ascii="Times New Roman" w:hAnsi="Times New Roman" w:cs="宋体"/>
          <w:color w:val="auto"/>
          <w:highlight w:val="none"/>
          <w:lang w:val="en-US" w:eastAsia="zh-CN"/>
        </w:rPr>
        <w:t>肌酐、尿素氮/尿素</w:t>
      </w:r>
    </w:p>
    <w:p w14:paraId="39FCA018">
      <w:pPr>
        <w:pStyle w:val="5"/>
        <w:keepNext w:val="0"/>
        <w:keepLines w:val="0"/>
        <w:pageBreakBefore w:val="0"/>
        <w:widowControl w:val="0"/>
        <w:numPr>
          <w:ilvl w:val="0"/>
          <w:numId w:val="0"/>
        </w:numPr>
        <w:tabs>
          <w:tab w:val="left" w:pos="640"/>
        </w:tabs>
        <w:kinsoku/>
        <w:wordWrap/>
        <w:overflowPunct/>
        <w:topLinePunct w:val="0"/>
        <w:autoSpaceDE/>
        <w:autoSpaceDN/>
        <w:bidi w:val="0"/>
        <w:adjustRightInd/>
        <w:snapToGrid/>
        <w:ind w:leftChars="117" w:firstLine="420" w:firstLineChars="200"/>
        <w:textAlignment w:val="auto"/>
        <w:rPr>
          <w:rFonts w:hint="default" w:ascii="Times New Roman" w:hAnsi="Times New Roman" w:eastAsia="宋体" w:cs="宋体"/>
          <w:color w:val="auto"/>
          <w:highlight w:val="none"/>
          <w:lang w:val="en-US" w:eastAsia="zh-CN"/>
        </w:rPr>
      </w:pPr>
      <w:r>
        <w:rPr>
          <w:rFonts w:hint="eastAsia" w:ascii="Times New Roman" w:hAnsi="Times New Roman" w:cs="宋体"/>
          <w:color w:val="auto"/>
          <w:highlight w:val="none"/>
        </w:rPr>
        <w:t>血脂全</w:t>
      </w:r>
      <w:r>
        <w:rPr>
          <w:rFonts w:hint="eastAsia" w:ascii="Times New Roman" w:hAnsi="Times New Roman" w:cs="宋体"/>
          <w:color w:val="auto"/>
          <w:highlight w:val="none"/>
          <w:lang w:val="en-US" w:eastAsia="zh-CN"/>
        </w:rPr>
        <w:t>项：总胆固醇、甘油三脂、高密度脂蛋白、低密度脂蛋白</w:t>
      </w:r>
    </w:p>
    <w:p w14:paraId="7F8AF5EC">
      <w:pPr>
        <w:pStyle w:val="5"/>
        <w:keepNext w:val="0"/>
        <w:keepLines w:val="0"/>
        <w:pageBreakBefore w:val="0"/>
        <w:widowControl w:val="0"/>
        <w:numPr>
          <w:ilvl w:val="1"/>
          <w:numId w:val="3"/>
        </w:numPr>
        <w:tabs>
          <w:tab w:val="left" w:pos="640"/>
        </w:tabs>
        <w:kinsoku/>
        <w:wordWrap/>
        <w:overflowPunct/>
        <w:topLinePunct w:val="0"/>
        <w:autoSpaceDE/>
        <w:autoSpaceDN/>
        <w:bidi w:val="0"/>
        <w:adjustRightInd/>
        <w:snapToGrid/>
        <w:ind w:left="636" w:leftChars="210" w:hanging="195" w:hangingChars="93"/>
        <w:textAlignment w:val="auto"/>
        <w:rPr>
          <w:rFonts w:ascii="Times New Roman" w:hAnsi="Times New Roman" w:cs="宋体"/>
          <w:color w:val="auto"/>
          <w:highlight w:val="none"/>
        </w:rPr>
      </w:pPr>
      <w:r>
        <w:rPr>
          <w:rFonts w:hint="eastAsia" w:ascii="Times New Roman" w:hAnsi="Times New Roman" w:cs="宋体"/>
          <w:color w:val="auto"/>
          <w:highlight w:val="none"/>
        </w:rPr>
        <w:t>尿常规：尿酮体、尿蛋白、尿糖、尿红细胞、尿白细胞</w:t>
      </w:r>
    </w:p>
    <w:p w14:paraId="51C5DCBC">
      <w:pPr>
        <w:pStyle w:val="5"/>
        <w:keepNext w:val="0"/>
        <w:keepLines w:val="0"/>
        <w:pageBreakBefore w:val="0"/>
        <w:widowControl w:val="0"/>
        <w:numPr>
          <w:ilvl w:val="1"/>
          <w:numId w:val="3"/>
        </w:numPr>
        <w:tabs>
          <w:tab w:val="left" w:pos="640"/>
        </w:tabs>
        <w:kinsoku/>
        <w:wordWrap/>
        <w:overflowPunct/>
        <w:topLinePunct w:val="0"/>
        <w:autoSpaceDE/>
        <w:autoSpaceDN/>
        <w:bidi w:val="0"/>
        <w:adjustRightInd/>
        <w:snapToGrid/>
        <w:ind w:left="636" w:leftChars="210" w:hanging="195" w:hangingChars="93"/>
        <w:textAlignment w:val="auto"/>
        <w:rPr>
          <w:rFonts w:ascii="Times New Roman" w:hAnsi="Times New Roman" w:cs="宋体"/>
          <w:color w:val="auto"/>
          <w:highlight w:val="none"/>
        </w:rPr>
      </w:pPr>
      <w:r>
        <w:rPr>
          <w:rFonts w:hint="eastAsia" w:ascii="Times New Roman" w:hAnsi="Times New Roman" w:cs="宋体"/>
          <w:color w:val="auto"/>
          <w:highlight w:val="none"/>
        </w:rPr>
        <w:t>空腹血糖</w:t>
      </w:r>
    </w:p>
    <w:p w14:paraId="38C8DF7F">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rPr>
        <w:t>营养</w:t>
      </w:r>
      <w:r>
        <w:rPr>
          <w:rFonts w:hint="eastAsia" w:ascii="Times New Roman" w:hAnsi="Times New Roman" w:cs="宋体"/>
          <w:color w:val="auto"/>
          <w:highlight w:val="none"/>
          <w:lang w:val="en-US" w:eastAsia="zh-CN"/>
        </w:rPr>
        <w:t>充足性指标</w:t>
      </w:r>
      <w:r>
        <w:rPr>
          <w:rFonts w:hint="eastAsia" w:ascii="Times New Roman" w:hAnsi="Times New Roman" w:cs="宋体"/>
          <w:color w:val="auto"/>
          <w:highlight w:val="none"/>
        </w:rPr>
        <w:t>：前白蛋白、</w:t>
      </w:r>
      <w:r>
        <w:rPr>
          <w:rFonts w:hint="eastAsia" w:ascii="Times New Roman" w:hAnsi="Times New Roman" w:cs="宋体"/>
          <w:color w:val="auto"/>
          <w:highlight w:val="none"/>
          <w:lang w:val="en-US" w:eastAsia="zh-CN"/>
        </w:rPr>
        <w:t>血清</w:t>
      </w:r>
      <w:r>
        <w:rPr>
          <w:rFonts w:hint="eastAsia" w:ascii="Times New Roman" w:hAnsi="Times New Roman" w:cs="宋体"/>
          <w:color w:val="auto"/>
          <w:highlight w:val="none"/>
        </w:rPr>
        <w:t>白蛋白</w:t>
      </w:r>
      <w:r>
        <w:rPr>
          <w:rFonts w:hint="eastAsia" w:ascii="Times New Roman" w:hAnsi="Times New Roman" w:cs="宋体"/>
          <w:color w:val="auto"/>
          <w:highlight w:val="none"/>
          <w:lang w:eastAsia="zh-CN"/>
        </w:rPr>
        <w:t>、血红蛋白</w:t>
      </w:r>
    </w:p>
    <w:p w14:paraId="3A498231">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lang w:val="en-US" w:eastAsia="zh-CN"/>
        </w:rPr>
        <w:t>特殊医学用途临床效果指标：</w:t>
      </w:r>
    </w:p>
    <w:p w14:paraId="21D932D5">
      <w:pPr>
        <w:pStyle w:val="5"/>
        <w:keepNext w:val="0"/>
        <w:keepLines w:val="0"/>
        <w:pageBreakBefore w:val="0"/>
        <w:widowControl w:val="0"/>
        <w:numPr>
          <w:ilvl w:val="1"/>
          <w:numId w:val="3"/>
        </w:numPr>
        <w:tabs>
          <w:tab w:val="left" w:pos="640"/>
        </w:tabs>
        <w:kinsoku/>
        <w:wordWrap/>
        <w:overflowPunct/>
        <w:topLinePunct w:val="0"/>
        <w:autoSpaceDE/>
        <w:autoSpaceDN/>
        <w:bidi w:val="0"/>
        <w:adjustRightInd/>
        <w:snapToGrid/>
        <w:ind w:left="636" w:leftChars="210" w:hanging="195" w:hangingChars="93"/>
        <w:textAlignment w:val="auto"/>
        <w:rPr>
          <w:rFonts w:hint="eastAsia" w:ascii="Times New Roman" w:hAnsi="Times New Roman" w:cs="宋体"/>
          <w:color w:val="auto"/>
          <w:highlight w:val="none"/>
        </w:rPr>
      </w:pPr>
      <w:r>
        <w:rPr>
          <w:rFonts w:hint="eastAsia" w:ascii="Times New Roman" w:hAnsi="Times New Roman" w:cs="宋体"/>
          <w:color w:val="auto"/>
          <w:highlight w:val="none"/>
          <w:lang w:val="en-US" w:eastAsia="zh-CN"/>
        </w:rPr>
        <w:t>肌肉指标：握力、肌肉量、骨骼肌、去脂体重指数</w:t>
      </w:r>
    </w:p>
    <w:p w14:paraId="1286E296">
      <w:pPr>
        <w:pStyle w:val="5"/>
        <w:keepNext w:val="0"/>
        <w:keepLines w:val="0"/>
        <w:pageBreakBefore w:val="0"/>
        <w:widowControl w:val="0"/>
        <w:numPr>
          <w:ilvl w:val="1"/>
          <w:numId w:val="3"/>
        </w:numPr>
        <w:tabs>
          <w:tab w:val="left" w:pos="640"/>
        </w:tabs>
        <w:kinsoku/>
        <w:wordWrap/>
        <w:overflowPunct/>
        <w:topLinePunct w:val="0"/>
        <w:autoSpaceDE/>
        <w:autoSpaceDN/>
        <w:bidi w:val="0"/>
        <w:adjustRightInd/>
        <w:snapToGrid/>
        <w:ind w:left="636" w:leftChars="210" w:hanging="195" w:hangingChars="93"/>
        <w:textAlignment w:val="auto"/>
        <w:rPr>
          <w:rFonts w:hint="eastAsia" w:ascii="Times New Roman" w:hAnsi="Times New Roman" w:cs="宋体"/>
          <w:color w:val="auto"/>
          <w:highlight w:val="none"/>
        </w:rPr>
      </w:pPr>
      <w:r>
        <w:rPr>
          <w:rFonts w:hint="eastAsia" w:ascii="Times New Roman" w:hAnsi="Times New Roman" w:cs="宋体"/>
          <w:color w:val="auto"/>
          <w:highlight w:val="none"/>
          <w:lang w:val="en-US" w:eastAsia="zh-CN"/>
        </w:rPr>
        <w:t>炎性相关指标</w:t>
      </w:r>
      <w:r>
        <w:rPr>
          <w:rFonts w:hint="eastAsia" w:ascii="Times New Roman" w:hAnsi="Times New Roman" w:cs="宋体"/>
          <w:color w:val="auto"/>
          <w:highlight w:val="none"/>
        </w:rPr>
        <w:t>：C反应蛋白</w:t>
      </w:r>
      <w:r>
        <w:rPr>
          <w:rFonts w:hint="eastAsia" w:ascii="Times New Roman" w:hAnsi="Times New Roman" w:cs="宋体"/>
          <w:color w:val="auto"/>
          <w:highlight w:val="none"/>
          <w:lang w:val="en-US" w:eastAsia="zh-CN"/>
        </w:rPr>
        <w:t xml:space="preserve">  </w:t>
      </w:r>
    </w:p>
    <w:p w14:paraId="00928E88">
      <w:pPr>
        <w:pStyle w:val="5"/>
        <w:keepNext w:val="0"/>
        <w:keepLines w:val="0"/>
        <w:pageBreakBefore w:val="0"/>
        <w:widowControl w:val="0"/>
        <w:numPr>
          <w:ilvl w:val="1"/>
          <w:numId w:val="3"/>
        </w:numPr>
        <w:tabs>
          <w:tab w:val="left" w:pos="640"/>
        </w:tabs>
        <w:kinsoku/>
        <w:wordWrap/>
        <w:overflowPunct/>
        <w:topLinePunct w:val="0"/>
        <w:autoSpaceDE/>
        <w:autoSpaceDN/>
        <w:bidi w:val="0"/>
        <w:adjustRightInd/>
        <w:snapToGrid/>
        <w:ind w:left="636" w:leftChars="210" w:hanging="195" w:hangingChars="93"/>
        <w:textAlignment w:val="auto"/>
        <w:rPr>
          <w:rFonts w:hint="eastAsia" w:ascii="Times New Roman" w:hAnsi="Times New Roman" w:cs="宋体"/>
          <w:color w:val="auto"/>
          <w:highlight w:val="none"/>
        </w:rPr>
      </w:pPr>
      <w:r>
        <w:rPr>
          <w:rFonts w:hint="eastAsia" w:ascii="Times New Roman" w:hAnsi="Times New Roman" w:cs="宋体"/>
          <w:color w:val="auto"/>
          <w:highlight w:val="none"/>
          <w:lang w:val="en-US" w:eastAsia="zh-CN"/>
        </w:rPr>
        <w:t>免疫相关指标</w:t>
      </w:r>
      <w:r>
        <w:rPr>
          <w:rFonts w:hint="eastAsia" w:ascii="Times New Roman" w:hAnsi="Times New Roman" w:cs="宋体"/>
          <w:color w:val="auto"/>
          <w:highlight w:val="none"/>
        </w:rPr>
        <w:t>：中性粒细胞/淋巴细胞比值</w:t>
      </w:r>
    </w:p>
    <w:p w14:paraId="14AE8940">
      <w:pPr>
        <w:pStyle w:val="5"/>
        <w:keepNext w:val="0"/>
        <w:keepLines w:val="0"/>
        <w:pageBreakBefore w:val="0"/>
        <w:widowControl w:val="0"/>
        <w:numPr>
          <w:ilvl w:val="1"/>
          <w:numId w:val="3"/>
        </w:numPr>
        <w:tabs>
          <w:tab w:val="left" w:pos="640"/>
        </w:tabs>
        <w:kinsoku/>
        <w:wordWrap/>
        <w:overflowPunct/>
        <w:topLinePunct w:val="0"/>
        <w:autoSpaceDE/>
        <w:autoSpaceDN/>
        <w:bidi w:val="0"/>
        <w:adjustRightInd/>
        <w:snapToGrid/>
        <w:ind w:left="636" w:leftChars="210" w:hanging="195" w:hangingChars="93"/>
        <w:textAlignment w:val="auto"/>
        <w:rPr>
          <w:rFonts w:hint="eastAsia" w:ascii="Times New Roman" w:hAnsi="Times New Roman" w:cs="宋体"/>
          <w:color w:val="auto"/>
          <w:highlight w:val="none"/>
        </w:rPr>
      </w:pPr>
      <w:r>
        <w:rPr>
          <w:rFonts w:hint="eastAsia" w:ascii="Times New Roman" w:hAnsi="Times New Roman" w:cs="宋体"/>
          <w:color w:val="auto"/>
          <w:highlight w:val="none"/>
          <w:lang w:val="en-US" w:eastAsia="zh-CN"/>
        </w:rPr>
        <w:t>代谢相关指标：空腹胰岛素、空腹血糖、空腹血脂</w:t>
      </w:r>
    </w:p>
    <w:p w14:paraId="5AF69DCD">
      <w:pPr>
        <w:pStyle w:val="5"/>
        <w:keepNext w:val="0"/>
        <w:keepLines w:val="0"/>
        <w:pageBreakBefore w:val="0"/>
        <w:widowControl w:val="0"/>
        <w:numPr>
          <w:ilvl w:val="1"/>
          <w:numId w:val="3"/>
        </w:numPr>
        <w:tabs>
          <w:tab w:val="left" w:pos="640"/>
        </w:tabs>
        <w:kinsoku/>
        <w:wordWrap/>
        <w:overflowPunct/>
        <w:topLinePunct w:val="0"/>
        <w:autoSpaceDE/>
        <w:autoSpaceDN/>
        <w:bidi w:val="0"/>
        <w:adjustRightInd/>
        <w:snapToGrid/>
        <w:ind w:left="636" w:leftChars="210" w:hanging="195" w:hangingChars="93"/>
        <w:textAlignment w:val="auto"/>
        <w:rPr>
          <w:rFonts w:hint="eastAsia" w:ascii="Times New Roman" w:hAnsi="Times New Roman" w:cs="宋体"/>
          <w:color w:val="auto"/>
          <w:highlight w:val="none"/>
        </w:rPr>
      </w:pPr>
      <w:r>
        <w:rPr>
          <w:rFonts w:hint="eastAsia" w:ascii="Times New Roman" w:hAnsi="Times New Roman" w:cs="宋体"/>
          <w:color w:val="auto"/>
          <w:highlight w:val="none"/>
          <w:lang w:val="en-US" w:eastAsia="zh-CN"/>
        </w:rPr>
        <w:t>临床结局指标：生活质量SF-12量表</w:t>
      </w:r>
    </w:p>
    <w:p w14:paraId="03736886">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ascii="Times New Roman" w:hAnsi="Times New Roman" w:cs="宋体"/>
          <w:color w:val="auto"/>
          <w:highlight w:val="none"/>
        </w:rPr>
      </w:pPr>
      <w:r>
        <w:rPr>
          <w:rFonts w:hint="eastAsia" w:ascii="Times New Roman" w:hAnsi="Times New Roman" w:cs="宋体"/>
          <w:color w:val="auto"/>
          <w:highlight w:val="none"/>
        </w:rPr>
        <w:t>合并用药</w:t>
      </w:r>
    </w:p>
    <w:p w14:paraId="1F4AB3C7">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hint="default" w:ascii="Times New Roman" w:hAnsi="Times New Roman" w:eastAsia="宋体" w:cs="宋体"/>
          <w:color w:val="auto"/>
          <w:highlight w:val="none"/>
          <w:lang w:val="en-US" w:eastAsia="zh-CN"/>
        </w:rPr>
      </w:pPr>
      <w:r>
        <w:rPr>
          <w:rFonts w:hint="eastAsia" w:ascii="Times New Roman" w:hAnsi="Times New Roman" w:cs="宋体"/>
          <w:color w:val="auto"/>
          <w:highlight w:val="none"/>
          <w:lang w:eastAsia="zh-CN"/>
        </w:rPr>
        <w:t>临床安全性</w:t>
      </w:r>
      <w:r>
        <w:rPr>
          <w:rFonts w:hint="eastAsia" w:ascii="Times New Roman" w:hAnsi="Times New Roman" w:cs="宋体"/>
          <w:color w:val="auto"/>
          <w:highlight w:val="none"/>
        </w:rPr>
        <w:t>观察</w:t>
      </w:r>
      <w:r>
        <w:rPr>
          <w:rFonts w:hint="eastAsia" w:ascii="Times New Roman" w:hAnsi="Times New Roman" w:cs="宋体"/>
          <w:color w:val="auto"/>
          <w:highlight w:val="none"/>
          <w:lang w:eastAsia="zh-CN"/>
        </w:rPr>
        <w:t>：</w:t>
      </w:r>
      <w:r>
        <w:rPr>
          <w:rFonts w:hint="eastAsia" w:ascii="Times New Roman" w:hAnsi="Times New Roman" w:cs="宋体"/>
          <w:color w:val="auto"/>
          <w:highlight w:val="none"/>
        </w:rPr>
        <w:t>AE、SAE</w:t>
      </w:r>
      <w:r>
        <w:rPr>
          <w:rFonts w:hint="eastAsia" w:ascii="Times New Roman" w:hAnsi="Times New Roman" w:cs="宋体"/>
          <w:color w:val="auto"/>
          <w:highlight w:val="none"/>
          <w:lang w:eastAsia="zh-CN"/>
        </w:rPr>
        <w:t>（</w:t>
      </w:r>
      <w:r>
        <w:rPr>
          <w:rFonts w:hint="eastAsia" w:ascii="Times New Roman" w:hAnsi="Times New Roman" w:cs="宋体"/>
          <w:color w:val="auto"/>
          <w:highlight w:val="none"/>
          <w:lang w:val="en-US" w:eastAsia="zh-CN"/>
        </w:rPr>
        <w:t>含</w:t>
      </w:r>
      <w:r>
        <w:rPr>
          <w:rFonts w:hint="eastAsia" w:ascii="Times New Roman" w:hAnsi="Times New Roman" w:cs="宋体"/>
          <w:color w:val="auto"/>
          <w:highlight w:val="none"/>
        </w:rPr>
        <w:t>消化道反</w:t>
      </w:r>
      <w:r>
        <w:rPr>
          <w:rFonts w:hint="eastAsia" w:ascii="Times New Roman" w:hAnsi="Times New Roman" w:cs="宋体"/>
          <w:color w:val="auto"/>
          <w:highlight w:val="none"/>
          <w:lang w:val="en-US" w:eastAsia="zh-CN"/>
        </w:rPr>
        <w:t>应</w:t>
      </w:r>
      <w:r>
        <w:rPr>
          <w:rFonts w:hint="eastAsia" w:ascii="Times New Roman" w:hAnsi="Times New Roman" w:cs="宋体"/>
          <w:color w:val="auto"/>
          <w:highlight w:val="none"/>
        </w:rPr>
        <w:t>）</w:t>
      </w:r>
    </w:p>
    <w:p w14:paraId="380539C9">
      <w:pPr>
        <w:pStyle w:val="5"/>
        <w:keepNext w:val="0"/>
        <w:keepLines w:val="0"/>
        <w:pageBreakBefore w:val="0"/>
        <w:widowControl w:val="0"/>
        <w:numPr>
          <w:ilvl w:val="0"/>
          <w:numId w:val="7"/>
        </w:numPr>
        <w:tabs>
          <w:tab w:val="left" w:pos="640"/>
        </w:tabs>
        <w:kinsoku/>
        <w:wordWrap/>
        <w:overflowPunct/>
        <w:topLinePunct w:val="0"/>
        <w:autoSpaceDE/>
        <w:autoSpaceDN/>
        <w:bidi w:val="0"/>
        <w:adjustRightInd/>
        <w:snapToGrid/>
        <w:ind w:hanging="200" w:firstLineChars="0"/>
        <w:textAlignment w:val="auto"/>
        <w:rPr>
          <w:rFonts w:hint="default" w:ascii="Times New Roman" w:hAnsi="Times New Roman" w:eastAsia="宋体" w:cs="宋体"/>
          <w:color w:val="auto"/>
          <w:highlight w:val="none"/>
          <w:lang w:val="en-US" w:eastAsia="zh-CN"/>
        </w:rPr>
      </w:pPr>
      <w:r>
        <w:rPr>
          <w:rFonts w:hint="eastAsia" w:ascii="Times New Roman" w:hAnsi="Times New Roman" w:cs="宋体"/>
          <w:color w:val="auto"/>
          <w:highlight w:val="none"/>
          <w:lang w:val="en-US" w:eastAsia="zh-CN"/>
        </w:rPr>
        <w:t>经授权人员回收试验物资</w:t>
      </w:r>
    </w:p>
    <w:p w14:paraId="3B4BFAB8">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102" w:name="_Toc21402"/>
      <w:bookmarkStart w:id="103" w:name="_Toc11479"/>
      <w:r>
        <w:rPr>
          <w:rFonts w:hint="eastAsia" w:ascii="Times New Roman" w:hAnsi="Times New Roman" w:cs="黑体"/>
          <w:b/>
          <w:bCs w:val="0"/>
          <w:color w:val="auto"/>
          <w:szCs w:val="24"/>
          <w:highlight w:val="none"/>
          <w:lang w:eastAsia="zh-CN"/>
        </w:rPr>
        <w:t>试验</w:t>
      </w:r>
      <w:r>
        <w:rPr>
          <w:rFonts w:hint="eastAsia" w:ascii="Times New Roman" w:hAnsi="Times New Roman" w:cs="黑体"/>
          <w:b/>
          <w:bCs w:val="0"/>
          <w:color w:val="auto"/>
          <w:szCs w:val="24"/>
          <w:highlight w:val="none"/>
        </w:rPr>
        <w:t>结束</w:t>
      </w:r>
      <w:bookmarkEnd w:id="102"/>
      <w:bookmarkEnd w:id="103"/>
    </w:p>
    <w:p w14:paraId="4857D2EB">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104" w:name="_Toc11800"/>
      <w:bookmarkStart w:id="105" w:name="_Toc13794"/>
      <w:r>
        <w:rPr>
          <w:rFonts w:hint="eastAsia" w:ascii="Times New Roman" w:hAnsi="Times New Roman" w:cs="黑体"/>
          <w:b/>
          <w:bCs/>
          <w:color w:val="auto"/>
          <w:szCs w:val="21"/>
          <w:highlight w:val="none"/>
        </w:rPr>
        <w:t>提前结束访视</w:t>
      </w:r>
      <w:bookmarkEnd w:id="104"/>
      <w:bookmarkEnd w:id="105"/>
    </w:p>
    <w:p w14:paraId="1065A050">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rPr>
        <w:t>在开始服用</w:t>
      </w:r>
      <w:r>
        <w:rPr>
          <w:rFonts w:hint="eastAsia" w:ascii="Times New Roman" w:hAnsi="Times New Roman" w:cs="宋体"/>
          <w:color w:val="auto"/>
          <w:highlight w:val="none"/>
          <w:lang w:eastAsia="zh-CN"/>
        </w:rPr>
        <w:t>试验用产品</w:t>
      </w:r>
      <w:r>
        <w:rPr>
          <w:rFonts w:hint="eastAsia" w:ascii="Times New Roman" w:hAnsi="Times New Roman" w:cs="宋体"/>
          <w:color w:val="auto"/>
          <w:highlight w:val="none"/>
        </w:rPr>
        <w:t>后由于撤回知情同意提前停止</w:t>
      </w:r>
      <w:r>
        <w:rPr>
          <w:rFonts w:hint="eastAsia" w:ascii="Times New Roman" w:hAnsi="Times New Roman" w:cs="宋体"/>
          <w:color w:val="auto"/>
          <w:highlight w:val="none"/>
          <w:lang w:eastAsia="zh-CN"/>
        </w:rPr>
        <w:t>试验用产品</w:t>
      </w:r>
      <w:r>
        <w:rPr>
          <w:rFonts w:hint="eastAsia" w:ascii="Times New Roman" w:hAnsi="Times New Roman" w:cs="宋体"/>
          <w:color w:val="auto"/>
          <w:highlight w:val="none"/>
        </w:rPr>
        <w:t>的使用，将不得做出下一步</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步骤，不收集额外数据。如果由于某些原因研究者考虑要求其退出试验(见第8.3节)，即提前停止</w:t>
      </w:r>
      <w:r>
        <w:rPr>
          <w:rFonts w:hint="eastAsia" w:ascii="Times New Roman" w:hAnsi="Times New Roman" w:cs="宋体"/>
          <w:color w:val="auto"/>
          <w:highlight w:val="none"/>
          <w:lang w:eastAsia="zh-CN"/>
        </w:rPr>
        <w:t>试验用产品</w:t>
      </w:r>
      <w:r>
        <w:rPr>
          <w:rFonts w:hint="eastAsia" w:ascii="Times New Roman" w:hAnsi="Times New Roman" w:cs="宋体"/>
          <w:color w:val="auto"/>
          <w:highlight w:val="none"/>
        </w:rPr>
        <w:t>的使用，要在停止后当天或第2天进行提前结束访视。研究者和研究工作人员要尽一切努力，使</w:t>
      </w: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rPr>
        <w:t>接受提前结束访视。如果</w:t>
      </w: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rPr>
        <w:t>因AE退出</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，研究</w:t>
      </w:r>
      <w:r>
        <w:rPr>
          <w:rFonts w:hint="eastAsia" w:ascii="Times New Roman" w:hAnsi="Times New Roman" w:cs="宋体"/>
          <w:color w:val="auto"/>
          <w:highlight w:val="none"/>
          <w:lang w:val="en-US" w:eastAsia="zh-CN"/>
        </w:rPr>
        <w:t>者</w:t>
      </w:r>
      <w:r>
        <w:rPr>
          <w:rFonts w:hint="eastAsia" w:ascii="Times New Roman" w:hAnsi="Times New Roman" w:cs="宋体"/>
          <w:color w:val="auto"/>
          <w:highlight w:val="none"/>
        </w:rPr>
        <w:t>将</w:t>
      </w:r>
      <w:r>
        <w:rPr>
          <w:rFonts w:hint="eastAsia" w:ascii="Times New Roman" w:hAnsi="Times New Roman" w:cs="宋体"/>
          <w:color w:val="auto"/>
          <w:highlight w:val="none"/>
          <w:lang w:val="en-US" w:eastAsia="zh-CN"/>
        </w:rPr>
        <w:t>对受试者采取</w:t>
      </w:r>
      <w:r>
        <w:rPr>
          <w:rFonts w:hint="eastAsia" w:ascii="Times New Roman" w:hAnsi="Times New Roman" w:cs="宋体"/>
          <w:color w:val="auto"/>
          <w:highlight w:val="none"/>
        </w:rPr>
        <w:t>适当</w:t>
      </w:r>
      <w:r>
        <w:rPr>
          <w:rFonts w:hint="eastAsia" w:ascii="Times New Roman" w:hAnsi="Times New Roman" w:cs="宋体"/>
          <w:color w:val="auto"/>
          <w:highlight w:val="none"/>
          <w:lang w:val="en-US" w:eastAsia="zh-CN"/>
        </w:rPr>
        <w:t>的</w:t>
      </w:r>
      <w:r>
        <w:rPr>
          <w:rFonts w:hint="eastAsia" w:ascii="Times New Roman" w:hAnsi="Times New Roman" w:cs="宋体"/>
          <w:color w:val="auto"/>
          <w:highlight w:val="none"/>
        </w:rPr>
        <w:t>治疗处理。这些</w:t>
      </w: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rPr>
        <w:t>即使可以重新开始营养治疗，不允许重新使用</w:t>
      </w:r>
      <w:r>
        <w:rPr>
          <w:rFonts w:hint="eastAsia" w:ascii="Times New Roman" w:hAnsi="Times New Roman" w:cs="宋体"/>
          <w:color w:val="auto"/>
          <w:highlight w:val="none"/>
          <w:lang w:eastAsia="zh-CN"/>
        </w:rPr>
        <w:t>试验用产品</w:t>
      </w:r>
      <w:r>
        <w:rPr>
          <w:rFonts w:hint="eastAsia" w:ascii="Times New Roman" w:hAnsi="Times New Roman" w:cs="宋体"/>
          <w:color w:val="auto"/>
          <w:highlight w:val="none"/>
        </w:rPr>
        <w:t>。</w:t>
      </w:r>
    </w:p>
    <w:p w14:paraId="2574DE48">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106" w:name="_Toc6991"/>
      <w:bookmarkStart w:id="107" w:name="_Toc22948"/>
      <w:r>
        <w:rPr>
          <w:rFonts w:hint="eastAsia" w:ascii="Times New Roman" w:hAnsi="Times New Roman" w:cs="黑体"/>
          <w:b/>
          <w:bCs/>
          <w:color w:val="auto"/>
          <w:szCs w:val="21"/>
          <w:highlight w:val="none"/>
          <w:lang w:eastAsia="zh-CN"/>
        </w:rPr>
        <w:t>试验</w:t>
      </w:r>
      <w:r>
        <w:rPr>
          <w:rFonts w:hint="eastAsia" w:ascii="Times New Roman" w:hAnsi="Times New Roman" w:cs="黑体"/>
          <w:b/>
          <w:bCs/>
          <w:color w:val="auto"/>
          <w:szCs w:val="21"/>
          <w:highlight w:val="none"/>
        </w:rPr>
        <w:t>提前终止</w:t>
      </w:r>
      <w:bookmarkEnd w:id="106"/>
      <w:bookmarkEnd w:id="107"/>
    </w:p>
    <w:p w14:paraId="4D049B51">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如证明有必要在完成前中止</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，则</w:t>
      </w:r>
      <w:r>
        <w:rPr>
          <w:rFonts w:hint="eastAsia" w:ascii="Times New Roman" w:hAnsi="Times New Roman" w:cs="宋体"/>
          <w:color w:val="auto"/>
          <w:highlight w:val="none"/>
          <w:lang w:eastAsia="zh-CN"/>
        </w:rPr>
        <w:t>申办方</w:t>
      </w:r>
      <w:r>
        <w:rPr>
          <w:rFonts w:hint="eastAsia" w:ascii="Times New Roman" w:hAnsi="Times New Roman" w:cs="宋体"/>
          <w:color w:val="auto"/>
          <w:highlight w:val="none"/>
        </w:rPr>
        <w:t>将通知研究者、伦理委员会及机构审查委员会。剩余物资将退还给申办方。</w:t>
      </w:r>
    </w:p>
    <w:p w14:paraId="208EF7A0">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108" w:name="_Toc10309"/>
      <w:bookmarkStart w:id="109" w:name="_Toc28777"/>
      <w:r>
        <w:rPr>
          <w:rFonts w:hint="eastAsia" w:ascii="Times New Roman" w:hAnsi="Times New Roman" w:cs="黑体"/>
          <w:b/>
          <w:bCs/>
          <w:color w:val="auto"/>
          <w:szCs w:val="21"/>
          <w:highlight w:val="none"/>
          <w:lang w:eastAsia="zh-CN"/>
        </w:rPr>
        <w:t>试验</w:t>
      </w:r>
      <w:r>
        <w:rPr>
          <w:rFonts w:hint="eastAsia" w:ascii="Times New Roman" w:hAnsi="Times New Roman" w:cs="黑体"/>
          <w:b/>
          <w:bCs/>
          <w:color w:val="auto"/>
          <w:szCs w:val="21"/>
          <w:highlight w:val="none"/>
        </w:rPr>
        <w:t>完成</w:t>
      </w:r>
      <w:bookmarkEnd w:id="108"/>
      <w:bookmarkEnd w:id="109"/>
    </w:p>
    <w:p w14:paraId="281DFEAD">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auto"/>
          <w:highlight w:val="none"/>
          <w:lang w:eastAsia="zh-CN"/>
        </w:rPr>
      </w:pPr>
      <w:r>
        <w:rPr>
          <w:rFonts w:hint="eastAsia" w:ascii="Times New Roman" w:hAnsi="Times New Roman" w:cs="宋体"/>
          <w:color w:val="auto"/>
          <w:highlight w:val="none"/>
        </w:rPr>
        <w:t>在</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完成或终止后，研究者将通知IRB</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结束，将提交</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结束相关文件</w:t>
      </w:r>
      <w:r>
        <w:rPr>
          <w:rFonts w:hint="eastAsia" w:ascii="Times New Roman" w:hAnsi="Times New Roman" w:cs="宋体"/>
          <w:color w:val="auto"/>
          <w:highlight w:val="none"/>
          <w:lang w:eastAsia="zh-CN"/>
        </w:rPr>
        <w:t>。</w:t>
      </w:r>
    </w:p>
    <w:p w14:paraId="795FD149">
      <w:pPr>
        <w:pStyle w:val="3"/>
        <w:keepNext w:val="0"/>
        <w:keepLines w:val="0"/>
        <w:pageBreakBefore w:val="0"/>
        <w:widowControl w:val="0"/>
        <w:numPr>
          <w:ilvl w:val="0"/>
          <w:numId w:val="1"/>
        </w:numPr>
        <w:kinsoku/>
        <w:wordWrap/>
        <w:overflowPunct/>
        <w:topLinePunct w:val="0"/>
        <w:autoSpaceDE/>
        <w:autoSpaceDN/>
        <w:bidi w:val="0"/>
        <w:adjustRightInd/>
        <w:snapToGrid/>
        <w:spacing w:before="0" w:line="240" w:lineRule="auto"/>
        <w:textAlignment w:val="auto"/>
        <w:rPr>
          <w:rFonts w:ascii="Times New Roman" w:hAnsi="Times New Roman" w:cs="黑体"/>
          <w:b/>
          <w:bCs/>
          <w:color w:val="auto"/>
          <w:szCs w:val="28"/>
          <w:highlight w:val="none"/>
        </w:rPr>
      </w:pPr>
      <w:bookmarkStart w:id="110" w:name="_Toc8807"/>
      <w:bookmarkStart w:id="111" w:name="_Toc27394"/>
      <w:r>
        <w:rPr>
          <w:rFonts w:hint="eastAsia" w:ascii="Times New Roman" w:hAnsi="Times New Roman" w:cs="黑体"/>
          <w:b/>
          <w:bCs/>
          <w:color w:val="auto"/>
          <w:szCs w:val="28"/>
          <w:highlight w:val="none"/>
        </w:rPr>
        <w:t>数据管理</w:t>
      </w:r>
      <w:bookmarkEnd w:id="110"/>
      <w:bookmarkEnd w:id="111"/>
    </w:p>
    <w:p w14:paraId="38A6210E">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112" w:name="_Toc28575"/>
      <w:bookmarkStart w:id="113" w:name="_Toc29755"/>
      <w:r>
        <w:rPr>
          <w:rFonts w:hint="eastAsia" w:ascii="Times New Roman" w:hAnsi="Times New Roman" w:cs="黑体"/>
          <w:b/>
          <w:bCs w:val="0"/>
          <w:color w:val="auto"/>
          <w:szCs w:val="24"/>
          <w:highlight w:val="none"/>
        </w:rPr>
        <w:t>病例报告表记录要求</w:t>
      </w:r>
      <w:bookmarkEnd w:id="112"/>
      <w:bookmarkEnd w:id="113"/>
    </w:p>
    <w:p w14:paraId="4342FABE">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bookmarkStart w:id="114" w:name="OLE_LINK46"/>
      <w:r>
        <w:rPr>
          <w:rFonts w:hint="eastAsia" w:ascii="Times New Roman" w:hAnsi="Times New Roman" w:cs="宋体"/>
          <w:color w:val="auto"/>
          <w:highlight w:val="none"/>
        </w:rPr>
        <w:t>(1) 研究者必须保证数据记录及时、完整、准确、真实；</w:t>
      </w:r>
    </w:p>
    <w:p w14:paraId="343A27EE">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(2) 监查员监查临床试验是否遵循临床试验方案进行。确认所有病例报告表填写正确完整，并与原始资料一致。如有错误和遗漏，及时要求研究者修正。</w:t>
      </w:r>
    </w:p>
    <w:p w14:paraId="628C808E">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(3) 病例报告表做任何更正时只能划线，旁注改后的数据，由</w:t>
      </w:r>
      <w:r>
        <w:rPr>
          <w:rFonts w:hint="eastAsia" w:ascii="Times New Roman" w:hAnsi="Times New Roman" w:cs="宋体"/>
          <w:color w:val="auto"/>
          <w:highlight w:val="none"/>
          <w:lang w:val="en-US" w:eastAsia="zh-CN"/>
        </w:rPr>
        <w:t>修改者</w:t>
      </w:r>
      <w:r>
        <w:rPr>
          <w:rFonts w:hint="eastAsia" w:ascii="Times New Roman" w:hAnsi="Times New Roman" w:cs="宋体"/>
          <w:color w:val="auto"/>
          <w:highlight w:val="none"/>
        </w:rPr>
        <w:t>签名并注明日期，不得擦涂、覆盖原始记录；</w:t>
      </w:r>
    </w:p>
    <w:p w14:paraId="25728D5B">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(4) 打印并收集受试者的检查检验报告单。临床试验方案规定受试者需要做的检查，其</w:t>
      </w:r>
    </w:p>
    <w:p w14:paraId="7E9266FD">
      <w:pPr>
        <w:pStyle w:val="5"/>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cs="宋体"/>
          <w:color w:val="auto"/>
          <w:highlight w:val="none"/>
        </w:rPr>
      </w:pPr>
      <w:r>
        <w:rPr>
          <w:rFonts w:hint="eastAsia" w:ascii="Times New Roman" w:hAnsi="Times New Roman" w:cs="宋体"/>
          <w:color w:val="auto"/>
          <w:highlight w:val="none"/>
        </w:rPr>
        <w:t>检查检验结果均需填写至病例报告表的相应位置。</w:t>
      </w:r>
    </w:p>
    <w:bookmarkEnd w:id="114"/>
    <w:p w14:paraId="474ABB31">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115" w:name="_Toc5189"/>
      <w:bookmarkStart w:id="116" w:name="_Toc12603"/>
      <w:r>
        <w:rPr>
          <w:rFonts w:hint="eastAsia" w:ascii="Times New Roman" w:hAnsi="Times New Roman" w:cs="黑体"/>
          <w:b/>
          <w:bCs w:val="0"/>
          <w:color w:val="auto"/>
          <w:szCs w:val="24"/>
          <w:highlight w:val="none"/>
        </w:rPr>
        <w:t>原始记录书写要求</w:t>
      </w:r>
      <w:bookmarkEnd w:id="115"/>
      <w:bookmarkEnd w:id="116"/>
    </w:p>
    <w:p w14:paraId="353C176A">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研究者及时填写原始资料，包括但不限于受试者一般情况、合并用药情况等。</w:t>
      </w:r>
    </w:p>
    <w:p w14:paraId="7C340519">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117" w:name="_Toc19658"/>
      <w:bookmarkStart w:id="118" w:name="_Toc7234"/>
      <w:r>
        <w:rPr>
          <w:rFonts w:hint="eastAsia" w:ascii="Times New Roman" w:hAnsi="Times New Roman" w:cs="黑体"/>
          <w:b/>
          <w:bCs w:val="0"/>
          <w:color w:val="auto"/>
          <w:szCs w:val="24"/>
          <w:highlight w:val="none"/>
        </w:rPr>
        <w:t>病例报告表及病历的审核</w:t>
      </w:r>
      <w:bookmarkEnd w:id="117"/>
      <w:bookmarkEnd w:id="118"/>
    </w:p>
    <w:p w14:paraId="619D91FB">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黑体"/>
          <w:color w:val="auto"/>
          <w:highlight w:val="none"/>
        </w:rPr>
      </w:pPr>
      <w:r>
        <w:rPr>
          <w:rFonts w:hint="eastAsia" w:ascii="Times New Roman" w:hAnsi="Times New Roman" w:cs="宋体"/>
          <w:color w:val="auto"/>
          <w:highlight w:val="none"/>
          <w:lang w:eastAsia="zh-CN"/>
        </w:rPr>
        <w:t>申办方</w:t>
      </w:r>
      <w:r>
        <w:rPr>
          <w:rFonts w:hint="eastAsia" w:ascii="Times New Roman" w:hAnsi="Times New Roman" w:cs="宋体"/>
          <w:color w:val="auto"/>
          <w:highlight w:val="none"/>
        </w:rPr>
        <w:t>选择符合要求的监查员对病例报告表及病历进行审核，确认所有病例报告表填写正确，并与原始资料一致；所有错误或者遗漏均已改正或者注明，签名并注明日期；试验的病例总数和病例的性别、年龄、效果等均应当确认并记录。</w:t>
      </w:r>
    </w:p>
    <w:p w14:paraId="765D36BC">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119" w:name="_Toc12555"/>
      <w:bookmarkStart w:id="120" w:name="_Toc3523"/>
      <w:r>
        <w:rPr>
          <w:rFonts w:hint="eastAsia" w:ascii="Times New Roman" w:hAnsi="Times New Roman" w:cs="黑体"/>
          <w:b/>
          <w:bCs w:val="0"/>
          <w:color w:val="auto"/>
          <w:szCs w:val="24"/>
          <w:highlight w:val="none"/>
        </w:rPr>
        <w:t>直接访问源数据、文件</w:t>
      </w:r>
      <w:bookmarkEnd w:id="119"/>
      <w:bookmarkEnd w:id="120"/>
    </w:p>
    <w:p w14:paraId="4F91C518">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121" w:name="_Toc11757"/>
      <w:bookmarkStart w:id="122" w:name="_Toc192"/>
      <w:r>
        <w:rPr>
          <w:rFonts w:hint="eastAsia" w:ascii="Times New Roman" w:hAnsi="Times New Roman" w:cs="黑体"/>
          <w:b/>
          <w:bCs/>
          <w:color w:val="auto"/>
          <w:szCs w:val="21"/>
          <w:highlight w:val="none"/>
        </w:rPr>
        <w:t>源数据、文件的定义</w:t>
      </w:r>
      <w:bookmarkEnd w:id="121"/>
      <w:bookmarkEnd w:id="122"/>
    </w:p>
    <w:p w14:paraId="614C73AD">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源数据：是指临床试验中的临床发现、观察和其他活动的原始记录以及其经核准的副本中的所有信息，可以用于临床试验重建和评价。</w:t>
      </w:r>
    </w:p>
    <w:p w14:paraId="03F53DFF">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黑体"/>
          <w:color w:val="auto"/>
          <w:highlight w:val="none"/>
        </w:rPr>
      </w:pPr>
      <w:r>
        <w:rPr>
          <w:rFonts w:hint="eastAsia" w:ascii="Times New Roman" w:hAnsi="Times New Roman" w:cs="宋体"/>
          <w:color w:val="auto"/>
          <w:highlight w:val="none"/>
        </w:rPr>
        <w:t>源文件：是指包含源数据的印刷文件、可视文件或者电子文件等。</w:t>
      </w:r>
    </w:p>
    <w:p w14:paraId="4221FAAC">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123" w:name="_Toc31774"/>
      <w:bookmarkStart w:id="124" w:name="_Toc30819"/>
      <w:r>
        <w:rPr>
          <w:rFonts w:hint="eastAsia" w:ascii="Times New Roman" w:hAnsi="Times New Roman" w:cs="黑体"/>
          <w:b/>
          <w:bCs/>
          <w:color w:val="auto"/>
          <w:szCs w:val="21"/>
          <w:highlight w:val="none"/>
        </w:rPr>
        <w:t>源数据、文件的访问</w:t>
      </w:r>
      <w:bookmarkEnd w:id="123"/>
      <w:bookmarkEnd w:id="124"/>
    </w:p>
    <w:p w14:paraId="0EBC8296">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(1) 经授权的监查员有权对受试者的源数据/源文件进行监查、分析、核对以判断研究者是否按照方案的要求进行临床试验、源数据/源文件是否及时地记录在受试者病历中。监查员需确认源数据/源文件具有可追溯性、可核实性。同时，填写在病例报告表中的数据应与源数据/源文件相对应。</w:t>
      </w:r>
    </w:p>
    <w:p w14:paraId="51208490">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(2) 当任何参与临床试验的人员对临床试验数据产生质疑时，研究者应及时提供源数据/源文件以供相关人员核实，并认真答复相关质疑。</w:t>
      </w:r>
    </w:p>
    <w:p w14:paraId="08B9B496">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黑体"/>
          <w:color w:val="auto"/>
          <w:highlight w:val="none"/>
        </w:rPr>
      </w:pPr>
      <w:r>
        <w:rPr>
          <w:rFonts w:hint="eastAsia" w:ascii="Times New Roman" w:hAnsi="Times New Roman" w:cs="宋体"/>
          <w:color w:val="auto"/>
          <w:highlight w:val="none"/>
        </w:rPr>
        <w:t>(3) 源数据/源文件应按照相关法律法规的要求进行妥善地保存。任何进行直接查阅的一方（如国内的管理当局、</w:t>
      </w:r>
      <w:r>
        <w:rPr>
          <w:rFonts w:hint="eastAsia" w:ascii="Times New Roman" w:hAnsi="Times New Roman" w:cs="宋体"/>
          <w:color w:val="auto"/>
          <w:highlight w:val="none"/>
          <w:lang w:eastAsia="zh-CN"/>
        </w:rPr>
        <w:t>申办方</w:t>
      </w:r>
      <w:r>
        <w:rPr>
          <w:rFonts w:hint="eastAsia" w:ascii="Times New Roman" w:hAnsi="Times New Roman" w:cs="宋体"/>
          <w:color w:val="auto"/>
          <w:highlight w:val="none"/>
        </w:rPr>
        <w:t>、监查员和核查员）应当根据适用的法律法规采用合理的措施来维护受试者身份和</w:t>
      </w:r>
      <w:r>
        <w:rPr>
          <w:rFonts w:hint="eastAsia" w:ascii="Times New Roman" w:hAnsi="Times New Roman" w:cs="宋体"/>
          <w:color w:val="auto"/>
          <w:highlight w:val="none"/>
          <w:lang w:eastAsia="zh-CN"/>
        </w:rPr>
        <w:t>申办方</w:t>
      </w:r>
      <w:r>
        <w:rPr>
          <w:rFonts w:hint="eastAsia" w:ascii="Times New Roman" w:hAnsi="Times New Roman" w:cs="宋体"/>
          <w:color w:val="auto"/>
          <w:highlight w:val="none"/>
        </w:rPr>
        <w:t>的技术信息等。</w:t>
      </w:r>
    </w:p>
    <w:p w14:paraId="312A8759">
      <w:pPr>
        <w:pStyle w:val="3"/>
        <w:keepNext w:val="0"/>
        <w:keepLines w:val="0"/>
        <w:pageBreakBefore w:val="0"/>
        <w:widowControl w:val="0"/>
        <w:numPr>
          <w:ilvl w:val="0"/>
          <w:numId w:val="1"/>
        </w:numPr>
        <w:kinsoku/>
        <w:wordWrap/>
        <w:overflowPunct/>
        <w:topLinePunct w:val="0"/>
        <w:autoSpaceDE/>
        <w:autoSpaceDN/>
        <w:bidi w:val="0"/>
        <w:adjustRightInd/>
        <w:snapToGrid/>
        <w:spacing w:before="0" w:line="240" w:lineRule="auto"/>
        <w:textAlignment w:val="auto"/>
        <w:rPr>
          <w:rFonts w:ascii="Times New Roman" w:hAnsi="Times New Roman" w:cs="黑体"/>
          <w:b/>
          <w:bCs/>
          <w:color w:val="auto"/>
          <w:szCs w:val="28"/>
          <w:highlight w:val="none"/>
        </w:rPr>
      </w:pPr>
      <w:bookmarkStart w:id="125" w:name="_Toc27237"/>
      <w:bookmarkStart w:id="126" w:name="_Toc15787"/>
      <w:r>
        <w:rPr>
          <w:rFonts w:hint="eastAsia" w:ascii="Times New Roman" w:hAnsi="Times New Roman" w:cs="黑体"/>
          <w:b/>
          <w:bCs/>
          <w:color w:val="auto"/>
          <w:szCs w:val="28"/>
          <w:highlight w:val="none"/>
        </w:rPr>
        <w:t>统计学</w:t>
      </w:r>
      <w:bookmarkEnd w:id="125"/>
      <w:bookmarkEnd w:id="126"/>
    </w:p>
    <w:p w14:paraId="5B956230">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127" w:name="_Toc18618"/>
      <w:bookmarkStart w:id="128" w:name="_Toc3096"/>
      <w:r>
        <w:rPr>
          <w:rFonts w:hint="eastAsia" w:ascii="Times New Roman" w:hAnsi="Times New Roman" w:cs="黑体"/>
          <w:b/>
          <w:bCs w:val="0"/>
          <w:color w:val="auto"/>
          <w:szCs w:val="24"/>
          <w:highlight w:val="none"/>
        </w:rPr>
        <w:t>预期效果</w:t>
      </w:r>
      <w:bookmarkEnd w:id="127"/>
      <w:bookmarkEnd w:id="128"/>
    </w:p>
    <w:p w14:paraId="4879D24E">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黑体"/>
          <w:color w:val="auto"/>
          <w:highlight w:val="none"/>
        </w:rPr>
      </w:pPr>
      <w:r>
        <w:rPr>
          <w:rFonts w:hint="eastAsia" w:ascii="Times New Roman" w:hAnsi="Times New Roman" w:cs="宋体"/>
          <w:color w:val="auto"/>
          <w:highlight w:val="none"/>
          <w:lang w:val="en-US" w:eastAsia="zh-CN"/>
        </w:rPr>
        <w:t>试验产品</w:t>
      </w:r>
      <w:r>
        <w:rPr>
          <w:rFonts w:hint="eastAsia" w:ascii="Times New Roman" w:hAnsi="Times New Roman" w:cs="宋体"/>
          <w:color w:val="auto"/>
          <w:highlight w:val="none"/>
        </w:rPr>
        <w:t>君蓓力组</w:t>
      </w: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lang w:val="en-US" w:eastAsia="zh-CN"/>
        </w:rPr>
        <w:t>末次访视（第21(±1)天空腹状态）</w:t>
      </w:r>
      <w:r>
        <w:rPr>
          <w:rFonts w:hint="eastAsia" w:ascii="Times New Roman" w:hAnsi="Times New Roman" w:cs="宋体"/>
          <w:color w:val="auto"/>
          <w:highlight w:val="none"/>
        </w:rPr>
        <w:t>与基线</w:t>
      </w:r>
      <w:r>
        <w:rPr>
          <w:rFonts w:hint="eastAsia" w:ascii="Times New Roman" w:hAnsi="Times New Roman" w:cs="宋体"/>
          <w:color w:val="auto"/>
          <w:highlight w:val="none"/>
          <w:lang w:eastAsia="zh-CN"/>
        </w:rPr>
        <w:t>（第</w:t>
      </w:r>
      <w:r>
        <w:rPr>
          <w:rFonts w:hint="eastAsia" w:cs="宋体"/>
          <w:color w:val="auto"/>
          <w:highlight w:val="none"/>
          <w:lang w:eastAsia="zh-CN"/>
        </w:rPr>
        <w:t>0(±1)</w:t>
      </w:r>
      <w:r>
        <w:rPr>
          <w:rFonts w:hint="eastAsia" w:ascii="Times New Roman" w:hAnsi="Times New Roman" w:cs="宋体"/>
          <w:color w:val="auto"/>
          <w:highlight w:val="none"/>
          <w:lang w:eastAsia="zh-CN"/>
        </w:rPr>
        <w:t>天空腹状态）</w:t>
      </w:r>
      <w:r>
        <w:rPr>
          <w:rFonts w:hint="eastAsia" w:ascii="Times New Roman" w:hAnsi="Times New Roman" w:cs="宋体"/>
          <w:color w:val="auto"/>
          <w:highlight w:val="none"/>
        </w:rPr>
        <w:t>相比前白蛋白的变化非劣于</w:t>
      </w:r>
      <w:r>
        <w:rPr>
          <w:rFonts w:hint="eastAsia" w:ascii="Times New Roman" w:hAnsi="Times New Roman" w:cs="宋体"/>
          <w:color w:val="auto"/>
          <w:highlight w:val="none"/>
          <w:lang w:eastAsia="zh-CN"/>
        </w:rPr>
        <w:t>等能量</w:t>
      </w:r>
      <w:r>
        <w:rPr>
          <w:rFonts w:hint="eastAsia" w:ascii="Times New Roman" w:hAnsi="Times New Roman" w:cs="宋体"/>
          <w:color w:val="auto"/>
          <w:highlight w:val="none"/>
        </w:rPr>
        <w:t>对照产品</w:t>
      </w:r>
      <w:r>
        <w:rPr>
          <w:rFonts w:hint="eastAsia" w:ascii="Times New Roman" w:hAnsi="Times New Roman" w:cs="宋体"/>
          <w:color w:val="auto"/>
          <w:highlight w:val="none"/>
          <w:lang w:eastAsia="zh-CN"/>
        </w:rPr>
        <w:t>速熠素</w:t>
      </w:r>
      <w:r>
        <w:rPr>
          <w:rFonts w:hint="eastAsia" w:ascii="Times New Roman" w:hAnsi="Times New Roman" w:cs="宋体"/>
          <w:color w:val="auto"/>
          <w:highlight w:val="none"/>
        </w:rPr>
        <w:t>。</w:t>
      </w:r>
    </w:p>
    <w:p w14:paraId="0D2A6552">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129" w:name="_Toc24904"/>
      <w:bookmarkStart w:id="130" w:name="_Toc18352"/>
      <w:r>
        <w:rPr>
          <w:rFonts w:hint="eastAsia" w:ascii="Times New Roman" w:hAnsi="Times New Roman" w:cs="黑体"/>
          <w:b/>
          <w:bCs w:val="0"/>
          <w:color w:val="auto"/>
          <w:szCs w:val="24"/>
          <w:highlight w:val="none"/>
        </w:rPr>
        <w:t>样本量计算</w:t>
      </w:r>
      <w:bookmarkEnd w:id="129"/>
      <w:bookmarkEnd w:id="130"/>
    </w:p>
    <w:p w14:paraId="4C293703">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一项在中国进行的瑞能效果的相关</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数据显示，瑞能相对于其对照组化疗前到化疗后1个月的前白蛋白变化的效应值为7.0mg/dl。基于临床实践和参考此项</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结果，假定本</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经</w:t>
      </w:r>
      <w:r>
        <w:rPr>
          <w:rFonts w:hint="eastAsia" w:cs="宋体"/>
          <w:color w:val="auto"/>
          <w:highlight w:val="none"/>
          <w:lang w:val="en-US" w:eastAsia="zh-CN"/>
        </w:rPr>
        <w:t>21</w:t>
      </w:r>
      <w:r>
        <w:rPr>
          <w:rFonts w:hint="eastAsia" w:ascii="Times New Roman" w:hAnsi="Times New Roman" w:cs="宋体"/>
          <w:color w:val="auto"/>
          <w:highlight w:val="none"/>
        </w:rPr>
        <w:t>(±1)天治疗，可接受的非劣效界值为-</w:t>
      </w:r>
      <w:r>
        <w:rPr>
          <w:rFonts w:hint="eastAsia" w:ascii="Times New Roman" w:hAnsi="Times New Roman" w:cs="宋体"/>
          <w:color w:val="auto"/>
          <w:highlight w:val="none"/>
          <w:lang w:val="en-US" w:eastAsia="zh-CN"/>
        </w:rPr>
        <w:t>1.4</w:t>
      </w:r>
      <w:r>
        <w:rPr>
          <w:rFonts w:hint="eastAsia" w:ascii="Times New Roman" w:hAnsi="Times New Roman" w:cs="宋体"/>
          <w:color w:val="auto"/>
          <w:highlight w:val="none"/>
        </w:rPr>
        <w:t>mg/dl，标准差为3.3mg/dl，随机化比例为1：1(君蓓力组：</w:t>
      </w:r>
      <w:r>
        <w:rPr>
          <w:rFonts w:hint="eastAsia" w:ascii="Times New Roman" w:hAnsi="Times New Roman" w:cs="宋体"/>
          <w:color w:val="auto"/>
          <w:highlight w:val="none"/>
          <w:lang w:eastAsia="zh-CN"/>
        </w:rPr>
        <w:t>速熠素</w:t>
      </w:r>
      <w:r>
        <w:rPr>
          <w:rFonts w:hint="eastAsia" w:ascii="Times New Roman" w:hAnsi="Times New Roman" w:cs="宋体"/>
          <w:color w:val="auto"/>
          <w:highlight w:val="none"/>
        </w:rPr>
        <w:t>组)，单侧检验a为0.025，把握度为80%，依据样本量估计专业软件PASS15计算后的样本量每组</w:t>
      </w:r>
      <w:r>
        <w:rPr>
          <w:rFonts w:hint="eastAsia" w:ascii="Times New Roman" w:hAnsi="Times New Roman" w:cs="宋体"/>
          <w:color w:val="auto"/>
          <w:highlight w:val="none"/>
          <w:lang w:val="en-US" w:eastAsia="zh-CN"/>
        </w:rPr>
        <w:t>89</w:t>
      </w:r>
      <w:r>
        <w:rPr>
          <w:rFonts w:hint="eastAsia" w:ascii="Times New Roman" w:hAnsi="Times New Roman" w:cs="宋体"/>
          <w:color w:val="auto"/>
          <w:highlight w:val="none"/>
        </w:rPr>
        <w:t>例，考虑相关法规要求(</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组最少100例)，本</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计划FAS人群共招募200名</w:t>
      </w: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rPr>
        <w:t>，每组100名，该样本量对主要终点的分析则将提供约90%的把握度。</w:t>
      </w:r>
    </w:p>
    <w:p w14:paraId="128C2613">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脱落率</w:t>
      </w:r>
      <w:r>
        <w:rPr>
          <w:rFonts w:hint="eastAsia" w:ascii="Times New Roman" w:hAnsi="Times New Roman" w:cs="宋体"/>
          <w:color w:val="auto"/>
          <w:highlight w:val="none"/>
          <w:lang w:val="en-US" w:eastAsia="zh-CN"/>
        </w:rPr>
        <w:t>为</w:t>
      </w:r>
      <w:r>
        <w:rPr>
          <w:rFonts w:hint="eastAsia" w:ascii="Times New Roman" w:hAnsi="Times New Roman" w:cs="宋体"/>
          <w:color w:val="auto"/>
          <w:highlight w:val="none"/>
        </w:rPr>
        <w:t>20%，则每组应入组120例</w:t>
      </w: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rPr>
        <w:t>。因此招募的总目标病例数应为240例。</w:t>
      </w:r>
    </w:p>
    <w:p w14:paraId="50081B3F">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131" w:name="_Toc7687"/>
      <w:bookmarkStart w:id="132" w:name="_Toc29504"/>
      <w:r>
        <w:rPr>
          <w:rFonts w:hint="eastAsia" w:ascii="Times New Roman" w:hAnsi="Times New Roman" w:cs="黑体"/>
          <w:b/>
          <w:bCs w:val="0"/>
          <w:color w:val="auto"/>
          <w:szCs w:val="24"/>
          <w:highlight w:val="none"/>
        </w:rPr>
        <w:t>随机化</w:t>
      </w:r>
      <w:bookmarkEnd w:id="131"/>
      <w:bookmarkEnd w:id="132"/>
    </w:p>
    <w:p w14:paraId="30949BB1">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将</w:t>
      </w: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rPr>
        <w:t>按1：1比例随机分配至</w:t>
      </w:r>
      <w:r>
        <w:rPr>
          <w:rFonts w:hint="eastAsia" w:ascii="Times New Roman" w:hAnsi="Times New Roman" w:cs="宋体"/>
          <w:color w:val="auto"/>
          <w:highlight w:val="none"/>
          <w:lang w:val="en-US" w:eastAsia="zh-CN"/>
        </w:rPr>
        <w:t>试验组（</w:t>
      </w:r>
      <w:r>
        <w:rPr>
          <w:rFonts w:hint="eastAsia" w:ascii="Times New Roman" w:hAnsi="Times New Roman" w:cs="宋体"/>
          <w:color w:val="auto"/>
          <w:highlight w:val="none"/>
        </w:rPr>
        <w:t>君蓓力组</w:t>
      </w:r>
      <w:r>
        <w:rPr>
          <w:rFonts w:hint="eastAsia" w:ascii="Times New Roman" w:hAnsi="Times New Roman" w:cs="宋体"/>
          <w:color w:val="auto"/>
          <w:highlight w:val="none"/>
          <w:lang w:eastAsia="zh-CN"/>
        </w:rPr>
        <w:t>）</w:t>
      </w:r>
      <w:r>
        <w:rPr>
          <w:rFonts w:hint="eastAsia" w:ascii="Times New Roman" w:hAnsi="Times New Roman" w:cs="宋体"/>
          <w:color w:val="auto"/>
          <w:highlight w:val="none"/>
        </w:rPr>
        <w:t>或对照组（</w:t>
      </w:r>
      <w:r>
        <w:rPr>
          <w:rFonts w:hint="eastAsia" w:ascii="Times New Roman" w:hAnsi="Times New Roman" w:cs="宋体"/>
          <w:color w:val="auto"/>
          <w:highlight w:val="none"/>
          <w:lang w:eastAsia="zh-CN"/>
        </w:rPr>
        <w:t>速熠素</w:t>
      </w:r>
      <w:r>
        <w:rPr>
          <w:rFonts w:hint="eastAsia" w:ascii="Times New Roman" w:hAnsi="Times New Roman" w:cs="宋体"/>
          <w:color w:val="auto"/>
          <w:highlight w:val="none"/>
          <w:lang w:val="en-US" w:eastAsia="zh-CN"/>
        </w:rPr>
        <w:t>组</w:t>
      </w:r>
      <w:r>
        <w:rPr>
          <w:rFonts w:hint="eastAsia" w:ascii="Times New Roman" w:hAnsi="Times New Roman" w:cs="宋体"/>
          <w:color w:val="auto"/>
          <w:highlight w:val="none"/>
        </w:rPr>
        <w:t>）。</w:t>
      </w:r>
    </w:p>
    <w:p w14:paraId="40D6A909">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随机方法：简单随机化。</w:t>
      </w:r>
    </w:p>
    <w:p w14:paraId="460B75A6">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借助系统可以采用简单随机化法。参照闫世艳、姚晨、夏结来在《简单随机化、中心分层区组随机化和最小化法的均衡性比较》中的说明。</w:t>
      </w:r>
    </w:p>
    <w:p w14:paraId="07F56D99">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随机方法：(1) 本次临床试验样本量为240例；(2)产生240个编号，编号为1、2、3……240；(3)借助SPSS 20.0统计分析软件产生受试者的随机编码表，然后通过SPSS20.0软件的随机数字生成器，生成随机数字，然后以试验组与对照组1:1的分配模式，再通过随机个案样本进行分组，产生数字“1”和“0”，数字“1”设定为试验组，数字“0”设定为对照组。</w:t>
      </w:r>
    </w:p>
    <w:p w14:paraId="1F515702">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133" w:name="_Toc23755"/>
      <w:bookmarkStart w:id="134" w:name="_Toc20462"/>
      <w:r>
        <w:rPr>
          <w:rFonts w:hint="eastAsia" w:ascii="Times New Roman" w:hAnsi="Times New Roman" w:cs="黑体"/>
          <w:b/>
          <w:bCs w:val="0"/>
          <w:color w:val="auto"/>
          <w:szCs w:val="24"/>
          <w:highlight w:val="none"/>
        </w:rPr>
        <w:t>期中分析</w:t>
      </w:r>
      <w:bookmarkEnd w:id="133"/>
      <w:bookmarkEnd w:id="134"/>
    </w:p>
    <w:p w14:paraId="65AFFCA1">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未进行期中分析。</w:t>
      </w:r>
    </w:p>
    <w:p w14:paraId="6D84E748">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135" w:name="_Toc26840"/>
      <w:bookmarkStart w:id="136" w:name="_Toc27789"/>
      <w:r>
        <w:rPr>
          <w:rFonts w:hint="eastAsia" w:ascii="Times New Roman" w:hAnsi="Times New Roman" w:cs="黑体"/>
          <w:b/>
          <w:bCs w:val="0"/>
          <w:color w:val="auto"/>
          <w:szCs w:val="24"/>
          <w:highlight w:val="none"/>
        </w:rPr>
        <w:t>分析数据集</w:t>
      </w:r>
      <w:bookmarkEnd w:id="135"/>
      <w:bookmarkEnd w:id="136"/>
    </w:p>
    <w:p w14:paraId="0B14A707">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137" w:name="_Toc32615"/>
      <w:bookmarkStart w:id="138" w:name="_Toc661"/>
      <w:r>
        <w:rPr>
          <w:rFonts w:hint="eastAsia" w:ascii="Times New Roman" w:hAnsi="Times New Roman" w:cs="黑体"/>
          <w:b/>
          <w:bCs/>
          <w:color w:val="auto"/>
          <w:szCs w:val="21"/>
          <w:highlight w:val="none"/>
        </w:rPr>
        <w:t>全分析集（Full Analysis Set，FAS)</w:t>
      </w:r>
      <w:bookmarkEnd w:id="137"/>
      <w:bookmarkEnd w:id="138"/>
    </w:p>
    <w:p w14:paraId="3EE66F90">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全分析集（full analysis set，FAS）通常应包括所有入组且服用过</w:t>
      </w:r>
      <w:r>
        <w:rPr>
          <w:rFonts w:hint="eastAsia" w:ascii="Times New Roman" w:hAnsi="Times New Roman" w:cs="宋体"/>
          <w:color w:val="auto"/>
          <w:highlight w:val="none"/>
          <w:lang w:eastAsia="zh-CN"/>
        </w:rPr>
        <w:t>试验用产品</w:t>
      </w:r>
      <w:r>
        <w:rPr>
          <w:rFonts w:hint="eastAsia" w:ascii="Times New Roman" w:hAnsi="Times New Roman" w:cs="宋体"/>
          <w:color w:val="auto"/>
          <w:highlight w:val="none"/>
        </w:rPr>
        <w:t>的受试者，只有在非常有限的情形下才可剔除受试者，包括违反了重要的入排标准、入组后无任何观察数据的情形。这其中必然包括一部分脱落病例，缺失数据不可避免，对于主要疗效指标发生缺失时的估计，可采用LOCF (last observation carried forward)法填补，即将缺失数据前面最近一次的观测值向后结转进行填补。</w:t>
      </w:r>
    </w:p>
    <w:p w14:paraId="768AE8AD">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139" w:name="_Toc30430"/>
      <w:bookmarkStart w:id="140" w:name="_Toc19109"/>
      <w:r>
        <w:rPr>
          <w:rFonts w:hint="eastAsia" w:ascii="宋体" w:hAnsi="宋体" w:eastAsia="宋体" w:cs="宋体"/>
          <w:b/>
          <w:bCs/>
          <w:color w:val="auto"/>
          <w:szCs w:val="21"/>
          <w:highlight w:val="none"/>
        </w:rPr>
        <w:t>符合方案数据集</w:t>
      </w:r>
      <w:r>
        <w:rPr>
          <w:rFonts w:hint="eastAsia" w:ascii="Times New Roman" w:hAnsi="Times New Roman" w:cs="黑体"/>
          <w:b/>
          <w:bCs/>
          <w:color w:val="auto"/>
          <w:szCs w:val="21"/>
          <w:highlight w:val="none"/>
        </w:rPr>
        <w:t>（Per Protocol Set，PPS</w:t>
      </w:r>
      <w:bookmarkEnd w:id="139"/>
      <w:r>
        <w:rPr>
          <w:rFonts w:hint="eastAsia" w:ascii="Times New Roman" w:hAnsi="Times New Roman" w:cs="黑体"/>
          <w:b/>
          <w:bCs/>
          <w:color w:val="auto"/>
          <w:szCs w:val="21"/>
          <w:highlight w:val="none"/>
          <w:lang w:eastAsia="zh-CN"/>
        </w:rPr>
        <w:t>）</w:t>
      </w:r>
      <w:bookmarkEnd w:id="140"/>
    </w:p>
    <w:p w14:paraId="2A30F318">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符合方案集（Per Protocol Set，PPS</w:t>
      </w:r>
      <w:r>
        <w:rPr>
          <w:rFonts w:hint="eastAsia" w:ascii="Times New Roman" w:hAnsi="Times New Roman" w:cs="宋体"/>
          <w:color w:val="auto"/>
          <w:highlight w:val="none"/>
          <w:lang w:eastAsia="zh-CN"/>
        </w:rPr>
        <w:t>）</w:t>
      </w:r>
      <w:r>
        <w:rPr>
          <w:rFonts w:hint="eastAsia" w:ascii="Times New Roman" w:hAnsi="Times New Roman" w:cs="宋体"/>
          <w:color w:val="auto"/>
          <w:highlight w:val="none"/>
        </w:rPr>
        <w:t>是全分析集的子集，包括已接受方案中规定的治疗、可获得主要评价指标的观察数据、对试验方案没有重大违背的受试者。</w:t>
      </w:r>
    </w:p>
    <w:p w14:paraId="4F572CE1">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141" w:name="_Toc9201"/>
      <w:bookmarkStart w:id="142" w:name="_Toc25528"/>
      <w:r>
        <w:rPr>
          <w:rFonts w:hint="eastAsia" w:ascii="宋体" w:hAnsi="宋体" w:eastAsia="宋体" w:cs="宋体"/>
          <w:b/>
          <w:bCs/>
          <w:color w:val="auto"/>
          <w:szCs w:val="21"/>
          <w:highlight w:val="none"/>
        </w:rPr>
        <w:t>安全性评价数据集</w:t>
      </w:r>
      <w:bookmarkEnd w:id="141"/>
      <w:r>
        <w:rPr>
          <w:rFonts w:hint="eastAsia" w:ascii="Times New Roman" w:hAnsi="Times New Roman" w:cs="黑体"/>
          <w:b/>
          <w:bCs/>
          <w:color w:val="auto"/>
          <w:szCs w:val="21"/>
          <w:highlight w:val="none"/>
        </w:rPr>
        <w:t>（Safety Set，SS）</w:t>
      </w:r>
      <w:bookmarkEnd w:id="142"/>
    </w:p>
    <w:p w14:paraId="1DD6595D">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安全性数据集</w:t>
      </w:r>
      <w:r>
        <w:rPr>
          <w:rFonts w:hint="eastAsia" w:ascii="Times New Roman" w:hAnsi="Times New Roman" w:cs="宋体"/>
          <w:color w:val="auto"/>
          <w:highlight w:val="none"/>
          <w:lang w:val="en-US" w:eastAsia="zh-CN"/>
        </w:rPr>
        <w:t>（</w:t>
      </w:r>
      <w:r>
        <w:rPr>
          <w:rFonts w:hint="eastAsia" w:ascii="Times New Roman" w:hAnsi="Times New Roman" w:cs="宋体"/>
          <w:color w:val="auto"/>
          <w:highlight w:val="none"/>
        </w:rPr>
        <w:t>Safety Set，SS</w:t>
      </w:r>
      <w:r>
        <w:rPr>
          <w:rFonts w:hint="eastAsia" w:ascii="Times New Roman" w:hAnsi="Times New Roman" w:cs="宋体"/>
          <w:color w:val="auto"/>
          <w:highlight w:val="none"/>
          <w:lang w:val="en-US" w:eastAsia="zh-CN"/>
        </w:rPr>
        <w:t>）</w:t>
      </w:r>
      <w:r>
        <w:rPr>
          <w:rFonts w:hint="eastAsia" w:ascii="Times New Roman" w:hAnsi="Times New Roman" w:cs="宋体"/>
          <w:color w:val="auto"/>
          <w:highlight w:val="none"/>
        </w:rPr>
        <w:t>通常应包括所有入组且服用过</w:t>
      </w:r>
      <w:r>
        <w:rPr>
          <w:rFonts w:hint="eastAsia" w:ascii="Times New Roman" w:hAnsi="Times New Roman" w:cs="宋体"/>
          <w:color w:val="auto"/>
          <w:highlight w:val="none"/>
          <w:lang w:eastAsia="zh-CN"/>
        </w:rPr>
        <w:t>试验用产品</w:t>
      </w:r>
      <w:r>
        <w:rPr>
          <w:rFonts w:hint="eastAsia" w:ascii="Times New Roman" w:hAnsi="Times New Roman" w:cs="宋体"/>
          <w:color w:val="auto"/>
          <w:highlight w:val="none"/>
        </w:rPr>
        <w:t>并进行过安全性评价的受试者。受试者如果没有服用过</w:t>
      </w:r>
      <w:r>
        <w:rPr>
          <w:rFonts w:hint="eastAsia" w:ascii="Times New Roman" w:hAnsi="Times New Roman" w:cs="宋体"/>
          <w:color w:val="auto"/>
          <w:highlight w:val="none"/>
          <w:lang w:eastAsia="zh-CN"/>
        </w:rPr>
        <w:t>试验用产品</w:t>
      </w:r>
      <w:r>
        <w:rPr>
          <w:rFonts w:hint="eastAsia" w:ascii="Times New Roman" w:hAnsi="Times New Roman" w:cs="宋体"/>
          <w:color w:val="auto"/>
          <w:highlight w:val="none"/>
        </w:rPr>
        <w:t>，是不作安全性分析的，因而不进入SS。对于安全性数据集，安全性缺失值不得结转。</w:t>
      </w:r>
    </w:p>
    <w:p w14:paraId="1BD97E41">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143" w:name="_Toc21896"/>
      <w:bookmarkStart w:id="144" w:name="_Toc21409"/>
      <w:r>
        <w:rPr>
          <w:rFonts w:hint="eastAsia" w:ascii="Times New Roman" w:hAnsi="Times New Roman" w:cs="黑体"/>
          <w:b/>
          <w:bCs w:val="0"/>
          <w:color w:val="auto"/>
          <w:szCs w:val="24"/>
          <w:highlight w:val="none"/>
        </w:rPr>
        <w:t>统计分析</w:t>
      </w:r>
      <w:bookmarkEnd w:id="143"/>
      <w:bookmarkEnd w:id="144"/>
    </w:p>
    <w:p w14:paraId="6C69C991">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145" w:name="_Toc171"/>
      <w:bookmarkStart w:id="146" w:name="_Toc25035"/>
      <w:r>
        <w:rPr>
          <w:rFonts w:hint="eastAsia" w:ascii="Times New Roman" w:hAnsi="Times New Roman" w:cs="黑体"/>
          <w:b/>
          <w:bCs/>
          <w:color w:val="auto"/>
          <w:szCs w:val="21"/>
          <w:highlight w:val="none"/>
        </w:rPr>
        <w:t>主要疗效指标的分析</w:t>
      </w:r>
      <w:bookmarkEnd w:id="145"/>
      <w:bookmarkEnd w:id="146"/>
    </w:p>
    <w:p w14:paraId="23F32160">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主要疗效指标的分析将对FAS人群及PPS人群进行分析。如果两个人群的分析结论出现不一致时，以PPS人群分析结果下结论并详细检查产生差异的原因。</w:t>
      </w:r>
    </w:p>
    <w:p w14:paraId="5533F7C7">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对主要疗效指标的分析将采用可信区间估计法，</w:t>
      </w:r>
      <w:r>
        <w:rPr>
          <w:rFonts w:hint="eastAsia" w:ascii="Times New Roman" w:hAnsi="Times New Roman" w:cs="宋体"/>
          <w:color w:val="auto"/>
          <w:highlight w:val="none"/>
          <w:lang w:val="en-US" w:eastAsia="zh-CN"/>
        </w:rPr>
        <w:t>末次访视（</w:t>
      </w:r>
      <w:r>
        <w:rPr>
          <w:rFonts w:hint="eastAsia" w:ascii="Times New Roman" w:hAnsi="Times New Roman" w:cs="宋体"/>
          <w:color w:val="auto"/>
          <w:highlight w:val="none"/>
          <w:lang w:eastAsia="zh-CN"/>
        </w:rPr>
        <w:t>第21(±1)天空腹状态</w:t>
      </w:r>
      <w:r>
        <w:rPr>
          <w:rFonts w:hint="eastAsia" w:ascii="Times New Roman" w:hAnsi="Times New Roman" w:cs="宋体"/>
          <w:color w:val="auto"/>
          <w:highlight w:val="none"/>
          <w:lang w:val="en-US" w:eastAsia="zh-CN"/>
        </w:rPr>
        <w:t>）</w:t>
      </w:r>
      <w:r>
        <w:rPr>
          <w:rFonts w:hint="eastAsia" w:ascii="Times New Roman" w:hAnsi="Times New Roman" w:cs="宋体"/>
          <w:color w:val="auto"/>
          <w:highlight w:val="none"/>
        </w:rPr>
        <w:t>与基线相比前白蛋白水平变化的组间差异(君蓓源组-速熠素对照组)的双侧95%(或单侧97.5%)可信区间。作为高优终点指标，若此可信区间的下限大于非劣效界值则视为君蓓力组主要疗效非劣于对照</w:t>
      </w:r>
      <w:r>
        <w:rPr>
          <w:rFonts w:hint="eastAsia" w:ascii="Times New Roman" w:hAnsi="Times New Roman" w:cs="宋体"/>
          <w:color w:val="auto"/>
          <w:highlight w:val="none"/>
          <w:lang w:eastAsia="zh-CN"/>
        </w:rPr>
        <w:t>速熠素</w:t>
      </w:r>
      <w:r>
        <w:rPr>
          <w:rFonts w:hint="eastAsia" w:ascii="Times New Roman" w:hAnsi="Times New Roman" w:cs="宋体"/>
          <w:color w:val="auto"/>
          <w:highlight w:val="none"/>
        </w:rPr>
        <w:t>组。</w:t>
      </w:r>
    </w:p>
    <w:p w14:paraId="454941A8">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非劣效结论成立后与优效性检验的转换：</w:t>
      </w:r>
    </w:p>
    <w:p w14:paraId="2547EEE8">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如果本</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非劣效结论成立，则进一步进行优效性检验。若双侧95%可信区间下限大于0，可间接推论出</w:t>
      </w:r>
      <w:r>
        <w:rPr>
          <w:rFonts w:hint="eastAsia" w:ascii="Times New Roman" w:hAnsi="Times New Roman" w:cs="宋体"/>
          <w:color w:val="auto"/>
          <w:highlight w:val="none"/>
          <w:lang w:eastAsia="zh-CN"/>
        </w:rPr>
        <w:t>试验产品</w:t>
      </w:r>
      <w:r>
        <w:rPr>
          <w:rFonts w:hint="eastAsia" w:ascii="Times New Roman" w:hAnsi="Times New Roman" w:cs="宋体"/>
          <w:color w:val="auto"/>
          <w:highlight w:val="none"/>
        </w:rPr>
        <w:t>君蓓力主要疗效统计学上优于对照产品</w:t>
      </w:r>
      <w:r>
        <w:rPr>
          <w:rFonts w:hint="eastAsia" w:ascii="Times New Roman" w:hAnsi="Times New Roman" w:cs="宋体"/>
          <w:color w:val="auto"/>
          <w:highlight w:val="none"/>
          <w:lang w:eastAsia="zh-CN"/>
        </w:rPr>
        <w:t>速熠素</w:t>
      </w:r>
      <w:r>
        <w:rPr>
          <w:rFonts w:hint="eastAsia" w:ascii="Times New Roman" w:hAnsi="Times New Roman" w:cs="宋体"/>
          <w:color w:val="auto"/>
          <w:highlight w:val="none"/>
        </w:rPr>
        <w:t>。</w:t>
      </w:r>
    </w:p>
    <w:p w14:paraId="6D3A1F6B">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147" w:name="_Toc22994"/>
      <w:bookmarkStart w:id="148" w:name="_Toc5758"/>
      <w:r>
        <w:rPr>
          <w:rFonts w:hint="eastAsia" w:ascii="Times New Roman" w:hAnsi="Times New Roman" w:cs="黑体"/>
          <w:b/>
          <w:bCs/>
          <w:color w:val="auto"/>
          <w:szCs w:val="21"/>
          <w:highlight w:val="none"/>
        </w:rPr>
        <w:t>次要疗效指标及</w:t>
      </w:r>
      <w:r>
        <w:rPr>
          <w:rFonts w:hint="eastAsia" w:ascii="Times New Roman" w:hAnsi="Times New Roman" w:cs="黑体"/>
          <w:b/>
          <w:bCs/>
          <w:color w:val="auto"/>
          <w:szCs w:val="21"/>
          <w:highlight w:val="none"/>
          <w:lang w:eastAsia="zh-CN"/>
        </w:rPr>
        <w:t>临床安全性</w:t>
      </w:r>
      <w:r>
        <w:rPr>
          <w:rFonts w:hint="eastAsia" w:ascii="Times New Roman" w:hAnsi="Times New Roman" w:cs="黑体"/>
          <w:b/>
          <w:bCs/>
          <w:color w:val="auto"/>
          <w:szCs w:val="21"/>
          <w:highlight w:val="none"/>
        </w:rPr>
        <w:t>指标的分析</w:t>
      </w:r>
      <w:bookmarkEnd w:id="147"/>
      <w:bookmarkEnd w:id="148"/>
    </w:p>
    <w:p w14:paraId="445022E6">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免疫及炎性参数、营养学参数及其他参数等具有重复测量结果的连续性指标将按照方案既定的各访视时间点来分别描述其实际值以及各访视点与基线的差异，将分治疗组列出其平均值（标准差）。</w:t>
      </w:r>
    </w:p>
    <w:p w14:paraId="4C0B7C83">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对整个</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期的</w:t>
      </w:r>
      <w:r>
        <w:rPr>
          <w:rFonts w:hint="eastAsia" w:ascii="Times New Roman" w:hAnsi="Times New Roman" w:cs="宋体"/>
          <w:color w:val="auto"/>
          <w:highlight w:val="none"/>
          <w:lang w:eastAsia="zh-CN"/>
        </w:rPr>
        <w:t>临床安全性</w:t>
      </w:r>
      <w:r>
        <w:rPr>
          <w:rFonts w:hint="eastAsia" w:ascii="Times New Roman" w:hAnsi="Times New Roman" w:cs="宋体"/>
          <w:color w:val="auto"/>
          <w:highlight w:val="none"/>
        </w:rPr>
        <w:t>指标进行分组描述。</w:t>
      </w:r>
    </w:p>
    <w:p w14:paraId="210EB0CD">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除非事先规定，次要效果指标的分析将对FAS集、PPS集进行分析，</w:t>
      </w:r>
      <w:r>
        <w:rPr>
          <w:rFonts w:hint="eastAsia" w:ascii="Times New Roman" w:hAnsi="Times New Roman" w:cs="宋体"/>
          <w:color w:val="auto"/>
          <w:highlight w:val="none"/>
          <w:lang w:eastAsia="zh-CN"/>
        </w:rPr>
        <w:t>临床安全性</w:t>
      </w:r>
      <w:r>
        <w:rPr>
          <w:rFonts w:hint="eastAsia" w:ascii="Times New Roman" w:hAnsi="Times New Roman" w:cs="宋体"/>
          <w:color w:val="auto"/>
          <w:highlight w:val="none"/>
        </w:rPr>
        <w:t>指标将对SS集进行分析。</w:t>
      </w:r>
    </w:p>
    <w:p w14:paraId="7FE5775D">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149" w:name="_Toc1153"/>
      <w:bookmarkStart w:id="150" w:name="_Toc23453"/>
      <w:r>
        <w:rPr>
          <w:rFonts w:hint="eastAsia" w:ascii="Times New Roman" w:hAnsi="Times New Roman" w:cs="黑体"/>
          <w:b/>
          <w:bCs/>
          <w:color w:val="auto"/>
          <w:szCs w:val="21"/>
          <w:highlight w:val="none"/>
        </w:rPr>
        <w:t>不良事件分析</w:t>
      </w:r>
      <w:bookmarkEnd w:id="149"/>
      <w:bookmarkEnd w:id="150"/>
    </w:p>
    <w:p w14:paraId="1A4646CA">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不良事件基于SS集进行分析。分组描述各类不良事件 (全部、相关、严重不良事件分别列举）的发生例数、人次数与发生率。</w:t>
      </w:r>
    </w:p>
    <w:p w14:paraId="6B935D0A">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统计分析计划中将详细描述所有计划分析的细节，并在数据库锁定之前定稿。</w:t>
      </w:r>
    </w:p>
    <w:p w14:paraId="715E85D7">
      <w:pPr>
        <w:pStyle w:val="3"/>
        <w:keepNext w:val="0"/>
        <w:keepLines w:val="0"/>
        <w:pageBreakBefore w:val="0"/>
        <w:widowControl w:val="0"/>
        <w:numPr>
          <w:ilvl w:val="0"/>
          <w:numId w:val="1"/>
        </w:numPr>
        <w:kinsoku/>
        <w:wordWrap/>
        <w:overflowPunct/>
        <w:topLinePunct w:val="0"/>
        <w:autoSpaceDE/>
        <w:autoSpaceDN/>
        <w:bidi w:val="0"/>
        <w:adjustRightInd/>
        <w:snapToGrid/>
        <w:spacing w:before="0" w:line="240" w:lineRule="auto"/>
        <w:textAlignment w:val="auto"/>
        <w:rPr>
          <w:rFonts w:ascii="Times New Roman" w:hAnsi="Times New Roman" w:cs="黑体"/>
          <w:b/>
          <w:bCs/>
          <w:color w:val="auto"/>
          <w:szCs w:val="28"/>
          <w:highlight w:val="none"/>
        </w:rPr>
      </w:pPr>
      <w:bookmarkStart w:id="151" w:name="_Toc3185"/>
      <w:bookmarkStart w:id="152" w:name="_Toc25678"/>
      <w:r>
        <w:rPr>
          <w:rFonts w:hint="eastAsia" w:ascii="Times New Roman" w:hAnsi="Times New Roman" w:cs="黑体"/>
          <w:b/>
          <w:bCs/>
          <w:color w:val="auto"/>
          <w:szCs w:val="28"/>
          <w:highlight w:val="none"/>
        </w:rPr>
        <w:t>不良事件处理</w:t>
      </w:r>
      <w:bookmarkEnd w:id="151"/>
      <w:bookmarkEnd w:id="152"/>
    </w:p>
    <w:p w14:paraId="512E5D56">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153" w:name="_Toc31986"/>
      <w:bookmarkStart w:id="154" w:name="_Toc7528"/>
      <w:r>
        <w:rPr>
          <w:rFonts w:hint="eastAsia" w:ascii="Times New Roman" w:hAnsi="Times New Roman" w:cs="黑体"/>
          <w:b/>
          <w:bCs w:val="0"/>
          <w:color w:val="auto"/>
          <w:szCs w:val="24"/>
          <w:highlight w:val="none"/>
        </w:rPr>
        <w:t>不良事件</w:t>
      </w:r>
      <w:bookmarkEnd w:id="153"/>
      <w:bookmarkEnd w:id="154"/>
    </w:p>
    <w:p w14:paraId="153D6AA7">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155" w:name="_Toc17419"/>
      <w:bookmarkStart w:id="156" w:name="_Toc21533"/>
      <w:r>
        <w:rPr>
          <w:rFonts w:hint="eastAsia" w:ascii="Times New Roman" w:hAnsi="Times New Roman" w:cs="黑体"/>
          <w:b/>
          <w:bCs/>
          <w:color w:val="auto"/>
          <w:szCs w:val="21"/>
          <w:highlight w:val="none"/>
        </w:rPr>
        <w:t>不良事件的定义</w:t>
      </w:r>
      <w:bookmarkEnd w:id="155"/>
      <w:bookmarkEnd w:id="156"/>
    </w:p>
    <w:p w14:paraId="4B4D6DD0">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临床试验受试者</w:t>
      </w:r>
      <w:r>
        <w:rPr>
          <w:rFonts w:hint="eastAsia" w:ascii="Times New Roman" w:hAnsi="Times New Roman" w:cs="宋体"/>
          <w:color w:val="auto"/>
          <w:highlight w:val="none"/>
          <w:lang w:val="en-US" w:eastAsia="zh-CN"/>
        </w:rPr>
        <w:t>在</w:t>
      </w:r>
      <w:r>
        <w:rPr>
          <w:rFonts w:hint="eastAsia" w:ascii="Times New Roman" w:hAnsi="Times New Roman" w:cs="宋体"/>
          <w:color w:val="auto"/>
          <w:highlight w:val="none"/>
        </w:rPr>
        <w:t>临床试验过程中</w:t>
      </w:r>
      <w:r>
        <w:rPr>
          <w:rFonts w:hint="eastAsia" w:ascii="Times New Roman" w:hAnsi="Times New Roman" w:cs="宋体"/>
          <w:color w:val="auto"/>
          <w:highlight w:val="none"/>
          <w:lang w:val="en-US" w:eastAsia="zh-CN"/>
        </w:rPr>
        <w:t>发生</w:t>
      </w:r>
      <w:r>
        <w:rPr>
          <w:rFonts w:hint="eastAsia" w:ascii="Times New Roman" w:hAnsi="Times New Roman" w:cs="宋体"/>
          <w:color w:val="auto"/>
          <w:highlight w:val="none"/>
        </w:rPr>
        <w:t>的不良反应，但并不一定有因果关系。</w:t>
      </w:r>
    </w:p>
    <w:p w14:paraId="596E8C71">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157" w:name="_Toc29"/>
      <w:bookmarkStart w:id="158" w:name="_Toc1895"/>
      <w:r>
        <w:rPr>
          <w:rFonts w:hint="eastAsia" w:ascii="Times New Roman" w:hAnsi="Times New Roman" w:cs="黑体"/>
          <w:b/>
          <w:bCs/>
          <w:color w:val="auto"/>
          <w:szCs w:val="21"/>
          <w:highlight w:val="none"/>
        </w:rPr>
        <w:t>不良事件的分级</w:t>
      </w:r>
      <w:bookmarkEnd w:id="157"/>
      <w:bookmarkEnd w:id="158"/>
    </w:p>
    <w:p w14:paraId="5AA713B1">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轻：受试者可忍受、不影响诊疗，不需要特别处理，对受试者健康无影响。</w:t>
      </w:r>
    </w:p>
    <w:p w14:paraId="6DD566C9">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中：受试者难以忍受、需要做特殊处理，对受试者健康有直接影响。</w:t>
      </w:r>
    </w:p>
    <w:p w14:paraId="2D73F068">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重：危及受试者生命，致死或致残，需立即做紧急处理。</w:t>
      </w:r>
    </w:p>
    <w:p w14:paraId="0B05DEDA">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159" w:name="_Toc27322"/>
      <w:r>
        <w:rPr>
          <w:rFonts w:hint="eastAsia" w:ascii="Times New Roman" w:hAnsi="Times New Roman" w:cs="黑体"/>
          <w:b/>
          <w:bCs/>
          <w:color w:val="auto"/>
          <w:szCs w:val="21"/>
          <w:highlight w:val="none"/>
        </w:rPr>
        <w:t>与</w:t>
      </w:r>
      <w:r>
        <w:rPr>
          <w:rFonts w:hint="eastAsia" w:ascii="Times New Roman" w:hAnsi="Times New Roman" w:cs="黑体"/>
          <w:b/>
          <w:bCs/>
          <w:color w:val="auto"/>
          <w:szCs w:val="21"/>
          <w:highlight w:val="none"/>
          <w:lang w:eastAsia="zh-CN"/>
        </w:rPr>
        <w:t>试验用产品</w:t>
      </w:r>
      <w:r>
        <w:rPr>
          <w:rFonts w:hint="eastAsia" w:ascii="Times New Roman" w:hAnsi="Times New Roman" w:cs="黑体"/>
          <w:b/>
          <w:bCs/>
          <w:color w:val="auto"/>
          <w:szCs w:val="21"/>
          <w:highlight w:val="none"/>
        </w:rPr>
        <w:t>的关系</w:t>
      </w:r>
      <w:bookmarkEnd w:id="159"/>
    </w:p>
    <w:p w14:paraId="46A20A3E">
      <w:pPr>
        <w:keepNext w:val="0"/>
        <w:keepLines w:val="0"/>
        <w:pageBreakBefore w:val="0"/>
        <w:widowControl w:val="0"/>
        <w:kinsoku/>
        <w:wordWrap/>
        <w:overflowPunct/>
        <w:topLinePunct w:val="0"/>
        <w:autoSpaceDE/>
        <w:autoSpaceDN/>
        <w:bidi w:val="0"/>
        <w:adjustRightInd/>
        <w:snapToGrid/>
        <w:spacing w:before="0" w:beforeLines="0" w:line="360" w:lineRule="auto"/>
        <w:ind w:firstLine="420" w:firstLineChars="200"/>
        <w:jc w:val="left"/>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对所有不良事件与</w:t>
      </w:r>
      <w:r>
        <w:rPr>
          <w:rFonts w:hint="eastAsia" w:ascii="Times New Roman" w:hAnsi="Times New Roman" w:cs="宋体"/>
          <w:color w:val="auto"/>
          <w:szCs w:val="21"/>
          <w:highlight w:val="none"/>
          <w:lang w:eastAsia="zh-CN"/>
        </w:rPr>
        <w:t>试验用产品</w:t>
      </w:r>
      <w:r>
        <w:rPr>
          <w:rFonts w:hint="eastAsia" w:ascii="Times New Roman" w:hAnsi="Times New Roman" w:cs="宋体"/>
          <w:color w:val="auto"/>
          <w:szCs w:val="21"/>
          <w:highlight w:val="none"/>
        </w:rPr>
        <w:t>关系的因果分析，均按肯定有关、可能有关、可能无关、肯定无关、无法判定五级进行判断。因果分析的考虑因素有以下五个方面：</w:t>
      </w:r>
    </w:p>
    <w:p w14:paraId="0AA86A13">
      <w:pPr>
        <w:keepNext w:val="0"/>
        <w:keepLines w:val="0"/>
        <w:pageBreakBefore w:val="0"/>
        <w:widowControl w:val="0"/>
        <w:kinsoku/>
        <w:wordWrap/>
        <w:overflowPunct/>
        <w:topLinePunct w:val="0"/>
        <w:autoSpaceDE/>
        <w:autoSpaceDN/>
        <w:bidi w:val="0"/>
        <w:adjustRightInd/>
        <w:snapToGrid/>
        <w:spacing w:before="0" w:beforeLines="0" w:line="360" w:lineRule="auto"/>
        <w:ind w:firstLine="420"/>
        <w:jc w:val="left"/>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(1) 该不良事件可用合并用械/药、</w:t>
      </w:r>
      <w:r>
        <w:rPr>
          <w:rFonts w:hint="eastAsia" w:ascii="Times New Roman" w:hAnsi="Times New Roman" w:cs="宋体"/>
          <w:color w:val="auto"/>
          <w:szCs w:val="21"/>
          <w:highlight w:val="none"/>
          <w:lang w:eastAsia="zh-CN"/>
        </w:rPr>
        <w:t>受试者</w:t>
      </w:r>
      <w:r>
        <w:rPr>
          <w:rFonts w:hint="eastAsia" w:ascii="Times New Roman" w:hAnsi="Times New Roman" w:cs="宋体"/>
          <w:color w:val="auto"/>
          <w:szCs w:val="21"/>
          <w:highlight w:val="none"/>
        </w:rPr>
        <w:t>病情进展、其他治疗影响来解释（其他解释）；</w:t>
      </w:r>
    </w:p>
    <w:p w14:paraId="7FAC7DA3">
      <w:pPr>
        <w:keepNext w:val="0"/>
        <w:keepLines w:val="0"/>
        <w:pageBreakBefore w:val="0"/>
        <w:widowControl w:val="0"/>
        <w:kinsoku/>
        <w:wordWrap/>
        <w:overflowPunct/>
        <w:topLinePunct w:val="0"/>
        <w:autoSpaceDE/>
        <w:autoSpaceDN/>
        <w:bidi w:val="0"/>
        <w:adjustRightInd/>
        <w:snapToGrid/>
        <w:spacing w:before="0" w:beforeLines="0" w:line="360" w:lineRule="auto"/>
        <w:ind w:firstLine="420"/>
        <w:jc w:val="left"/>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(2) 开始服用</w:t>
      </w:r>
      <w:r>
        <w:rPr>
          <w:rFonts w:hint="eastAsia" w:ascii="Times New Roman" w:hAnsi="Times New Roman" w:cs="宋体"/>
          <w:color w:val="auto"/>
          <w:szCs w:val="21"/>
          <w:highlight w:val="none"/>
          <w:lang w:eastAsia="zh-CN"/>
        </w:rPr>
        <w:t>试验用产品</w:t>
      </w:r>
      <w:r>
        <w:rPr>
          <w:rFonts w:hint="eastAsia" w:ascii="Times New Roman" w:hAnsi="Times New Roman" w:cs="宋体"/>
          <w:color w:val="auto"/>
          <w:szCs w:val="21"/>
          <w:highlight w:val="none"/>
        </w:rPr>
        <w:t>的时间和不良事件出现的时间有无合理的先后关系；</w:t>
      </w:r>
    </w:p>
    <w:p w14:paraId="6E1F9F25">
      <w:pPr>
        <w:keepNext w:val="0"/>
        <w:keepLines w:val="0"/>
        <w:pageBreakBefore w:val="0"/>
        <w:widowControl w:val="0"/>
        <w:kinsoku/>
        <w:wordWrap/>
        <w:overflowPunct/>
        <w:topLinePunct w:val="0"/>
        <w:autoSpaceDE/>
        <w:autoSpaceDN/>
        <w:bidi w:val="0"/>
        <w:adjustRightInd/>
        <w:snapToGrid/>
        <w:spacing w:before="0" w:beforeLines="0" w:line="360" w:lineRule="auto"/>
        <w:ind w:firstLine="420"/>
        <w:jc w:val="left"/>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(3) 不良事件是否符合该</w:t>
      </w:r>
      <w:r>
        <w:rPr>
          <w:rFonts w:hint="eastAsia" w:ascii="Times New Roman" w:hAnsi="Times New Roman" w:cs="宋体"/>
          <w:color w:val="auto"/>
          <w:szCs w:val="21"/>
          <w:highlight w:val="none"/>
          <w:lang w:eastAsia="zh-CN"/>
        </w:rPr>
        <w:t>试验用产品</w:t>
      </w:r>
      <w:r>
        <w:rPr>
          <w:rFonts w:hint="eastAsia" w:ascii="Times New Roman" w:hAnsi="Times New Roman" w:cs="宋体"/>
          <w:color w:val="auto"/>
          <w:szCs w:val="21"/>
          <w:highlight w:val="none"/>
        </w:rPr>
        <w:t>已知的不良事件（符合文献或已上市同类产品公开的不良事件）；</w:t>
      </w:r>
    </w:p>
    <w:p w14:paraId="4A958758">
      <w:pPr>
        <w:keepNext w:val="0"/>
        <w:keepLines w:val="0"/>
        <w:pageBreakBefore w:val="0"/>
        <w:widowControl w:val="0"/>
        <w:kinsoku/>
        <w:wordWrap/>
        <w:overflowPunct/>
        <w:topLinePunct w:val="0"/>
        <w:autoSpaceDE/>
        <w:autoSpaceDN/>
        <w:bidi w:val="0"/>
        <w:adjustRightInd/>
        <w:snapToGrid/>
        <w:spacing w:before="0" w:beforeLines="0" w:line="360" w:lineRule="auto"/>
        <w:ind w:firstLine="420"/>
        <w:jc w:val="left"/>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(4) 发现</w:t>
      </w:r>
      <w:r>
        <w:rPr>
          <w:rFonts w:hint="eastAsia" w:ascii="Times New Roman" w:hAnsi="Times New Roman" w:cs="宋体"/>
          <w:color w:val="auto"/>
          <w:szCs w:val="21"/>
          <w:highlight w:val="none"/>
          <w:lang w:eastAsia="zh-CN"/>
        </w:rPr>
        <w:t>试验用产品</w:t>
      </w:r>
      <w:r>
        <w:rPr>
          <w:rFonts w:hint="eastAsia" w:ascii="Times New Roman" w:hAnsi="Times New Roman" w:cs="宋体"/>
          <w:color w:val="auto"/>
          <w:szCs w:val="21"/>
          <w:highlight w:val="none"/>
        </w:rPr>
        <w:t>缺陷，并与不良事件直接相关（</w:t>
      </w:r>
      <w:r>
        <w:rPr>
          <w:rFonts w:hint="eastAsia" w:ascii="Times New Roman" w:hAnsi="Times New Roman" w:cs="宋体"/>
          <w:color w:val="auto"/>
          <w:szCs w:val="21"/>
          <w:highlight w:val="none"/>
          <w:lang w:eastAsia="zh-CN"/>
        </w:rPr>
        <w:t>试验用产品</w:t>
      </w:r>
      <w:r>
        <w:rPr>
          <w:rFonts w:hint="eastAsia" w:ascii="Times New Roman" w:hAnsi="Times New Roman" w:cs="宋体"/>
          <w:color w:val="auto"/>
          <w:szCs w:val="21"/>
          <w:highlight w:val="none"/>
        </w:rPr>
        <w:t>缺陷）；</w:t>
      </w:r>
    </w:p>
    <w:p w14:paraId="39F2650F">
      <w:pPr>
        <w:keepNext w:val="0"/>
        <w:keepLines w:val="0"/>
        <w:pageBreakBefore w:val="0"/>
        <w:widowControl w:val="0"/>
        <w:kinsoku/>
        <w:wordWrap/>
        <w:overflowPunct/>
        <w:topLinePunct w:val="0"/>
        <w:autoSpaceDE/>
        <w:autoSpaceDN/>
        <w:bidi w:val="0"/>
        <w:adjustRightInd/>
        <w:snapToGrid/>
        <w:spacing w:before="0" w:beforeLines="0" w:line="360" w:lineRule="auto"/>
        <w:ind w:firstLine="420"/>
        <w:jc w:val="left"/>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(5) 停止服用后不良事件是否消失或减轻；</w:t>
      </w:r>
    </w:p>
    <w:p w14:paraId="7387B773">
      <w:pPr>
        <w:keepNext w:val="0"/>
        <w:keepLines w:val="0"/>
        <w:pageBreakBefore w:val="0"/>
        <w:widowControl w:val="0"/>
        <w:kinsoku/>
        <w:wordWrap/>
        <w:overflowPunct/>
        <w:topLinePunct w:val="0"/>
        <w:autoSpaceDE/>
        <w:autoSpaceDN/>
        <w:bidi w:val="0"/>
        <w:adjustRightInd/>
        <w:snapToGrid/>
        <w:spacing w:before="0" w:beforeLines="0" w:line="360" w:lineRule="auto"/>
        <w:ind w:firstLine="420"/>
        <w:jc w:val="left"/>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(6) 再次接触同样的</w:t>
      </w:r>
      <w:r>
        <w:rPr>
          <w:rFonts w:hint="eastAsia" w:ascii="Times New Roman" w:hAnsi="Times New Roman" w:cs="宋体"/>
          <w:color w:val="auto"/>
          <w:szCs w:val="21"/>
          <w:highlight w:val="none"/>
          <w:lang w:eastAsia="zh-CN"/>
        </w:rPr>
        <w:t>试验用产品</w:t>
      </w:r>
      <w:r>
        <w:rPr>
          <w:rFonts w:hint="eastAsia" w:ascii="Times New Roman" w:hAnsi="Times New Roman" w:cs="宋体"/>
          <w:color w:val="auto"/>
          <w:szCs w:val="21"/>
          <w:highlight w:val="none"/>
        </w:rPr>
        <w:t>后，不良事件是否再次出现（再用再现）。</w:t>
      </w:r>
    </w:p>
    <w:p w14:paraId="30FE1095">
      <w:pPr>
        <w:keepNext w:val="0"/>
        <w:keepLines w:val="0"/>
        <w:pageBreakBefore w:val="0"/>
        <w:widowControl w:val="0"/>
        <w:kinsoku/>
        <w:wordWrap/>
        <w:overflowPunct/>
        <w:topLinePunct w:val="0"/>
        <w:autoSpaceDE/>
        <w:autoSpaceDN/>
        <w:bidi w:val="0"/>
        <w:adjustRightInd/>
        <w:snapToGrid/>
        <w:spacing w:before="0" w:beforeLines="0" w:line="360" w:lineRule="auto"/>
        <w:ind w:firstLine="420"/>
        <w:jc w:val="left"/>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研究者应对不良事件和</w:t>
      </w:r>
      <w:r>
        <w:rPr>
          <w:rFonts w:hint="eastAsia" w:ascii="Times New Roman" w:hAnsi="Times New Roman" w:cs="宋体"/>
          <w:color w:val="auto"/>
          <w:szCs w:val="21"/>
          <w:highlight w:val="none"/>
          <w:lang w:eastAsia="zh-CN"/>
        </w:rPr>
        <w:t>试验用产品</w:t>
      </w:r>
      <w:r>
        <w:rPr>
          <w:rFonts w:hint="eastAsia" w:ascii="Times New Roman" w:hAnsi="Times New Roman" w:cs="宋体"/>
          <w:color w:val="auto"/>
          <w:szCs w:val="21"/>
          <w:highlight w:val="none"/>
        </w:rPr>
        <w:t>缺陷之间可能存在的关联作出评估，不良事件与</w:t>
      </w:r>
      <w:r>
        <w:rPr>
          <w:rFonts w:hint="eastAsia" w:ascii="Times New Roman" w:hAnsi="Times New Roman" w:cs="宋体"/>
          <w:color w:val="auto"/>
          <w:szCs w:val="21"/>
          <w:highlight w:val="none"/>
          <w:lang w:eastAsia="zh-CN"/>
        </w:rPr>
        <w:t>试验用产品</w:t>
      </w:r>
      <w:r>
        <w:rPr>
          <w:rFonts w:hint="eastAsia" w:ascii="Times New Roman" w:hAnsi="Times New Roman" w:cs="宋体"/>
          <w:color w:val="auto"/>
          <w:szCs w:val="21"/>
          <w:highlight w:val="none"/>
        </w:rPr>
        <w:t>的因果关系判定方法（从左到右依次判断）可参照下表，如存在争议，由协调研究者组织各中心的主要研究者参与讨论。具体由研究者根据临床经验结合不良事件的情况判断其与</w:t>
      </w:r>
      <w:r>
        <w:rPr>
          <w:rFonts w:hint="eastAsia" w:ascii="Times New Roman" w:hAnsi="Times New Roman" w:cs="宋体"/>
          <w:color w:val="auto"/>
          <w:szCs w:val="21"/>
          <w:highlight w:val="none"/>
          <w:lang w:eastAsia="zh-CN"/>
        </w:rPr>
        <w:t>试验用产品</w:t>
      </w:r>
      <w:r>
        <w:rPr>
          <w:rFonts w:hint="eastAsia" w:ascii="Times New Roman" w:hAnsi="Times New Roman" w:cs="宋体"/>
          <w:color w:val="auto"/>
          <w:szCs w:val="21"/>
          <w:highlight w:val="none"/>
        </w:rPr>
        <w:t>的相关性。</w:t>
      </w:r>
    </w:p>
    <w:tbl>
      <w:tblPr>
        <w:tblStyle w:val="29"/>
        <w:tblW w:w="494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1"/>
        <w:gridCol w:w="1076"/>
        <w:gridCol w:w="1309"/>
        <w:gridCol w:w="1083"/>
        <w:gridCol w:w="1545"/>
        <w:gridCol w:w="1145"/>
        <w:gridCol w:w="1113"/>
      </w:tblGrid>
      <w:tr w14:paraId="28058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pct"/>
          </w:tcPr>
          <w:p w14:paraId="4892B3B0">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b/>
                <w:bCs/>
                <w:color w:val="auto"/>
                <w:szCs w:val="21"/>
                <w:highlight w:val="none"/>
              </w:rPr>
            </w:pPr>
            <w:r>
              <w:rPr>
                <w:rFonts w:hint="eastAsia" w:ascii="Times New Roman" w:hAnsi="Times New Roman" w:cs="宋体"/>
                <w:b/>
                <w:bCs/>
                <w:color w:val="auto"/>
                <w:szCs w:val="21"/>
                <w:highlight w:val="none"/>
              </w:rPr>
              <w:t>因果关系</w:t>
            </w:r>
          </w:p>
        </w:tc>
        <w:tc>
          <w:tcPr>
            <w:tcW w:w="638" w:type="pct"/>
          </w:tcPr>
          <w:p w14:paraId="1CF69110">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b/>
                <w:bCs/>
                <w:color w:val="auto"/>
                <w:szCs w:val="21"/>
                <w:highlight w:val="none"/>
              </w:rPr>
            </w:pPr>
            <w:r>
              <w:rPr>
                <w:rFonts w:hint="eastAsia" w:ascii="Times New Roman" w:hAnsi="Times New Roman" w:cs="宋体"/>
                <w:b/>
                <w:bCs/>
                <w:color w:val="auto"/>
                <w:szCs w:val="21"/>
                <w:highlight w:val="none"/>
              </w:rPr>
              <w:t>其他解释</w:t>
            </w:r>
          </w:p>
        </w:tc>
        <w:tc>
          <w:tcPr>
            <w:tcW w:w="776" w:type="pct"/>
          </w:tcPr>
          <w:p w14:paraId="2FFF08EA">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b/>
                <w:bCs/>
                <w:color w:val="auto"/>
                <w:szCs w:val="21"/>
                <w:highlight w:val="none"/>
              </w:rPr>
            </w:pPr>
            <w:r>
              <w:rPr>
                <w:rFonts w:hint="eastAsia" w:ascii="Times New Roman" w:hAnsi="Times New Roman" w:cs="宋体"/>
                <w:b/>
                <w:bCs/>
                <w:color w:val="auto"/>
                <w:szCs w:val="21"/>
                <w:highlight w:val="none"/>
              </w:rPr>
              <w:t>使用后出现</w:t>
            </w:r>
          </w:p>
        </w:tc>
        <w:tc>
          <w:tcPr>
            <w:tcW w:w="642" w:type="pct"/>
          </w:tcPr>
          <w:p w14:paraId="2F4F9A69">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b/>
                <w:bCs/>
                <w:color w:val="auto"/>
                <w:szCs w:val="21"/>
                <w:highlight w:val="none"/>
              </w:rPr>
            </w:pPr>
            <w:r>
              <w:rPr>
                <w:rFonts w:hint="eastAsia" w:ascii="Times New Roman" w:hAnsi="Times New Roman" w:cs="宋体"/>
                <w:b/>
                <w:bCs/>
                <w:color w:val="auto"/>
                <w:szCs w:val="21"/>
                <w:highlight w:val="none"/>
              </w:rPr>
              <w:t>符合文献</w:t>
            </w:r>
          </w:p>
        </w:tc>
        <w:tc>
          <w:tcPr>
            <w:tcW w:w="916" w:type="pct"/>
          </w:tcPr>
          <w:p w14:paraId="33B75406">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b/>
                <w:bCs/>
                <w:color w:val="auto"/>
                <w:szCs w:val="21"/>
                <w:highlight w:val="none"/>
              </w:rPr>
            </w:pPr>
            <w:r>
              <w:rPr>
                <w:rFonts w:hint="eastAsia" w:ascii="Times New Roman" w:hAnsi="Times New Roman" w:cs="宋体"/>
                <w:b/>
                <w:bCs/>
                <w:color w:val="auto"/>
                <w:szCs w:val="21"/>
                <w:highlight w:val="none"/>
                <w:lang w:eastAsia="zh-CN"/>
              </w:rPr>
              <w:t>试验用产品</w:t>
            </w:r>
            <w:r>
              <w:rPr>
                <w:rFonts w:hint="eastAsia" w:ascii="Times New Roman" w:hAnsi="Times New Roman" w:cs="宋体"/>
                <w:b/>
                <w:bCs/>
                <w:color w:val="auto"/>
                <w:szCs w:val="21"/>
                <w:highlight w:val="none"/>
              </w:rPr>
              <w:t>缺陷</w:t>
            </w:r>
          </w:p>
        </w:tc>
        <w:tc>
          <w:tcPr>
            <w:tcW w:w="679" w:type="pct"/>
          </w:tcPr>
          <w:p w14:paraId="2FE2604C">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b/>
                <w:bCs/>
                <w:color w:val="auto"/>
                <w:szCs w:val="21"/>
                <w:highlight w:val="none"/>
              </w:rPr>
            </w:pPr>
            <w:r>
              <w:rPr>
                <w:rFonts w:hint="eastAsia" w:ascii="Times New Roman" w:hAnsi="Times New Roman" w:cs="宋体"/>
                <w:b/>
                <w:bCs/>
                <w:color w:val="auto"/>
                <w:szCs w:val="21"/>
                <w:highlight w:val="none"/>
              </w:rPr>
              <w:t>停用后消失</w:t>
            </w:r>
          </w:p>
        </w:tc>
        <w:tc>
          <w:tcPr>
            <w:tcW w:w="658" w:type="pct"/>
          </w:tcPr>
          <w:p w14:paraId="54B5C044">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b/>
                <w:bCs/>
                <w:color w:val="auto"/>
                <w:szCs w:val="21"/>
                <w:highlight w:val="none"/>
              </w:rPr>
            </w:pPr>
            <w:r>
              <w:rPr>
                <w:rFonts w:hint="eastAsia" w:ascii="Times New Roman" w:hAnsi="Times New Roman" w:cs="宋体"/>
                <w:b/>
                <w:bCs/>
                <w:color w:val="auto"/>
                <w:szCs w:val="21"/>
                <w:highlight w:val="none"/>
              </w:rPr>
              <w:t>再用再现</w:t>
            </w:r>
          </w:p>
        </w:tc>
      </w:tr>
      <w:tr w14:paraId="18207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pct"/>
          </w:tcPr>
          <w:p w14:paraId="4D3043AA">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肯定有关</w:t>
            </w:r>
          </w:p>
        </w:tc>
        <w:tc>
          <w:tcPr>
            <w:tcW w:w="638" w:type="pct"/>
          </w:tcPr>
          <w:p w14:paraId="0EF639A7">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w:t>
            </w:r>
          </w:p>
        </w:tc>
        <w:tc>
          <w:tcPr>
            <w:tcW w:w="776" w:type="pct"/>
          </w:tcPr>
          <w:p w14:paraId="176C14B0">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w:t>
            </w:r>
          </w:p>
        </w:tc>
        <w:tc>
          <w:tcPr>
            <w:tcW w:w="642" w:type="pct"/>
          </w:tcPr>
          <w:p w14:paraId="3A294C77">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w:t>
            </w:r>
          </w:p>
        </w:tc>
        <w:tc>
          <w:tcPr>
            <w:tcW w:w="916" w:type="pct"/>
          </w:tcPr>
          <w:p w14:paraId="548EAAEC">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w:t>
            </w:r>
          </w:p>
        </w:tc>
        <w:tc>
          <w:tcPr>
            <w:tcW w:w="679" w:type="pct"/>
          </w:tcPr>
          <w:p w14:paraId="585ABF79">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w:t>
            </w:r>
          </w:p>
        </w:tc>
        <w:tc>
          <w:tcPr>
            <w:tcW w:w="658" w:type="pct"/>
          </w:tcPr>
          <w:p w14:paraId="75F01187">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w:t>
            </w:r>
          </w:p>
        </w:tc>
      </w:tr>
      <w:tr w14:paraId="6624B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pct"/>
          </w:tcPr>
          <w:p w14:paraId="0F3EE78A">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可能有关</w:t>
            </w:r>
          </w:p>
        </w:tc>
        <w:tc>
          <w:tcPr>
            <w:tcW w:w="638" w:type="pct"/>
          </w:tcPr>
          <w:p w14:paraId="140B480B">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w:t>
            </w:r>
          </w:p>
        </w:tc>
        <w:tc>
          <w:tcPr>
            <w:tcW w:w="776" w:type="pct"/>
          </w:tcPr>
          <w:p w14:paraId="43A1FB46">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w:t>
            </w:r>
          </w:p>
        </w:tc>
        <w:tc>
          <w:tcPr>
            <w:tcW w:w="642" w:type="pct"/>
          </w:tcPr>
          <w:p w14:paraId="26482EF2">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w:t>
            </w:r>
          </w:p>
        </w:tc>
        <w:tc>
          <w:tcPr>
            <w:tcW w:w="916" w:type="pct"/>
          </w:tcPr>
          <w:p w14:paraId="5EDCB0E7">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w:t>
            </w:r>
          </w:p>
        </w:tc>
        <w:tc>
          <w:tcPr>
            <w:tcW w:w="679" w:type="pct"/>
          </w:tcPr>
          <w:p w14:paraId="377AABB5">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w:t>
            </w:r>
          </w:p>
        </w:tc>
        <w:tc>
          <w:tcPr>
            <w:tcW w:w="658" w:type="pct"/>
          </w:tcPr>
          <w:p w14:paraId="7395DE7A">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w:t>
            </w:r>
          </w:p>
        </w:tc>
      </w:tr>
      <w:tr w14:paraId="57EDF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pct"/>
          </w:tcPr>
          <w:p w14:paraId="6A262CB0">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可能无关</w:t>
            </w:r>
          </w:p>
        </w:tc>
        <w:tc>
          <w:tcPr>
            <w:tcW w:w="638" w:type="pct"/>
          </w:tcPr>
          <w:p w14:paraId="06919D34">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w:t>
            </w:r>
          </w:p>
        </w:tc>
        <w:tc>
          <w:tcPr>
            <w:tcW w:w="776" w:type="pct"/>
          </w:tcPr>
          <w:p w14:paraId="6817AE45">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w:t>
            </w:r>
          </w:p>
        </w:tc>
        <w:tc>
          <w:tcPr>
            <w:tcW w:w="642" w:type="pct"/>
          </w:tcPr>
          <w:p w14:paraId="09945D95">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w:t>
            </w:r>
          </w:p>
        </w:tc>
        <w:tc>
          <w:tcPr>
            <w:tcW w:w="916" w:type="pct"/>
          </w:tcPr>
          <w:p w14:paraId="3810C6D8">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w:t>
            </w:r>
          </w:p>
        </w:tc>
        <w:tc>
          <w:tcPr>
            <w:tcW w:w="679" w:type="pct"/>
          </w:tcPr>
          <w:p w14:paraId="2876D995">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w:t>
            </w:r>
          </w:p>
        </w:tc>
        <w:tc>
          <w:tcPr>
            <w:tcW w:w="658" w:type="pct"/>
          </w:tcPr>
          <w:p w14:paraId="71CEEE7E">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w:t>
            </w:r>
          </w:p>
        </w:tc>
      </w:tr>
      <w:tr w14:paraId="3C170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pct"/>
          </w:tcPr>
          <w:p w14:paraId="387BD440">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肯定无关</w:t>
            </w:r>
          </w:p>
        </w:tc>
        <w:tc>
          <w:tcPr>
            <w:tcW w:w="638" w:type="pct"/>
          </w:tcPr>
          <w:p w14:paraId="06DDD00D">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w:t>
            </w:r>
          </w:p>
        </w:tc>
        <w:tc>
          <w:tcPr>
            <w:tcW w:w="776" w:type="pct"/>
          </w:tcPr>
          <w:p w14:paraId="3DBDF769">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w:t>
            </w:r>
          </w:p>
        </w:tc>
        <w:tc>
          <w:tcPr>
            <w:tcW w:w="642" w:type="pct"/>
          </w:tcPr>
          <w:p w14:paraId="2B4E2297">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w:t>
            </w:r>
          </w:p>
        </w:tc>
        <w:tc>
          <w:tcPr>
            <w:tcW w:w="916" w:type="pct"/>
          </w:tcPr>
          <w:p w14:paraId="5E0EBB68">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w:t>
            </w:r>
          </w:p>
        </w:tc>
        <w:tc>
          <w:tcPr>
            <w:tcW w:w="679" w:type="pct"/>
          </w:tcPr>
          <w:p w14:paraId="7972BB71">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w:t>
            </w:r>
          </w:p>
        </w:tc>
        <w:tc>
          <w:tcPr>
            <w:tcW w:w="658" w:type="pct"/>
          </w:tcPr>
          <w:p w14:paraId="23AB10E6">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w:t>
            </w:r>
          </w:p>
        </w:tc>
      </w:tr>
      <w:tr w14:paraId="2EEDA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pct"/>
          </w:tcPr>
          <w:p w14:paraId="603CEB42">
            <w:pPr>
              <w:keepNext w:val="0"/>
              <w:keepLines w:val="0"/>
              <w:pageBreakBefore w:val="0"/>
              <w:widowControl w:val="0"/>
              <w:kinsoku/>
              <w:wordWrap/>
              <w:overflowPunct/>
              <w:topLinePunct w:val="0"/>
              <w:autoSpaceDE/>
              <w:autoSpaceDN/>
              <w:bidi w:val="0"/>
              <w:adjustRightInd/>
              <w:snapToGrid/>
              <w:spacing w:before="0" w:beforeLines="0"/>
              <w:jc w:val="center"/>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无法判定</w:t>
            </w:r>
          </w:p>
        </w:tc>
        <w:tc>
          <w:tcPr>
            <w:tcW w:w="4310" w:type="pct"/>
            <w:gridSpan w:val="6"/>
          </w:tcPr>
          <w:p w14:paraId="3BB26514">
            <w:pPr>
              <w:keepNext w:val="0"/>
              <w:keepLines w:val="0"/>
              <w:pageBreakBefore w:val="0"/>
              <w:widowControl w:val="0"/>
              <w:kinsoku/>
              <w:wordWrap/>
              <w:overflowPunct/>
              <w:topLinePunct w:val="0"/>
              <w:autoSpaceDE/>
              <w:autoSpaceDN/>
              <w:bidi w:val="0"/>
              <w:adjustRightInd/>
              <w:snapToGrid/>
              <w:spacing w:before="0" w:beforeLines="0"/>
              <w:jc w:val="left"/>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(1) 两者时间关系不明确；(2) 报告内容描述不清、其他影响因素不明确、资料无法补充等。满足上述一条即可。</w:t>
            </w:r>
          </w:p>
        </w:tc>
      </w:tr>
      <w:tr w14:paraId="06CDA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7"/>
          </w:tcPr>
          <w:p w14:paraId="2B527ECA">
            <w:pPr>
              <w:keepNext w:val="0"/>
              <w:keepLines w:val="0"/>
              <w:pageBreakBefore w:val="0"/>
              <w:widowControl w:val="0"/>
              <w:kinsoku/>
              <w:wordWrap/>
              <w:overflowPunct/>
              <w:topLinePunct w:val="0"/>
              <w:autoSpaceDE/>
              <w:autoSpaceDN/>
              <w:bidi w:val="0"/>
              <w:adjustRightInd/>
              <w:snapToGrid/>
              <w:spacing w:before="0" w:beforeLines="0"/>
              <w:jc w:val="left"/>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备注：</w:t>
            </w:r>
          </w:p>
          <w:p w14:paraId="5501A013">
            <w:pPr>
              <w:keepNext w:val="0"/>
              <w:keepLines w:val="0"/>
              <w:pageBreakBefore w:val="0"/>
              <w:widowControl w:val="0"/>
              <w:numPr>
                <w:ilvl w:val="0"/>
                <w:numId w:val="9"/>
              </w:numPr>
              <w:kinsoku/>
              <w:wordWrap/>
              <w:overflowPunct/>
              <w:topLinePunct w:val="0"/>
              <w:autoSpaceDE/>
              <w:autoSpaceDN/>
              <w:bidi w:val="0"/>
              <w:adjustRightInd/>
              <w:snapToGrid/>
              <w:spacing w:before="0" w:beforeLines="0"/>
              <w:jc w:val="left"/>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“+”表示肯定；“-”表示否定；“±”表示难以肯定或否定；“？”表示不明；“×”表示未采用或未出现。</w:t>
            </w:r>
          </w:p>
          <w:p w14:paraId="3E25F60C">
            <w:pPr>
              <w:keepNext w:val="0"/>
              <w:keepLines w:val="0"/>
              <w:pageBreakBefore w:val="0"/>
              <w:widowControl w:val="0"/>
              <w:numPr>
                <w:ilvl w:val="0"/>
                <w:numId w:val="9"/>
              </w:numPr>
              <w:kinsoku/>
              <w:wordWrap/>
              <w:overflowPunct/>
              <w:topLinePunct w:val="0"/>
              <w:autoSpaceDE/>
              <w:autoSpaceDN/>
              <w:bidi w:val="0"/>
              <w:adjustRightInd/>
              <w:snapToGrid/>
              <w:spacing w:before="0" w:beforeLines="0"/>
              <w:jc w:val="left"/>
              <w:textAlignment w:val="auto"/>
              <w:rPr>
                <w:rFonts w:ascii="Times New Roman" w:hAnsi="Times New Roman" w:cs="宋体"/>
                <w:color w:val="auto"/>
                <w:szCs w:val="21"/>
                <w:highlight w:val="none"/>
              </w:rPr>
            </w:pPr>
            <w:r>
              <w:rPr>
                <w:rFonts w:hint="eastAsia" w:ascii="Times New Roman" w:hAnsi="Times New Roman" w:cs="宋体"/>
                <w:color w:val="auto"/>
                <w:szCs w:val="21"/>
                <w:highlight w:val="none"/>
              </w:rPr>
              <w:t>从最大程度保护受试者的角度出发，第(5)项和第(6)项仅在研究者认为必须时采用，不作为本试验对所有不良事件与</w:t>
            </w:r>
            <w:r>
              <w:rPr>
                <w:rFonts w:hint="eastAsia" w:ascii="Times New Roman" w:hAnsi="Times New Roman" w:cs="宋体"/>
                <w:color w:val="auto"/>
                <w:szCs w:val="21"/>
                <w:highlight w:val="none"/>
                <w:lang w:eastAsia="zh-CN"/>
              </w:rPr>
              <w:t>试验用产品</w:t>
            </w:r>
            <w:r>
              <w:rPr>
                <w:rFonts w:hint="eastAsia" w:ascii="Times New Roman" w:hAnsi="Times New Roman" w:cs="宋体"/>
                <w:color w:val="auto"/>
                <w:szCs w:val="21"/>
                <w:highlight w:val="none"/>
              </w:rPr>
              <w:t>关系的因果分析的必须手段。</w:t>
            </w:r>
          </w:p>
        </w:tc>
      </w:tr>
    </w:tbl>
    <w:p w14:paraId="497DDAC9">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ind w:left="567" w:hanging="567"/>
        <w:textAlignment w:val="auto"/>
        <w:rPr>
          <w:rFonts w:ascii="Times New Roman" w:hAnsi="Times New Roman" w:cs="黑体"/>
          <w:b/>
          <w:bCs w:val="0"/>
          <w:color w:val="auto"/>
          <w:szCs w:val="24"/>
          <w:highlight w:val="none"/>
        </w:rPr>
      </w:pPr>
      <w:bookmarkStart w:id="160" w:name="_Toc32477"/>
      <w:bookmarkStart w:id="161" w:name="_Toc31227"/>
      <w:r>
        <w:rPr>
          <w:rFonts w:hint="eastAsia" w:ascii="Times New Roman" w:hAnsi="Times New Roman" w:cs="黑体"/>
          <w:b/>
          <w:bCs w:val="0"/>
          <w:color w:val="auto"/>
          <w:szCs w:val="24"/>
          <w:highlight w:val="none"/>
        </w:rPr>
        <w:t>严重不良事件</w:t>
      </w:r>
      <w:bookmarkEnd w:id="160"/>
      <w:bookmarkEnd w:id="161"/>
    </w:p>
    <w:p w14:paraId="35B25DA2">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严重不良事件(Serious Adverse Event, SAE)是指临床试验过程中发生需住院治疗、延长住院时间、伤残、影响工作能力、危及生命或死亡、导致先天畸形等事件。</w:t>
      </w:r>
    </w:p>
    <w:p w14:paraId="2382F506">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162" w:name="_Toc16011"/>
      <w:bookmarkStart w:id="163" w:name="_Toc10001"/>
      <w:r>
        <w:rPr>
          <w:rFonts w:hint="eastAsia" w:ascii="Times New Roman" w:hAnsi="Times New Roman" w:cs="黑体"/>
          <w:b/>
          <w:bCs w:val="0"/>
          <w:color w:val="auto"/>
          <w:szCs w:val="24"/>
          <w:highlight w:val="none"/>
        </w:rPr>
        <w:t>不良事件的随访</w:t>
      </w:r>
      <w:bookmarkEnd w:id="162"/>
      <w:bookmarkEnd w:id="163"/>
    </w:p>
    <w:p w14:paraId="4305160D">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所有不良事件都应追踪观察至基本正常/正常/恢复基线水平（基线状态）或病情稳定，以确保受试者的安全。随访访视可以根据不良事件的轻重选择住院、门诊、家访、通讯等形式。</w:t>
      </w:r>
    </w:p>
    <w:p w14:paraId="5375D720">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164" w:name="_Toc29494"/>
      <w:bookmarkStart w:id="165" w:name="_Toc25544"/>
      <w:r>
        <w:rPr>
          <w:rFonts w:hint="eastAsia" w:ascii="Times New Roman" w:hAnsi="Times New Roman" w:cs="黑体"/>
          <w:b/>
          <w:bCs w:val="0"/>
          <w:color w:val="auto"/>
          <w:szCs w:val="24"/>
          <w:highlight w:val="none"/>
        </w:rPr>
        <w:t>报告</w:t>
      </w:r>
      <w:bookmarkEnd w:id="164"/>
      <w:bookmarkEnd w:id="165"/>
    </w:p>
    <w:p w14:paraId="1FEEB649">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166" w:name="_Toc12270"/>
      <w:bookmarkStart w:id="167" w:name="_Toc9244"/>
      <w:r>
        <w:rPr>
          <w:rFonts w:hint="eastAsia" w:ascii="Times New Roman" w:hAnsi="Times New Roman" w:cs="黑体"/>
          <w:b/>
          <w:bCs/>
          <w:color w:val="auto"/>
          <w:szCs w:val="21"/>
          <w:highlight w:val="none"/>
        </w:rPr>
        <w:t>不良事件的报告</w:t>
      </w:r>
      <w:bookmarkEnd w:id="166"/>
      <w:bookmarkEnd w:id="167"/>
    </w:p>
    <w:p w14:paraId="06D4C500">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参与临床试验的研究者及试验单位保证受试者在试验期间</w:t>
      </w:r>
      <w:r>
        <w:rPr>
          <w:rFonts w:hint="eastAsia" w:ascii="Times New Roman" w:hAnsi="Times New Roman" w:cs="宋体"/>
          <w:color w:val="auto"/>
          <w:highlight w:val="none"/>
          <w:lang w:val="en-US" w:eastAsia="zh-CN"/>
        </w:rPr>
        <w:t>发生</w:t>
      </w:r>
      <w:r>
        <w:rPr>
          <w:rFonts w:hint="eastAsia" w:ascii="Times New Roman" w:hAnsi="Times New Roman" w:cs="宋体"/>
          <w:color w:val="auto"/>
          <w:highlight w:val="none"/>
        </w:rPr>
        <w:t>不良事件时得到及时适当的治疗和处置。</w:t>
      </w:r>
    </w:p>
    <w:p w14:paraId="209C692A">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无论不良事件是否与</w:t>
      </w:r>
      <w:r>
        <w:rPr>
          <w:rFonts w:hint="eastAsia" w:ascii="Times New Roman" w:hAnsi="Times New Roman" w:cs="宋体"/>
          <w:color w:val="auto"/>
          <w:highlight w:val="none"/>
          <w:lang w:eastAsia="zh-CN"/>
        </w:rPr>
        <w:t>试验用产品</w:t>
      </w:r>
      <w:r>
        <w:rPr>
          <w:rFonts w:hint="eastAsia" w:ascii="Times New Roman" w:hAnsi="Times New Roman" w:cs="宋体"/>
          <w:color w:val="auto"/>
          <w:highlight w:val="none"/>
        </w:rPr>
        <w:t>有关，研究者均应在</w:t>
      </w:r>
      <w:r>
        <w:rPr>
          <w:rFonts w:hint="eastAsia" w:ascii="Times New Roman" w:hAnsi="Times New Roman" w:cs="宋体"/>
          <w:color w:val="auto"/>
          <w:highlight w:val="none"/>
          <w:lang w:val="en-US" w:eastAsia="zh-CN"/>
        </w:rPr>
        <w:t>原始记录表和</w:t>
      </w:r>
      <w:r>
        <w:rPr>
          <w:rFonts w:hint="eastAsia" w:ascii="Times New Roman" w:hAnsi="Times New Roman" w:cs="宋体"/>
          <w:color w:val="auto"/>
          <w:highlight w:val="none"/>
        </w:rPr>
        <w:t>病例报告表中详细记录，记录时应签名并注明日期。</w:t>
      </w:r>
    </w:p>
    <w:p w14:paraId="0180A66D">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168" w:name="_Toc31850"/>
      <w:bookmarkStart w:id="169" w:name="_Toc14214"/>
      <w:r>
        <w:rPr>
          <w:rFonts w:hint="eastAsia" w:ascii="Times New Roman" w:hAnsi="Times New Roman" w:cs="黑体"/>
          <w:b/>
          <w:bCs/>
          <w:color w:val="auto"/>
          <w:szCs w:val="21"/>
          <w:highlight w:val="none"/>
        </w:rPr>
        <w:t>严重不良事件的报告</w:t>
      </w:r>
      <w:bookmarkEnd w:id="168"/>
      <w:bookmarkEnd w:id="169"/>
    </w:p>
    <w:p w14:paraId="58F623F4">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发生严重不良事件应在确认后24小时内由研究者向负责及参加临床试验单位的伦理委员会、申请人报告，同时向涉及同一临床试验的其他研究者通报。</w:t>
      </w:r>
    </w:p>
    <w:p w14:paraId="565E99B1">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auto"/>
          <w:highlight w:val="none"/>
          <w:lang w:eastAsia="zh-CN"/>
        </w:rPr>
      </w:pPr>
      <w:r>
        <w:rPr>
          <w:rFonts w:hint="eastAsia" w:ascii="Times New Roman" w:hAnsi="Times New Roman" w:cs="宋体"/>
          <w:color w:val="auto"/>
          <w:highlight w:val="none"/>
        </w:rPr>
        <w:t>预期内的住院/延长住院，无需作为SAE记录及上报</w:t>
      </w:r>
      <w:r>
        <w:rPr>
          <w:rFonts w:hint="eastAsia" w:ascii="Times New Roman" w:hAnsi="Times New Roman" w:cs="宋体"/>
          <w:color w:val="auto"/>
          <w:highlight w:val="none"/>
          <w:lang w:eastAsia="zh-CN"/>
        </w:rPr>
        <w:t>。</w:t>
      </w:r>
    </w:p>
    <w:p w14:paraId="4E8FAA58">
      <w:pPr>
        <w:pStyle w:val="3"/>
        <w:keepNext w:val="0"/>
        <w:keepLines w:val="0"/>
        <w:pageBreakBefore w:val="0"/>
        <w:widowControl w:val="0"/>
        <w:numPr>
          <w:ilvl w:val="0"/>
          <w:numId w:val="1"/>
        </w:numPr>
        <w:kinsoku/>
        <w:wordWrap/>
        <w:overflowPunct/>
        <w:topLinePunct w:val="0"/>
        <w:autoSpaceDE/>
        <w:autoSpaceDN/>
        <w:bidi w:val="0"/>
        <w:adjustRightInd/>
        <w:snapToGrid/>
        <w:spacing w:before="0" w:line="240" w:lineRule="auto"/>
        <w:textAlignment w:val="auto"/>
        <w:rPr>
          <w:rFonts w:ascii="Times New Roman" w:hAnsi="Times New Roman" w:cs="黑体"/>
          <w:b/>
          <w:bCs/>
          <w:color w:val="auto"/>
          <w:szCs w:val="28"/>
          <w:highlight w:val="none"/>
        </w:rPr>
      </w:pPr>
      <w:bookmarkStart w:id="170" w:name="_Toc15791"/>
      <w:bookmarkStart w:id="171" w:name="_Toc29075"/>
      <w:r>
        <w:rPr>
          <w:rFonts w:hint="eastAsia" w:ascii="Times New Roman" w:hAnsi="Times New Roman" w:cs="黑体"/>
          <w:b/>
          <w:bCs/>
          <w:color w:val="auto"/>
          <w:szCs w:val="28"/>
          <w:highlight w:val="none"/>
        </w:rPr>
        <w:t>申办方和研究人员义务</w:t>
      </w:r>
      <w:bookmarkEnd w:id="170"/>
      <w:bookmarkEnd w:id="171"/>
    </w:p>
    <w:p w14:paraId="35F3FA7F">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172" w:name="_Toc4563"/>
      <w:bookmarkStart w:id="173" w:name="_Toc31247"/>
      <w:r>
        <w:rPr>
          <w:rFonts w:hint="eastAsia" w:ascii="Times New Roman" w:hAnsi="Times New Roman" w:cs="黑体"/>
          <w:b/>
          <w:bCs w:val="0"/>
          <w:color w:val="auto"/>
          <w:szCs w:val="24"/>
          <w:highlight w:val="none"/>
        </w:rPr>
        <w:t>良好的临床实践和“赫尔辛基”（Helsinki）宣言</w:t>
      </w:r>
      <w:bookmarkEnd w:id="172"/>
      <w:bookmarkEnd w:id="173"/>
    </w:p>
    <w:p w14:paraId="279BFA30">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该</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将根据中国特殊医学用途配方食品临床试验质量管理规范，国际协调会议（ICH）的指导方针和源于赫尔辛基宣言及其后续修正案的伦理原则进行。</w:t>
      </w:r>
    </w:p>
    <w:p w14:paraId="4882F2FC">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174" w:name="_Toc16931"/>
      <w:bookmarkStart w:id="175" w:name="_Toc26941"/>
      <w:r>
        <w:rPr>
          <w:rFonts w:hint="eastAsia" w:ascii="Times New Roman" w:hAnsi="Times New Roman" w:cs="黑体"/>
          <w:b/>
          <w:bCs w:val="0"/>
          <w:color w:val="auto"/>
          <w:szCs w:val="24"/>
          <w:highlight w:val="none"/>
        </w:rPr>
        <w:t>伦理委员会/机构审查委员会独立审查</w:t>
      </w:r>
      <w:bookmarkEnd w:id="174"/>
      <w:bookmarkEnd w:id="175"/>
    </w:p>
    <w:p w14:paraId="53F16923">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在受试者登记进行</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之前，符合赫尔辛基宣言和当地法律的适当IEC/IRB必须审查和批准方案、知情同意书和任何其他相关</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文件。在</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开始之前，</w:t>
      </w:r>
      <w:r>
        <w:rPr>
          <w:rFonts w:hint="eastAsia" w:ascii="Times New Roman" w:hAnsi="Times New Roman" w:cs="宋体"/>
          <w:color w:val="auto"/>
          <w:highlight w:val="none"/>
          <w:lang w:eastAsia="zh-CN"/>
        </w:rPr>
        <w:t>申办方</w:t>
      </w:r>
      <w:r>
        <w:rPr>
          <w:rFonts w:hint="eastAsia" w:ascii="Times New Roman" w:hAnsi="Times New Roman" w:cs="宋体"/>
          <w:color w:val="auto"/>
          <w:highlight w:val="none"/>
        </w:rPr>
        <w:t>必须已经收到一份明确标识方案(标题和方案编号)的I</w:t>
      </w:r>
      <w:r>
        <w:rPr>
          <w:rFonts w:hint="eastAsia" w:ascii="Times New Roman" w:hAnsi="Times New Roman" w:cs="宋体"/>
          <w:color w:val="auto"/>
          <w:highlight w:val="none"/>
          <w:lang w:val="en-US" w:eastAsia="zh-CN"/>
        </w:rPr>
        <w:t>E</w:t>
      </w:r>
      <w:r>
        <w:rPr>
          <w:rFonts w:hint="eastAsia" w:ascii="Times New Roman" w:hAnsi="Times New Roman" w:cs="宋体"/>
          <w:color w:val="auto"/>
          <w:highlight w:val="none"/>
        </w:rPr>
        <w:t>C/IRB批准书。还必须向</w:t>
      </w:r>
      <w:r>
        <w:rPr>
          <w:rFonts w:hint="eastAsia" w:ascii="Times New Roman" w:hAnsi="Times New Roman" w:cs="宋体"/>
          <w:color w:val="auto"/>
          <w:highlight w:val="none"/>
          <w:lang w:eastAsia="zh-CN"/>
        </w:rPr>
        <w:t>申办方</w:t>
      </w:r>
      <w:r>
        <w:rPr>
          <w:rFonts w:hint="eastAsia" w:ascii="Times New Roman" w:hAnsi="Times New Roman" w:cs="宋体"/>
          <w:color w:val="auto"/>
          <w:highlight w:val="none"/>
        </w:rPr>
        <w:t>提供IEC/IRB成员和附属机构的名单。在</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过程中，必须向IEC/IRB通知所有</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方案和知情同意书中的后续增加或更改。</w:t>
      </w:r>
    </w:p>
    <w:p w14:paraId="59615C37">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在</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完成（最后一名</w:t>
      </w:r>
      <w:r>
        <w:rPr>
          <w:rFonts w:hint="eastAsia" w:ascii="Times New Roman" w:hAnsi="Times New Roman" w:cs="宋体"/>
          <w:color w:val="auto"/>
          <w:highlight w:val="none"/>
          <w:lang w:eastAsia="zh-CN"/>
        </w:rPr>
        <w:t>受试者</w:t>
      </w:r>
      <w:r>
        <w:rPr>
          <w:rFonts w:hint="eastAsia" w:ascii="Times New Roman" w:hAnsi="Times New Roman" w:cs="宋体"/>
          <w:color w:val="auto"/>
          <w:highlight w:val="none"/>
          <w:lang w:val="en-US" w:eastAsia="zh-CN"/>
        </w:rPr>
        <w:t>完成末次访视</w:t>
      </w:r>
      <w:r>
        <w:rPr>
          <w:rFonts w:hint="eastAsia" w:ascii="Times New Roman" w:hAnsi="Times New Roman" w:cs="宋体"/>
          <w:color w:val="auto"/>
          <w:highlight w:val="none"/>
        </w:rPr>
        <w:t>）</w:t>
      </w:r>
      <w:r>
        <w:rPr>
          <w:rFonts w:hint="eastAsia" w:ascii="Times New Roman" w:hAnsi="Times New Roman" w:cs="宋体"/>
          <w:color w:val="auto"/>
          <w:highlight w:val="none"/>
          <w:lang w:val="en-US" w:eastAsia="zh-CN"/>
        </w:rPr>
        <w:t>后，</w:t>
      </w:r>
      <w:r>
        <w:rPr>
          <w:rFonts w:hint="eastAsia" w:ascii="Times New Roman" w:hAnsi="Times New Roman" w:cs="宋体"/>
          <w:color w:val="auto"/>
          <w:highlight w:val="none"/>
        </w:rPr>
        <w:t>研究者、</w:t>
      </w:r>
      <w:r>
        <w:rPr>
          <w:rFonts w:hint="eastAsia" w:ascii="Times New Roman" w:hAnsi="Times New Roman" w:cs="宋体"/>
          <w:color w:val="auto"/>
          <w:highlight w:val="none"/>
          <w:lang w:eastAsia="zh-CN"/>
        </w:rPr>
        <w:t>申办方</w:t>
      </w:r>
      <w:r>
        <w:rPr>
          <w:rFonts w:hint="eastAsia" w:ascii="Times New Roman" w:hAnsi="Times New Roman" w:cs="宋体"/>
          <w:color w:val="auto"/>
          <w:highlight w:val="none"/>
        </w:rPr>
        <w:t>或指定者将向IEC/IRB通知</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的结束。</w:t>
      </w:r>
    </w:p>
    <w:p w14:paraId="1EE68E1D">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如果相关IEC/IRB法规要求，</w:t>
      </w:r>
      <w:r>
        <w:rPr>
          <w:rFonts w:hint="eastAsia" w:ascii="Times New Roman" w:hAnsi="Times New Roman" w:cs="宋体"/>
          <w:color w:val="auto"/>
          <w:highlight w:val="none"/>
          <w:lang w:eastAsia="zh-CN"/>
        </w:rPr>
        <w:t>申办方</w:t>
      </w:r>
      <w:r>
        <w:rPr>
          <w:rFonts w:hint="eastAsia" w:ascii="Times New Roman" w:hAnsi="Times New Roman" w:cs="宋体"/>
          <w:color w:val="auto"/>
          <w:highlight w:val="none"/>
        </w:rPr>
        <w:t>/研究者必须将可能影响受试者安全性的任一SAE告知IEC/IRB，并使其注意。</w:t>
      </w:r>
    </w:p>
    <w:p w14:paraId="5A4916FC">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176" w:name="_Toc14589"/>
      <w:bookmarkStart w:id="177" w:name="_Toc4205"/>
      <w:r>
        <w:rPr>
          <w:rFonts w:hint="eastAsia" w:ascii="Times New Roman" w:hAnsi="Times New Roman" w:cs="黑体"/>
          <w:b/>
          <w:bCs w:val="0"/>
          <w:color w:val="auto"/>
          <w:szCs w:val="24"/>
          <w:highlight w:val="none"/>
        </w:rPr>
        <w:t>知情同意书</w:t>
      </w:r>
      <w:bookmarkEnd w:id="176"/>
      <w:bookmarkEnd w:id="177"/>
    </w:p>
    <w:p w14:paraId="0EA77990">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在进行任何筛选相关程序前，研究者应当向受试者说明临床试验相关的详细情况，告知受试者可能的受益和已知的、可以预见的风险，经充分和详细解释后由受试者在知情同意书上签署姓名和日期，研究者在知情同意书上应当签署姓名和日期。</w:t>
      </w:r>
    </w:p>
    <w:p w14:paraId="09863A8E">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受试者为无民事行为能力人或者限制民事行为能力人的，应当依法获得其监护人/法定代理人的书面知情同意；受试者缺乏阅读能力的，应当有一位公正见证人见证整个知情同意过程并在知情同意书上签字并注明日期。</w:t>
      </w:r>
    </w:p>
    <w:p w14:paraId="62B753EB">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lang w:val="en-US" w:eastAsia="zh-CN"/>
        </w:rPr>
        <w:t>特别说明：受试者为18周岁以下未成年儿童的，应当依法获得受试者及其父母双方/监护人/法定代理人的书面知情同意</w:t>
      </w:r>
      <w:r>
        <w:rPr>
          <w:rFonts w:hint="eastAsia" w:ascii="Times New Roman" w:hAnsi="Times New Roman" w:cs="宋体"/>
          <w:color w:val="auto"/>
          <w:highlight w:val="none"/>
        </w:rPr>
        <w:t>，父母双方需共同在知情同意书上签署姓名和日期，其他法定代理人遵照同等要求。</w:t>
      </w:r>
    </w:p>
    <w:p w14:paraId="7182C77E">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知情同意书共两份，受试者保留一份，另一份作为临床试验文档保留。</w:t>
      </w:r>
    </w:p>
    <w:p w14:paraId="1BDE3595">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178" w:name="_Toc19489"/>
      <w:bookmarkStart w:id="179" w:name="_Toc22463"/>
      <w:r>
        <w:rPr>
          <w:rFonts w:hint="eastAsia" w:ascii="Times New Roman" w:hAnsi="Times New Roman" w:cs="黑体"/>
          <w:b/>
          <w:bCs w:val="0"/>
          <w:color w:val="auto"/>
          <w:szCs w:val="24"/>
          <w:highlight w:val="none"/>
        </w:rPr>
        <w:t>受试者保密条款</w:t>
      </w:r>
      <w:bookmarkEnd w:id="178"/>
      <w:bookmarkEnd w:id="179"/>
    </w:p>
    <w:p w14:paraId="21C92825">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受试者所有个人信息均属隐私，除相关试验人员外，仅此试验项目的</w:t>
      </w:r>
      <w:r>
        <w:rPr>
          <w:rFonts w:hint="eastAsia" w:ascii="Times New Roman" w:hAnsi="Times New Roman" w:cs="宋体"/>
          <w:color w:val="auto"/>
          <w:highlight w:val="none"/>
          <w:lang w:eastAsia="zh-CN"/>
        </w:rPr>
        <w:t>申办方</w:t>
      </w:r>
      <w:r>
        <w:rPr>
          <w:rFonts w:hint="eastAsia" w:ascii="Times New Roman" w:hAnsi="Times New Roman" w:cs="宋体"/>
          <w:color w:val="auto"/>
          <w:highlight w:val="none"/>
        </w:rPr>
        <w:t>、伦理委员会委员及国家/地方食品药品监督管理局相关人员才能被允许查阅。研究者和</w:t>
      </w:r>
      <w:r>
        <w:rPr>
          <w:rFonts w:hint="eastAsia" w:ascii="Times New Roman" w:hAnsi="Times New Roman" w:cs="宋体"/>
          <w:color w:val="auto"/>
          <w:highlight w:val="none"/>
          <w:lang w:eastAsia="zh-CN"/>
        </w:rPr>
        <w:t>申办方</w:t>
      </w:r>
      <w:r>
        <w:rPr>
          <w:rFonts w:hint="eastAsia" w:ascii="Times New Roman" w:hAnsi="Times New Roman" w:cs="宋体"/>
          <w:color w:val="auto"/>
          <w:highlight w:val="none"/>
        </w:rPr>
        <w:t>需对受试者的个人信息保密。</w:t>
      </w:r>
    </w:p>
    <w:p w14:paraId="0008B103">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180" w:name="_Toc15566"/>
      <w:bookmarkStart w:id="181" w:name="_Toc15252"/>
      <w:r>
        <w:rPr>
          <w:rFonts w:hint="eastAsia" w:ascii="Times New Roman" w:hAnsi="Times New Roman" w:cs="黑体"/>
          <w:b/>
          <w:bCs w:val="0"/>
          <w:color w:val="auto"/>
          <w:szCs w:val="24"/>
          <w:highlight w:val="none"/>
          <w:lang w:eastAsia="zh-CN"/>
        </w:rPr>
        <w:t>试验</w:t>
      </w:r>
      <w:r>
        <w:rPr>
          <w:rFonts w:hint="eastAsia" w:ascii="Times New Roman" w:hAnsi="Times New Roman" w:cs="黑体"/>
          <w:b/>
          <w:bCs w:val="0"/>
          <w:color w:val="auto"/>
          <w:szCs w:val="24"/>
          <w:highlight w:val="none"/>
        </w:rPr>
        <w:t>方案偏离/修订</w:t>
      </w:r>
      <w:bookmarkEnd w:id="180"/>
      <w:bookmarkEnd w:id="181"/>
    </w:p>
    <w:p w14:paraId="11FDD641">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182" w:name="_Toc30956"/>
      <w:bookmarkStart w:id="183" w:name="_Toc20834"/>
      <w:r>
        <w:rPr>
          <w:rFonts w:hint="eastAsia" w:ascii="Times New Roman" w:hAnsi="Times New Roman" w:cs="黑体"/>
          <w:b/>
          <w:bCs/>
          <w:color w:val="auto"/>
          <w:szCs w:val="21"/>
          <w:highlight w:val="none"/>
          <w:lang w:eastAsia="zh-CN"/>
        </w:rPr>
        <w:t>试验</w:t>
      </w:r>
      <w:r>
        <w:rPr>
          <w:rFonts w:hint="eastAsia" w:ascii="Times New Roman" w:hAnsi="Times New Roman" w:cs="黑体"/>
          <w:b/>
          <w:bCs/>
          <w:color w:val="auto"/>
          <w:szCs w:val="21"/>
          <w:highlight w:val="none"/>
        </w:rPr>
        <w:t>方案偏离</w:t>
      </w:r>
      <w:bookmarkEnd w:id="182"/>
      <w:bookmarkEnd w:id="183"/>
    </w:p>
    <w:p w14:paraId="30EFB381">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在未经申办方事先书面批准的情况下，研究者不得违背该方案，若出现紧急医疗情况，研究者将使用医学判断，并排除</w:t>
      </w:r>
      <w:r>
        <w:rPr>
          <w:rFonts w:hint="eastAsia" w:ascii="Times New Roman" w:hAnsi="Times New Roman" w:cs="宋体"/>
          <w:color w:val="auto"/>
          <w:highlight w:val="none"/>
          <w:lang w:val="en-US" w:eastAsia="zh-CN"/>
        </w:rPr>
        <w:t>受试者</w:t>
      </w:r>
      <w:r>
        <w:rPr>
          <w:rFonts w:hint="eastAsia" w:ascii="Times New Roman" w:hAnsi="Times New Roman" w:cs="宋体"/>
          <w:color w:val="auto"/>
          <w:highlight w:val="none"/>
        </w:rPr>
        <w:t>的即时危害。</w:t>
      </w:r>
    </w:p>
    <w:p w14:paraId="54C63F65">
      <w:pPr>
        <w:pStyle w:val="6"/>
        <w:keepNext w:val="0"/>
        <w:keepLines w:val="0"/>
        <w:pageBreakBefore w:val="0"/>
        <w:widowControl w:val="0"/>
        <w:numPr>
          <w:ilvl w:val="2"/>
          <w:numId w:val="1"/>
        </w:numPr>
        <w:kinsoku/>
        <w:wordWrap/>
        <w:overflowPunct/>
        <w:topLinePunct w:val="0"/>
        <w:autoSpaceDE/>
        <w:autoSpaceDN/>
        <w:bidi w:val="0"/>
        <w:adjustRightInd/>
        <w:snapToGrid/>
        <w:spacing w:before="0"/>
        <w:textAlignment w:val="auto"/>
        <w:rPr>
          <w:rFonts w:ascii="Times New Roman" w:hAnsi="Times New Roman" w:cs="黑体"/>
          <w:b/>
          <w:bCs/>
          <w:color w:val="auto"/>
          <w:szCs w:val="21"/>
          <w:highlight w:val="none"/>
        </w:rPr>
      </w:pPr>
      <w:bookmarkStart w:id="184" w:name="_Toc13518"/>
      <w:bookmarkStart w:id="185" w:name="_Toc16390"/>
      <w:r>
        <w:rPr>
          <w:rFonts w:hint="eastAsia" w:ascii="Times New Roman" w:hAnsi="Times New Roman" w:cs="黑体"/>
          <w:b/>
          <w:bCs/>
          <w:color w:val="auto"/>
          <w:szCs w:val="21"/>
          <w:highlight w:val="none"/>
          <w:lang w:eastAsia="zh-CN"/>
        </w:rPr>
        <w:t>试验</w:t>
      </w:r>
      <w:r>
        <w:rPr>
          <w:rFonts w:hint="eastAsia" w:ascii="Times New Roman" w:hAnsi="Times New Roman" w:cs="黑体"/>
          <w:b/>
          <w:bCs/>
          <w:color w:val="auto"/>
          <w:szCs w:val="21"/>
          <w:highlight w:val="none"/>
        </w:rPr>
        <w:t>方案修订</w:t>
      </w:r>
      <w:bookmarkEnd w:id="184"/>
      <w:bookmarkEnd w:id="185"/>
    </w:p>
    <w:p w14:paraId="40C31C65">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临床试验方案应当以最大限度地保障受试者权益、安全和健康为首要原则，应当由负责临床试验的医疗机构和</w:t>
      </w:r>
      <w:r>
        <w:rPr>
          <w:rFonts w:hint="eastAsia" w:ascii="Times New Roman" w:hAnsi="Times New Roman" w:cs="宋体"/>
          <w:color w:val="auto"/>
          <w:highlight w:val="none"/>
          <w:lang w:eastAsia="zh-CN"/>
        </w:rPr>
        <w:t>申办方</w:t>
      </w:r>
      <w:r>
        <w:rPr>
          <w:rFonts w:hint="eastAsia" w:ascii="Times New Roman" w:hAnsi="Times New Roman" w:cs="宋体"/>
          <w:color w:val="auto"/>
          <w:highlight w:val="none"/>
        </w:rPr>
        <w:t>共同设计制定，报伦理委员会认可后实施；临床试验方案经伦理委员会批准后，若作出任何修改，须再获伦理委员会批准，方可继续实施。</w:t>
      </w:r>
    </w:p>
    <w:p w14:paraId="4B3D0982">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186" w:name="_Toc8296"/>
      <w:bookmarkStart w:id="187" w:name="_Toc18471"/>
      <w:r>
        <w:rPr>
          <w:rFonts w:hint="eastAsia" w:ascii="Times New Roman" w:hAnsi="Times New Roman" w:cs="黑体"/>
          <w:b/>
          <w:bCs w:val="0"/>
          <w:color w:val="auto"/>
          <w:szCs w:val="24"/>
          <w:highlight w:val="none"/>
          <w:lang w:eastAsia="zh-CN"/>
        </w:rPr>
        <w:t>试验用产品</w:t>
      </w:r>
      <w:r>
        <w:rPr>
          <w:rFonts w:hint="eastAsia" w:ascii="Times New Roman" w:hAnsi="Times New Roman" w:cs="黑体"/>
          <w:b/>
          <w:bCs w:val="0"/>
          <w:color w:val="auto"/>
          <w:szCs w:val="24"/>
          <w:highlight w:val="none"/>
        </w:rPr>
        <w:t>问责</w:t>
      </w:r>
      <w:bookmarkEnd w:id="186"/>
      <w:bookmarkEnd w:id="187"/>
    </w:p>
    <w:p w14:paraId="1FD610E8">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rPr>
        <w:t>研究者必须保持从申办方处获得的</w:t>
      </w:r>
      <w:r>
        <w:rPr>
          <w:rFonts w:hint="eastAsia" w:ascii="Times New Roman" w:hAnsi="Times New Roman" w:cs="宋体"/>
          <w:color w:val="auto"/>
          <w:highlight w:val="none"/>
          <w:lang w:eastAsia="zh-CN"/>
        </w:rPr>
        <w:t>试验用产品</w:t>
      </w:r>
      <w:r>
        <w:rPr>
          <w:rFonts w:hint="eastAsia" w:ascii="Times New Roman" w:hAnsi="Times New Roman" w:cs="宋体"/>
          <w:color w:val="auto"/>
          <w:highlight w:val="none"/>
        </w:rPr>
        <w:t>（和其他化合物）的准确记录。</w:t>
      </w:r>
    </w:p>
    <w:p w14:paraId="0488EBD4">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highlight w:val="none"/>
        </w:rPr>
      </w:pP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结束时，若有任何差异，必须作出解释，并提供书面说明。所有未使用的</w:t>
      </w:r>
      <w:r>
        <w:rPr>
          <w:rFonts w:hint="eastAsia" w:ascii="Times New Roman" w:hAnsi="Times New Roman" w:cs="宋体"/>
          <w:color w:val="auto"/>
          <w:highlight w:val="none"/>
          <w:lang w:eastAsia="zh-CN"/>
        </w:rPr>
        <w:t>试验用产品</w:t>
      </w:r>
      <w:r>
        <w:rPr>
          <w:rFonts w:hint="eastAsia" w:ascii="Times New Roman" w:hAnsi="Times New Roman" w:cs="宋体"/>
          <w:color w:val="auto"/>
          <w:highlight w:val="none"/>
        </w:rPr>
        <w:t>将在</w:t>
      </w:r>
      <w:r>
        <w:rPr>
          <w:rFonts w:hint="eastAsia" w:ascii="Times New Roman" w:hAnsi="Times New Roman" w:cs="宋体"/>
          <w:color w:val="auto"/>
          <w:highlight w:val="none"/>
          <w:lang w:val="en-US" w:eastAsia="zh-CN"/>
        </w:rPr>
        <w:t>临床试验中心</w:t>
      </w:r>
      <w:r>
        <w:rPr>
          <w:rFonts w:hint="eastAsia" w:ascii="Times New Roman" w:hAnsi="Times New Roman" w:cs="宋体"/>
          <w:color w:val="auto"/>
          <w:highlight w:val="none"/>
        </w:rPr>
        <w:t>进行适当销毁，或在申办方指示的时间内送回。受试者在末次访视时，应将未</w:t>
      </w:r>
      <w:r>
        <w:rPr>
          <w:rFonts w:hint="eastAsia" w:cs="宋体"/>
          <w:color w:val="auto"/>
          <w:highlight w:val="none"/>
          <w:lang w:eastAsia="zh-CN"/>
        </w:rPr>
        <w:t>开封</w:t>
      </w:r>
      <w:r>
        <w:rPr>
          <w:rFonts w:hint="eastAsia" w:ascii="Times New Roman" w:hAnsi="Times New Roman" w:cs="宋体"/>
          <w:color w:val="auto"/>
          <w:highlight w:val="none"/>
        </w:rPr>
        <w:t>的试验用产品退回给经授权人员。试验周期内，若受试者符合退出标准中任意一条，提前终止临床试验的，应及时联系经授权人员，将未</w:t>
      </w:r>
      <w:r>
        <w:rPr>
          <w:rFonts w:hint="eastAsia" w:cs="宋体"/>
          <w:color w:val="auto"/>
          <w:highlight w:val="none"/>
          <w:lang w:eastAsia="zh-CN"/>
        </w:rPr>
        <w:t>开封</w:t>
      </w:r>
      <w:r>
        <w:rPr>
          <w:rFonts w:hint="eastAsia" w:ascii="Times New Roman" w:hAnsi="Times New Roman" w:cs="宋体"/>
          <w:color w:val="auto"/>
          <w:highlight w:val="none"/>
        </w:rPr>
        <w:t>的试验用产品寄回</w:t>
      </w:r>
      <w:r>
        <w:rPr>
          <w:rFonts w:hint="eastAsia" w:ascii="Times New Roman" w:hAnsi="Times New Roman" w:cs="宋体"/>
          <w:color w:val="auto"/>
          <w:highlight w:val="none"/>
          <w:lang w:val="en-US" w:eastAsia="zh-CN"/>
        </w:rPr>
        <w:t>。</w:t>
      </w:r>
      <w:r>
        <w:rPr>
          <w:rFonts w:hint="eastAsia" w:ascii="Times New Roman" w:hAnsi="Times New Roman" w:cs="宋体"/>
          <w:color w:val="auto"/>
          <w:highlight w:val="none"/>
        </w:rPr>
        <w:t>申办方将委托临床试验中心处理退回产品，将其作为医疗垃圾处理并保存相关记录。</w:t>
      </w:r>
    </w:p>
    <w:p w14:paraId="2A20DAC9">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将上述任务委派给</w:t>
      </w:r>
      <w:r>
        <w:rPr>
          <w:rFonts w:hint="eastAsia" w:ascii="Times New Roman" w:hAnsi="Times New Roman" w:cs="宋体"/>
          <w:color w:val="auto"/>
          <w:highlight w:val="none"/>
          <w:lang w:val="en-US" w:eastAsia="zh-CN"/>
        </w:rPr>
        <w:t>经授权</w:t>
      </w:r>
      <w:r>
        <w:rPr>
          <w:rFonts w:hint="eastAsia" w:ascii="Times New Roman" w:hAnsi="Times New Roman" w:cs="宋体"/>
          <w:color w:val="auto"/>
          <w:highlight w:val="none"/>
        </w:rPr>
        <w:t>人员时，其对保持精确的</w:t>
      </w:r>
      <w:r>
        <w:rPr>
          <w:rFonts w:hint="eastAsia" w:ascii="Times New Roman" w:hAnsi="Times New Roman" w:cs="宋体"/>
          <w:color w:val="auto"/>
          <w:highlight w:val="none"/>
          <w:lang w:eastAsia="zh-CN"/>
        </w:rPr>
        <w:t>试验用产品</w:t>
      </w:r>
      <w:r>
        <w:rPr>
          <w:rFonts w:hint="eastAsia" w:ascii="Times New Roman" w:hAnsi="Times New Roman" w:cs="宋体"/>
          <w:color w:val="auto"/>
          <w:highlight w:val="none"/>
        </w:rPr>
        <w:t>处理记录负有最终责任。</w:t>
      </w:r>
    </w:p>
    <w:p w14:paraId="3C85F64F">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188" w:name="_Toc18184"/>
      <w:bookmarkStart w:id="189" w:name="_Toc28686"/>
      <w:r>
        <w:rPr>
          <w:rFonts w:hint="eastAsia" w:ascii="Times New Roman" w:hAnsi="Times New Roman" w:cs="黑体"/>
          <w:b/>
          <w:bCs w:val="0"/>
          <w:color w:val="auto"/>
          <w:szCs w:val="24"/>
          <w:highlight w:val="none"/>
          <w:lang w:eastAsia="zh-CN"/>
        </w:rPr>
        <w:t>试验</w:t>
      </w:r>
      <w:r>
        <w:rPr>
          <w:rFonts w:hint="eastAsia" w:ascii="Times New Roman" w:hAnsi="Times New Roman" w:cs="黑体"/>
          <w:b/>
          <w:bCs w:val="0"/>
          <w:color w:val="auto"/>
          <w:szCs w:val="24"/>
          <w:highlight w:val="none"/>
        </w:rPr>
        <w:t>监查</w:t>
      </w:r>
      <w:bookmarkEnd w:id="188"/>
      <w:bookmarkEnd w:id="189"/>
    </w:p>
    <w:p w14:paraId="0BCE9EC1">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在商定的</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期间或</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完成后，研究者应允许申办方代表定期监查每名</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受试者的</w:t>
      </w:r>
      <w:r>
        <w:rPr>
          <w:rFonts w:hint="eastAsia" w:ascii="Times New Roman" w:hAnsi="Times New Roman" w:cs="宋体"/>
          <w:color w:val="auto"/>
          <w:highlight w:val="none"/>
          <w:lang w:val="en-US" w:eastAsia="zh-CN"/>
        </w:rPr>
        <w:t>病例报告表</w:t>
      </w:r>
      <w:r>
        <w:rPr>
          <w:rFonts w:hint="eastAsia" w:ascii="Times New Roman" w:hAnsi="Times New Roman" w:cs="宋体"/>
          <w:color w:val="auto"/>
          <w:highlight w:val="none"/>
        </w:rPr>
        <w:t>以及相应的行政、医院和实验室记录（源文件）。研究者必须定期或在每次监查访视之前完成病例报告表。</w:t>
      </w:r>
    </w:p>
    <w:p w14:paraId="3B6F06CF">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190" w:name="_Toc14638"/>
      <w:bookmarkStart w:id="191" w:name="_Toc2630"/>
      <w:r>
        <w:rPr>
          <w:rFonts w:hint="eastAsia" w:ascii="Times New Roman" w:hAnsi="Times New Roman" w:cs="黑体"/>
          <w:b/>
          <w:bCs w:val="0"/>
          <w:color w:val="auto"/>
          <w:szCs w:val="24"/>
          <w:highlight w:val="none"/>
        </w:rPr>
        <w:t>申办方稽查</w:t>
      </w:r>
      <w:bookmarkEnd w:id="190"/>
      <w:bookmarkEnd w:id="191"/>
    </w:p>
    <w:p w14:paraId="5DFA321F">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在</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期间或完成</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后，研究者应允许申办方代表或外聘稽查人员对该</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进行稽查。稽查的目的是评估确定临床试验相关活动的实施、试验数据的记录、分析和报告是否符合试验方案、标准操作规程和相关法律法规的要求。</w:t>
      </w:r>
    </w:p>
    <w:p w14:paraId="5B332512">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auto"/>
          <w:highlight w:val="none"/>
          <w:lang w:eastAsia="zh-CN"/>
        </w:rPr>
      </w:pPr>
      <w:r>
        <w:rPr>
          <w:rFonts w:hint="eastAsia" w:ascii="Times New Roman" w:hAnsi="Times New Roman" w:cs="宋体"/>
          <w:color w:val="auto"/>
          <w:highlight w:val="none"/>
        </w:rPr>
        <w:t>稽查前，研究者应联系监查员，以安排方便的査访时间。研究者和工作人员按预期到场，配合稽查人员，并允许查看所有支持</w:t>
      </w:r>
      <w:r>
        <w:rPr>
          <w:rFonts w:hint="eastAsia" w:ascii="Times New Roman" w:hAnsi="Times New Roman" w:cs="宋体"/>
          <w:color w:val="auto"/>
          <w:highlight w:val="none"/>
          <w:lang w:val="en-US" w:eastAsia="zh-CN"/>
        </w:rPr>
        <w:t>病例报告表</w:t>
      </w:r>
      <w:r>
        <w:rPr>
          <w:rFonts w:hint="eastAsia" w:ascii="Times New Roman" w:hAnsi="Times New Roman" w:cs="宋体"/>
          <w:color w:val="auto"/>
          <w:highlight w:val="none"/>
        </w:rPr>
        <w:t>和</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相关文件的受试者记录</w:t>
      </w:r>
      <w:r>
        <w:rPr>
          <w:rFonts w:hint="eastAsia" w:ascii="Times New Roman" w:hAnsi="Times New Roman" w:cs="宋体"/>
          <w:color w:val="auto"/>
          <w:highlight w:val="none"/>
          <w:lang w:eastAsia="zh-CN"/>
        </w:rPr>
        <w:t>。</w:t>
      </w:r>
    </w:p>
    <w:p w14:paraId="67F80742">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192" w:name="_Toc10060"/>
      <w:bookmarkStart w:id="193" w:name="_Toc12253"/>
      <w:r>
        <w:rPr>
          <w:rFonts w:hint="eastAsia" w:ascii="Times New Roman" w:hAnsi="Times New Roman" w:cs="黑体"/>
          <w:b/>
          <w:bCs w:val="0"/>
          <w:color w:val="auto"/>
          <w:szCs w:val="24"/>
          <w:highlight w:val="none"/>
        </w:rPr>
        <w:t>监查机构核查</w:t>
      </w:r>
      <w:bookmarkEnd w:id="192"/>
      <w:bookmarkEnd w:id="193"/>
    </w:p>
    <w:p w14:paraId="0220E47A">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期间或完成</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后，研究者可能需要接受管理机构/IEC/IRB的核查。核查的目的是进行文件、设施和记录以及当局认为与</w:t>
      </w:r>
      <w:r>
        <w:rPr>
          <w:rFonts w:hint="eastAsia" w:ascii="Times New Roman" w:hAnsi="Times New Roman" w:cs="宋体"/>
          <w:color w:val="auto"/>
          <w:highlight w:val="none"/>
          <w:lang w:eastAsia="zh-CN"/>
        </w:rPr>
        <w:t>临床试验</w:t>
      </w:r>
      <w:r>
        <w:rPr>
          <w:rFonts w:hint="eastAsia" w:ascii="Times New Roman" w:hAnsi="Times New Roman" w:cs="宋体"/>
          <w:color w:val="auto"/>
          <w:highlight w:val="none"/>
        </w:rPr>
        <w:t>有关的其他任何资料的正式评估。</w:t>
      </w:r>
    </w:p>
    <w:p w14:paraId="322E6CC8">
      <w:pPr>
        <w:pStyle w:val="5"/>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auto"/>
          <w:highlight w:val="none"/>
          <w:lang w:eastAsia="zh-CN"/>
        </w:rPr>
      </w:pPr>
      <w:r>
        <w:rPr>
          <w:rFonts w:hint="eastAsia" w:ascii="Times New Roman" w:hAnsi="Times New Roman" w:cs="宋体"/>
          <w:color w:val="auto"/>
          <w:highlight w:val="none"/>
        </w:rPr>
        <w:t>研究者和工作人员预计将参与该核查并允许查看支持</w:t>
      </w:r>
      <w:r>
        <w:rPr>
          <w:rFonts w:hint="eastAsia" w:ascii="Times New Roman" w:hAnsi="Times New Roman" w:cs="宋体"/>
          <w:color w:val="auto"/>
          <w:highlight w:val="none"/>
          <w:lang w:val="en-US" w:eastAsia="zh-CN"/>
        </w:rPr>
        <w:t>病例报告表</w:t>
      </w:r>
      <w:r>
        <w:rPr>
          <w:rFonts w:hint="eastAsia" w:ascii="Times New Roman" w:hAnsi="Times New Roman" w:cs="宋体"/>
          <w:color w:val="auto"/>
          <w:highlight w:val="none"/>
        </w:rPr>
        <w:t>和其他</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相关文件的受试者记录。若得到有关该检查的事先通知，研究者必须立即联系申办方</w:t>
      </w:r>
      <w:r>
        <w:rPr>
          <w:rFonts w:hint="eastAsia" w:ascii="Times New Roman" w:hAnsi="Times New Roman" w:cs="宋体"/>
          <w:color w:val="auto"/>
          <w:highlight w:val="none"/>
          <w:lang w:eastAsia="zh-CN"/>
        </w:rPr>
        <w:t>。</w:t>
      </w:r>
    </w:p>
    <w:p w14:paraId="44604DAA">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194" w:name="_Toc27495"/>
      <w:bookmarkStart w:id="195" w:name="_Toc9296"/>
      <w:r>
        <w:rPr>
          <w:rFonts w:hint="eastAsia" w:ascii="Times New Roman" w:hAnsi="Times New Roman" w:cs="黑体"/>
          <w:b/>
          <w:bCs w:val="0"/>
          <w:color w:val="auto"/>
          <w:szCs w:val="24"/>
          <w:highlight w:val="none"/>
        </w:rPr>
        <w:t>文章发表</w:t>
      </w:r>
      <w:bookmarkEnd w:id="194"/>
      <w:bookmarkEnd w:id="195"/>
    </w:p>
    <w:p w14:paraId="594E3B88">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与文章发表相关的所有主题将在有关该</w:t>
      </w:r>
      <w:r>
        <w:rPr>
          <w:rFonts w:hint="eastAsia" w:ascii="Times New Roman" w:hAnsi="Times New Roman" w:cs="宋体"/>
          <w:color w:val="auto"/>
          <w:highlight w:val="none"/>
          <w:lang w:eastAsia="zh-CN"/>
        </w:rPr>
        <w:t>试验</w:t>
      </w:r>
      <w:r>
        <w:rPr>
          <w:rFonts w:hint="eastAsia" w:ascii="Times New Roman" w:hAnsi="Times New Roman" w:cs="宋体"/>
          <w:color w:val="auto"/>
          <w:highlight w:val="none"/>
        </w:rPr>
        <w:t>的</w:t>
      </w:r>
      <w:r>
        <w:rPr>
          <w:rFonts w:hint="eastAsia" w:ascii="Times New Roman" w:hAnsi="Times New Roman" w:cs="宋体"/>
          <w:color w:val="auto"/>
          <w:highlight w:val="none"/>
          <w:lang w:eastAsia="zh-CN"/>
        </w:rPr>
        <w:t>临床试验</w:t>
      </w:r>
      <w:r>
        <w:rPr>
          <w:rFonts w:hint="eastAsia" w:ascii="Times New Roman" w:hAnsi="Times New Roman" w:cs="宋体"/>
          <w:color w:val="auto"/>
          <w:highlight w:val="none"/>
        </w:rPr>
        <w:t>协议中进行阐述。</w:t>
      </w:r>
    </w:p>
    <w:p w14:paraId="562AA601">
      <w:pPr>
        <w:pStyle w:val="4"/>
        <w:keepNext w:val="0"/>
        <w:keepLines w:val="0"/>
        <w:pageBreakBefore w:val="0"/>
        <w:widowControl w:val="0"/>
        <w:numPr>
          <w:ilvl w:val="1"/>
          <w:numId w:val="1"/>
        </w:numPr>
        <w:kinsoku/>
        <w:wordWrap/>
        <w:overflowPunct/>
        <w:topLinePunct w:val="0"/>
        <w:autoSpaceDE/>
        <w:autoSpaceDN/>
        <w:bidi w:val="0"/>
        <w:adjustRightInd/>
        <w:snapToGrid/>
        <w:spacing w:before="0" w:beforeLines="0"/>
        <w:textAlignment w:val="auto"/>
        <w:rPr>
          <w:rFonts w:ascii="Times New Roman" w:hAnsi="Times New Roman" w:cs="黑体"/>
          <w:b/>
          <w:bCs w:val="0"/>
          <w:color w:val="auto"/>
          <w:szCs w:val="24"/>
          <w:highlight w:val="none"/>
        </w:rPr>
      </w:pPr>
      <w:bookmarkStart w:id="196" w:name="_Toc15812"/>
      <w:bookmarkStart w:id="197" w:name="_Toc29411"/>
      <w:r>
        <w:rPr>
          <w:rFonts w:hint="eastAsia" w:ascii="Times New Roman" w:hAnsi="Times New Roman" w:cs="黑体"/>
          <w:b/>
          <w:bCs w:val="0"/>
          <w:color w:val="auto"/>
          <w:szCs w:val="24"/>
          <w:highlight w:val="none"/>
          <w:lang w:eastAsia="zh-CN"/>
        </w:rPr>
        <w:t>试验</w:t>
      </w:r>
      <w:r>
        <w:rPr>
          <w:rFonts w:hint="eastAsia" w:ascii="Times New Roman" w:hAnsi="Times New Roman" w:cs="黑体"/>
          <w:b/>
          <w:bCs w:val="0"/>
          <w:color w:val="auto"/>
          <w:szCs w:val="24"/>
          <w:highlight w:val="none"/>
        </w:rPr>
        <w:t>费用的支付</w:t>
      </w:r>
      <w:bookmarkEnd w:id="196"/>
      <w:bookmarkEnd w:id="197"/>
    </w:p>
    <w:p w14:paraId="251CA29E">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宋体"/>
          <w:color w:val="auto"/>
          <w:highlight w:val="none"/>
        </w:rPr>
      </w:pPr>
      <w:r>
        <w:rPr>
          <w:rFonts w:hint="eastAsia" w:ascii="Times New Roman" w:hAnsi="Times New Roman" w:cs="宋体"/>
          <w:color w:val="auto"/>
          <w:highlight w:val="none"/>
        </w:rPr>
        <w:t>关于</w:t>
      </w:r>
      <w:r>
        <w:rPr>
          <w:rFonts w:hint="eastAsia" w:ascii="Times New Roman" w:hAnsi="Times New Roman" w:cs="宋体"/>
          <w:color w:val="auto"/>
          <w:highlight w:val="none"/>
          <w:lang w:eastAsia="zh-CN"/>
        </w:rPr>
        <w:t>临床试验</w:t>
      </w:r>
      <w:r>
        <w:rPr>
          <w:rFonts w:hint="eastAsia" w:ascii="Times New Roman" w:hAnsi="Times New Roman" w:cs="宋体"/>
          <w:color w:val="auto"/>
          <w:highlight w:val="none"/>
        </w:rPr>
        <w:t>费用将由</w:t>
      </w:r>
      <w:r>
        <w:rPr>
          <w:rFonts w:hint="eastAsia" w:ascii="Times New Roman" w:hAnsi="Times New Roman" w:cs="宋体"/>
          <w:color w:val="auto"/>
          <w:highlight w:val="none"/>
          <w:lang w:eastAsia="zh-CN"/>
        </w:rPr>
        <w:t>申办方</w:t>
      </w:r>
      <w:r>
        <w:rPr>
          <w:rFonts w:hint="eastAsia" w:ascii="Times New Roman" w:hAnsi="Times New Roman" w:cs="宋体"/>
          <w:color w:val="auto"/>
          <w:highlight w:val="none"/>
        </w:rPr>
        <w:t>与研究者在单独协议中阐述。</w:t>
      </w:r>
    </w:p>
    <w:p w14:paraId="1264D4E6">
      <w:pPr>
        <w:spacing w:before="0" w:beforeLines="0" w:line="360" w:lineRule="auto"/>
        <w:rPr>
          <w:rFonts w:ascii="Times New Roman" w:hAnsi="Times New Roman" w:cs="宋体"/>
          <w:color w:val="auto"/>
          <w:szCs w:val="21"/>
          <w:highlight w:val="none"/>
        </w:rPr>
      </w:pPr>
      <w:r>
        <w:rPr>
          <w:rFonts w:hint="eastAsia" w:ascii="Times New Roman" w:hAnsi="Times New Roman" w:cs="宋体"/>
          <w:color w:val="auto"/>
          <w:szCs w:val="21"/>
          <w:highlight w:val="none"/>
        </w:rPr>
        <w:br w:type="page"/>
      </w:r>
    </w:p>
    <w:p w14:paraId="5E4B67FF">
      <w:pPr>
        <w:pStyle w:val="3"/>
        <w:numPr>
          <w:ilvl w:val="0"/>
          <w:numId w:val="1"/>
        </w:numPr>
        <w:spacing w:before="0" w:line="240" w:lineRule="auto"/>
        <w:rPr>
          <w:rFonts w:ascii="Times New Roman" w:hAnsi="Times New Roman" w:cs="黑体"/>
          <w:b/>
          <w:bCs/>
          <w:color w:val="auto"/>
          <w:szCs w:val="28"/>
          <w:highlight w:val="none"/>
        </w:rPr>
      </w:pPr>
      <w:bookmarkStart w:id="198" w:name="_Toc22966"/>
      <w:bookmarkStart w:id="199" w:name="_Toc9079"/>
      <w:r>
        <w:rPr>
          <w:rFonts w:hint="eastAsia" w:ascii="Times New Roman" w:hAnsi="Times New Roman" w:cs="黑体"/>
          <w:b/>
          <w:bCs/>
          <w:color w:val="auto"/>
          <w:szCs w:val="28"/>
          <w:highlight w:val="none"/>
        </w:rPr>
        <w:t>参考文献</w:t>
      </w:r>
      <w:bookmarkEnd w:id="198"/>
      <w:bookmarkEnd w:id="199"/>
    </w:p>
    <w:p w14:paraId="2AE6D4C4">
      <w:pPr>
        <w:widowControl/>
        <w:numPr>
          <w:ilvl w:val="0"/>
          <w:numId w:val="0"/>
        </w:numPr>
        <w:wordWrap w:val="0"/>
        <w:spacing w:before="0" w:beforeLines="0" w:line="360" w:lineRule="auto"/>
        <w:ind w:leftChars="0"/>
        <w:jc w:val="left"/>
        <w:rPr>
          <w:rFonts w:hint="eastAsia" w:ascii="Times New Roman" w:hAnsi="Times New Roman" w:cs="宋体"/>
          <w:color w:val="auto"/>
          <w:szCs w:val="21"/>
          <w:highlight w:val="none"/>
        </w:rPr>
      </w:pPr>
      <w:r>
        <w:rPr>
          <w:rFonts w:hint="eastAsia" w:ascii="Times New Roman" w:hAnsi="Times New Roman" w:cs="宋体"/>
          <w:color w:val="auto"/>
          <w:szCs w:val="21"/>
          <w:highlight w:val="none"/>
        </w:rPr>
        <w:t>[1]中国抗癌协会肿瘤营养与支持治疗专业委员会，中国医师协会营养医师专业委员会，世界华人医师协会临床营养医师协会，等. 肿瘤患者特殊医学用途配方食品应用专家共识[J]. 肿瘤代谢与营养电子杂志, 2016, 3(2): 5.</w:t>
      </w:r>
    </w:p>
    <w:p w14:paraId="362E6E54">
      <w:pPr>
        <w:widowControl/>
        <w:numPr>
          <w:ilvl w:val="0"/>
          <w:numId w:val="0"/>
        </w:numPr>
        <w:wordWrap w:val="0"/>
        <w:spacing w:before="0" w:beforeLines="0" w:line="360" w:lineRule="auto"/>
        <w:ind w:leftChars="0"/>
        <w:jc w:val="left"/>
        <w:rPr>
          <w:rFonts w:hint="eastAsia" w:ascii="Times New Roman" w:hAnsi="Times New Roman" w:cs="宋体"/>
          <w:color w:val="auto"/>
          <w:szCs w:val="21"/>
          <w:highlight w:val="none"/>
        </w:rPr>
      </w:pPr>
      <w:r>
        <w:rPr>
          <w:rFonts w:hint="eastAsia" w:ascii="Times New Roman" w:hAnsi="Times New Roman" w:cs="宋体"/>
          <w:color w:val="auto"/>
          <w:szCs w:val="21"/>
          <w:highlight w:val="none"/>
        </w:rPr>
        <w:t>[2]钟喨, 陈克敏. 胃肠道肿瘤流行病学[J]. 中国医学计算机成像杂志, 2001, 7(2): 4.</w:t>
      </w:r>
    </w:p>
    <w:p w14:paraId="6469E069">
      <w:pPr>
        <w:widowControl/>
        <w:numPr>
          <w:ilvl w:val="0"/>
          <w:numId w:val="0"/>
        </w:numPr>
        <w:wordWrap w:val="0"/>
        <w:spacing w:before="0" w:beforeLines="0" w:line="360" w:lineRule="auto"/>
        <w:ind w:leftChars="0"/>
        <w:jc w:val="left"/>
        <w:rPr>
          <w:rFonts w:hint="eastAsia" w:ascii="Times New Roman" w:hAnsi="Times New Roman" w:cs="宋体"/>
          <w:color w:val="auto"/>
          <w:szCs w:val="21"/>
          <w:highlight w:val="none"/>
        </w:rPr>
      </w:pPr>
      <w:r>
        <w:rPr>
          <w:rFonts w:hint="eastAsia" w:ascii="Times New Roman" w:hAnsi="Times New Roman" w:cs="宋体"/>
          <w:color w:val="auto"/>
          <w:szCs w:val="21"/>
          <w:highlight w:val="none"/>
        </w:rPr>
        <w:t>[3]中华医学会肠外肠内营养学分会. 肿瘤患者营养支持指南[J]. 中华外科杂志, 2017, 55(11): 29.</w:t>
      </w:r>
    </w:p>
    <w:p w14:paraId="0C5C1B6C">
      <w:pPr>
        <w:widowControl/>
        <w:numPr>
          <w:ilvl w:val="0"/>
          <w:numId w:val="0"/>
        </w:numPr>
        <w:wordWrap w:val="0"/>
        <w:spacing w:before="0" w:beforeLines="0" w:line="360" w:lineRule="auto"/>
        <w:ind w:leftChars="0"/>
        <w:jc w:val="left"/>
        <w:rPr>
          <w:rFonts w:hint="eastAsia" w:ascii="Times New Roman" w:hAnsi="Times New Roman" w:cs="宋体"/>
          <w:color w:val="auto"/>
          <w:szCs w:val="21"/>
          <w:highlight w:val="none"/>
        </w:rPr>
      </w:pPr>
      <w:r>
        <w:rPr>
          <w:rFonts w:hint="eastAsia" w:ascii="Times New Roman" w:hAnsi="Times New Roman" w:cs="宋体"/>
          <w:color w:val="auto"/>
          <w:szCs w:val="21"/>
          <w:highlight w:val="none"/>
        </w:rPr>
        <w:t>[4]ILLA P, TOMISKOVA M, SKRICKOVA J. Nutritional risk screening predicts tumor response in lung cancer patients[J]. Journal of the American college of nutrition, 2015, 34(5): 425–429.</w:t>
      </w:r>
    </w:p>
    <w:p w14:paraId="13521FE3">
      <w:pPr>
        <w:widowControl/>
        <w:numPr>
          <w:ilvl w:val="0"/>
          <w:numId w:val="0"/>
        </w:numPr>
        <w:wordWrap w:val="0"/>
        <w:spacing w:before="0" w:beforeLines="0" w:line="360" w:lineRule="auto"/>
        <w:ind w:leftChars="0"/>
        <w:jc w:val="left"/>
        <w:rPr>
          <w:rFonts w:hint="eastAsia" w:ascii="Times New Roman" w:hAnsi="Times New Roman" w:cs="宋体"/>
          <w:color w:val="auto"/>
          <w:szCs w:val="21"/>
          <w:highlight w:val="none"/>
        </w:rPr>
      </w:pPr>
      <w:r>
        <w:rPr>
          <w:rFonts w:hint="eastAsia" w:ascii="Times New Roman" w:hAnsi="Times New Roman" w:cs="宋体"/>
          <w:color w:val="auto"/>
          <w:szCs w:val="21"/>
          <w:highlight w:val="none"/>
        </w:rPr>
        <w:t>[5]YAMANO T, YOSHIMURA M, KOBAYASHI M, et al. Malnutrition in rectal cancer patients receiving preoperative chemoradiotherapy is common and associated with treatment tolerability and anastomotic leakage[J]. International journal of colorectal disease, 2016, 31(4): 877–884.</w:t>
      </w:r>
    </w:p>
    <w:p w14:paraId="71E3B9B8">
      <w:pPr>
        <w:widowControl/>
        <w:numPr>
          <w:ilvl w:val="0"/>
          <w:numId w:val="0"/>
        </w:numPr>
        <w:wordWrap w:val="0"/>
        <w:spacing w:before="0" w:beforeLines="0" w:line="360" w:lineRule="auto"/>
        <w:ind w:leftChars="0"/>
        <w:jc w:val="left"/>
        <w:rPr>
          <w:rFonts w:hint="eastAsia" w:ascii="Times New Roman" w:hAnsi="Times New Roman" w:cs="宋体"/>
          <w:color w:val="auto"/>
          <w:szCs w:val="21"/>
          <w:highlight w:val="none"/>
        </w:rPr>
      </w:pPr>
      <w:r>
        <w:rPr>
          <w:rFonts w:hint="eastAsia" w:ascii="Times New Roman" w:hAnsi="Times New Roman" w:cs="宋体"/>
          <w:color w:val="auto"/>
          <w:szCs w:val="21"/>
          <w:highlight w:val="none"/>
        </w:rPr>
        <w:t>[6]SCHÜTTE K, TIPPELT B, SCHULZ C, et al. Malnutrition is a prognostic factor in patients with hepatocellular carcinoma (HCC)[J]. Clinical nutrition, 2015, 34(6): 1122–1127.</w:t>
      </w:r>
    </w:p>
    <w:p w14:paraId="3D7050F1">
      <w:pPr>
        <w:widowControl/>
        <w:numPr>
          <w:ilvl w:val="0"/>
          <w:numId w:val="0"/>
        </w:numPr>
        <w:wordWrap w:val="0"/>
        <w:spacing w:before="0" w:beforeLines="0" w:line="360" w:lineRule="auto"/>
        <w:ind w:leftChars="0"/>
        <w:jc w:val="left"/>
        <w:rPr>
          <w:rFonts w:hint="eastAsia" w:ascii="Times New Roman" w:hAnsi="Times New Roman" w:cs="宋体"/>
          <w:color w:val="auto"/>
          <w:szCs w:val="21"/>
          <w:highlight w:val="none"/>
        </w:rPr>
      </w:pPr>
      <w:r>
        <w:rPr>
          <w:rFonts w:hint="eastAsia" w:ascii="Times New Roman" w:hAnsi="Times New Roman" w:cs="宋体"/>
          <w:color w:val="auto"/>
          <w:szCs w:val="21"/>
          <w:highlight w:val="none"/>
        </w:rPr>
        <w:t>[7]REISINGER K W, VAN VUGT J L A, TEGELS J J W, et al. Functional compromise reflected by sarcopenia, frailty, and nutritional depletion predicts adverse postoperative outcome after colorectal cancer surgery[J]. Annals of surgery, 2015, 261(2): 345–352.</w:t>
      </w:r>
    </w:p>
    <w:p w14:paraId="0543143D">
      <w:pPr>
        <w:widowControl/>
        <w:numPr>
          <w:ilvl w:val="0"/>
          <w:numId w:val="0"/>
        </w:numPr>
        <w:wordWrap w:val="0"/>
        <w:spacing w:before="0" w:beforeLines="0" w:line="360" w:lineRule="auto"/>
        <w:ind w:leftChars="0"/>
        <w:jc w:val="left"/>
        <w:rPr>
          <w:rFonts w:hint="eastAsia" w:ascii="Times New Roman" w:hAnsi="Times New Roman" w:cs="宋体"/>
          <w:color w:val="auto"/>
          <w:szCs w:val="21"/>
          <w:highlight w:val="none"/>
        </w:rPr>
      </w:pPr>
      <w:r>
        <w:rPr>
          <w:rFonts w:hint="eastAsia" w:ascii="Times New Roman" w:hAnsi="Times New Roman" w:cs="宋体"/>
          <w:color w:val="auto"/>
          <w:szCs w:val="21"/>
          <w:highlight w:val="none"/>
        </w:rPr>
        <w:t>[8]HORSTMAN A M, SHEFFIELD-MOORE M. Nutritional/metabolic response in older cancer patients[J]. Nutrition, 2015, 31(4): 605–607.</w:t>
      </w:r>
    </w:p>
    <w:p w14:paraId="60584848">
      <w:pPr>
        <w:widowControl/>
        <w:numPr>
          <w:ilvl w:val="0"/>
          <w:numId w:val="0"/>
        </w:numPr>
        <w:wordWrap w:val="0"/>
        <w:spacing w:before="0" w:beforeLines="0" w:line="360" w:lineRule="auto"/>
        <w:ind w:leftChars="0"/>
        <w:jc w:val="left"/>
        <w:rPr>
          <w:rFonts w:hint="eastAsia" w:ascii="Times New Roman" w:hAnsi="Times New Roman" w:cs="宋体"/>
          <w:color w:val="auto"/>
          <w:szCs w:val="21"/>
          <w:highlight w:val="none"/>
        </w:rPr>
      </w:pPr>
      <w:r>
        <w:rPr>
          <w:rFonts w:hint="eastAsia" w:ascii="Times New Roman" w:hAnsi="Times New Roman" w:cs="宋体"/>
          <w:color w:val="auto"/>
          <w:szCs w:val="21"/>
          <w:highlight w:val="none"/>
        </w:rPr>
        <w:t>[9]吴国豪, 曹冬兴, 魏嘉, 等. 恶性肿瘤患者能量, 物质代谢及机体组成变化[J]. 中华外科杂志, 2008, 46(24): 1906-1909 .</w:t>
      </w:r>
    </w:p>
    <w:p w14:paraId="1A8D1F0D">
      <w:pPr>
        <w:widowControl/>
        <w:numPr>
          <w:ilvl w:val="0"/>
          <w:numId w:val="0"/>
        </w:numPr>
        <w:wordWrap w:val="0"/>
        <w:spacing w:before="0" w:beforeLines="0" w:line="360" w:lineRule="auto"/>
        <w:ind w:leftChars="0"/>
        <w:jc w:val="left"/>
        <w:rPr>
          <w:rFonts w:hint="eastAsia" w:ascii="Times New Roman" w:hAnsi="Times New Roman" w:cs="宋体"/>
          <w:color w:val="auto"/>
          <w:szCs w:val="21"/>
          <w:highlight w:val="none"/>
        </w:rPr>
      </w:pPr>
      <w:r>
        <w:rPr>
          <w:rFonts w:hint="eastAsia" w:ascii="Times New Roman" w:hAnsi="Times New Roman" w:cs="宋体"/>
          <w:color w:val="auto"/>
          <w:szCs w:val="21"/>
          <w:highlight w:val="none"/>
        </w:rPr>
        <w:t>[10]</w:t>
      </w:r>
      <w:r>
        <w:rPr>
          <w:rFonts w:hint="eastAsia" w:ascii="Times New Roman" w:hAnsi="Times New Roman" w:cs="宋体"/>
          <w:color w:val="auto"/>
          <w:szCs w:val="21"/>
          <w:highlight w:val="none"/>
        </w:rPr>
        <w:tab/>
      </w:r>
      <w:r>
        <w:rPr>
          <w:rFonts w:hint="eastAsia" w:ascii="Times New Roman" w:hAnsi="Times New Roman" w:cs="宋体"/>
          <w:color w:val="auto"/>
          <w:szCs w:val="21"/>
          <w:highlight w:val="none"/>
        </w:rPr>
        <w:t> Frost A R , Hurst D R , Shevde L A , et al. The Influence of the Cancer Microenvironment on the Process of Metastasis[J]. International Journal of Breast Cancer, 2012, 2012:756257.</w:t>
      </w:r>
    </w:p>
    <w:p w14:paraId="53873964">
      <w:pPr>
        <w:widowControl/>
        <w:numPr>
          <w:ilvl w:val="0"/>
          <w:numId w:val="0"/>
        </w:numPr>
        <w:wordWrap w:val="0"/>
        <w:spacing w:before="0" w:beforeLines="0" w:line="360" w:lineRule="auto"/>
        <w:ind w:leftChars="0"/>
        <w:jc w:val="left"/>
        <w:rPr>
          <w:rFonts w:hint="eastAsia" w:ascii="Times New Roman" w:hAnsi="Times New Roman" w:cs="宋体"/>
          <w:color w:val="auto"/>
          <w:szCs w:val="21"/>
          <w:highlight w:val="none"/>
        </w:rPr>
      </w:pPr>
      <w:r>
        <w:rPr>
          <w:rFonts w:hint="eastAsia" w:ascii="Times New Roman" w:hAnsi="Times New Roman" w:cs="宋体"/>
          <w:color w:val="auto"/>
          <w:szCs w:val="21"/>
          <w:highlight w:val="none"/>
        </w:rPr>
        <w:t>[11]</w:t>
      </w:r>
      <w:r>
        <w:rPr>
          <w:rFonts w:hint="eastAsia" w:ascii="Times New Roman" w:hAnsi="Times New Roman" w:cs="宋体"/>
          <w:color w:val="auto"/>
          <w:szCs w:val="21"/>
          <w:highlight w:val="none"/>
        </w:rPr>
        <w:tab/>
      </w:r>
      <w:r>
        <w:rPr>
          <w:rFonts w:hint="eastAsia" w:ascii="Times New Roman" w:hAnsi="Times New Roman" w:cs="宋体"/>
          <w:color w:val="auto"/>
          <w:szCs w:val="21"/>
          <w:highlight w:val="none"/>
        </w:rPr>
        <w:t>CAMUSSI G, C DEREGIBUS M, TETTA C. Tumor-derived microvesicles and the cancer microenvironment[J]. Current molecular medicine, 2013, 13(1): 58–67.</w:t>
      </w:r>
    </w:p>
    <w:p w14:paraId="4BFDAADA">
      <w:pPr>
        <w:widowControl/>
        <w:numPr>
          <w:ilvl w:val="0"/>
          <w:numId w:val="0"/>
        </w:numPr>
        <w:wordWrap w:val="0"/>
        <w:spacing w:before="0" w:beforeLines="0" w:line="360" w:lineRule="auto"/>
        <w:ind w:leftChars="0"/>
        <w:jc w:val="left"/>
        <w:rPr>
          <w:rFonts w:hint="eastAsia" w:ascii="Times New Roman" w:hAnsi="Times New Roman" w:cs="宋体"/>
          <w:color w:val="auto"/>
          <w:szCs w:val="21"/>
          <w:highlight w:val="none"/>
        </w:rPr>
      </w:pPr>
      <w:r>
        <w:rPr>
          <w:rFonts w:hint="eastAsia" w:ascii="Times New Roman" w:hAnsi="Times New Roman" w:cs="宋体"/>
          <w:color w:val="auto"/>
          <w:szCs w:val="21"/>
          <w:highlight w:val="none"/>
        </w:rPr>
        <w:t>[12]</w:t>
      </w:r>
      <w:r>
        <w:rPr>
          <w:rFonts w:hint="eastAsia" w:ascii="Times New Roman" w:hAnsi="Times New Roman" w:cs="宋体"/>
          <w:color w:val="auto"/>
          <w:szCs w:val="21"/>
          <w:highlight w:val="none"/>
        </w:rPr>
        <w:tab/>
      </w:r>
      <w:r>
        <w:rPr>
          <w:rFonts w:hint="eastAsia" w:ascii="Times New Roman" w:hAnsi="Times New Roman" w:cs="宋体"/>
          <w:color w:val="auto"/>
          <w:szCs w:val="21"/>
          <w:highlight w:val="none"/>
        </w:rPr>
        <w:t>CRUZ-MERINO L, HENAO-CARRASCO F, GARCÍA-MANRIQUE T等. Role of transforming growth factor β in cancer microenvironment[J]. Clinical and Translational Oncology, 2009, 11(11): 715–720.</w:t>
      </w:r>
    </w:p>
    <w:p w14:paraId="2A085B9C">
      <w:pPr>
        <w:widowControl/>
        <w:numPr>
          <w:ilvl w:val="0"/>
          <w:numId w:val="0"/>
        </w:numPr>
        <w:wordWrap w:val="0"/>
        <w:spacing w:before="0" w:beforeLines="0" w:line="360" w:lineRule="auto"/>
        <w:ind w:leftChars="0"/>
        <w:jc w:val="left"/>
        <w:rPr>
          <w:rFonts w:hint="eastAsia" w:ascii="Times New Roman" w:hAnsi="Times New Roman" w:cs="宋体"/>
          <w:color w:val="auto"/>
          <w:szCs w:val="21"/>
          <w:highlight w:val="none"/>
        </w:rPr>
      </w:pPr>
      <w:r>
        <w:rPr>
          <w:rFonts w:hint="eastAsia" w:ascii="Times New Roman" w:hAnsi="Times New Roman" w:cs="宋体"/>
          <w:color w:val="auto"/>
          <w:szCs w:val="21"/>
          <w:highlight w:val="none"/>
        </w:rPr>
        <w:t>[13]</w:t>
      </w:r>
      <w:r>
        <w:rPr>
          <w:rFonts w:hint="eastAsia" w:ascii="Times New Roman" w:hAnsi="Times New Roman" w:cs="宋体"/>
          <w:color w:val="auto"/>
          <w:szCs w:val="21"/>
          <w:highlight w:val="none"/>
        </w:rPr>
        <w:tab/>
      </w:r>
      <w:r>
        <w:rPr>
          <w:rFonts w:hint="eastAsia" w:ascii="Times New Roman" w:hAnsi="Times New Roman" w:cs="宋体"/>
          <w:color w:val="auto"/>
          <w:szCs w:val="21"/>
          <w:highlight w:val="none"/>
        </w:rPr>
        <w:t>FEARON K, STRASSER F, ANKER S D, et al. Definition and classification of cancer cachexia: an international consensus[J]. The lancet oncology, 2011, 12(5): 489–495.</w:t>
      </w:r>
    </w:p>
    <w:p w14:paraId="042A826D">
      <w:pPr>
        <w:widowControl/>
        <w:numPr>
          <w:ilvl w:val="0"/>
          <w:numId w:val="0"/>
        </w:numPr>
        <w:wordWrap w:val="0"/>
        <w:spacing w:before="0" w:beforeLines="0" w:line="360" w:lineRule="auto"/>
        <w:ind w:leftChars="0"/>
        <w:jc w:val="left"/>
        <w:rPr>
          <w:rFonts w:hint="eastAsia" w:ascii="Times New Roman" w:hAnsi="Times New Roman" w:cs="宋体"/>
          <w:color w:val="auto"/>
          <w:szCs w:val="21"/>
          <w:highlight w:val="none"/>
        </w:rPr>
      </w:pPr>
      <w:r>
        <w:rPr>
          <w:rFonts w:hint="eastAsia" w:ascii="Times New Roman" w:hAnsi="Times New Roman" w:cs="宋体"/>
          <w:color w:val="auto"/>
          <w:szCs w:val="21"/>
          <w:highlight w:val="none"/>
        </w:rPr>
        <w:t>[14]</w:t>
      </w:r>
      <w:r>
        <w:rPr>
          <w:rFonts w:hint="eastAsia" w:ascii="Times New Roman" w:hAnsi="Times New Roman" w:cs="宋体"/>
          <w:color w:val="auto"/>
          <w:szCs w:val="21"/>
          <w:highlight w:val="none"/>
        </w:rPr>
        <w:tab/>
      </w:r>
      <w:r>
        <w:rPr>
          <w:rFonts w:hint="eastAsia" w:ascii="Times New Roman" w:hAnsi="Times New Roman" w:cs="宋体"/>
          <w:color w:val="auto"/>
          <w:szCs w:val="21"/>
          <w:highlight w:val="none"/>
        </w:rPr>
        <w:t>INÁCIO PINTO N, CARNIER J, OYAMA L M, et al. Cancer as a proinflammatory environment: metastasis and cachexia[J]. Mediators of inflammation, 2015, 2015.</w:t>
      </w:r>
    </w:p>
    <w:p w14:paraId="28E7B619">
      <w:pPr>
        <w:widowControl/>
        <w:numPr>
          <w:ilvl w:val="0"/>
          <w:numId w:val="0"/>
        </w:numPr>
        <w:wordWrap w:val="0"/>
        <w:spacing w:before="0" w:beforeLines="0" w:line="360" w:lineRule="auto"/>
        <w:ind w:leftChars="0"/>
        <w:jc w:val="left"/>
        <w:rPr>
          <w:rFonts w:hint="eastAsia" w:ascii="Times New Roman" w:hAnsi="Times New Roman" w:cs="宋体"/>
          <w:color w:val="auto"/>
          <w:szCs w:val="21"/>
          <w:highlight w:val="none"/>
        </w:rPr>
      </w:pPr>
      <w:r>
        <w:rPr>
          <w:rFonts w:hint="eastAsia" w:ascii="Times New Roman" w:hAnsi="Times New Roman" w:cs="宋体"/>
          <w:color w:val="auto"/>
          <w:szCs w:val="21"/>
          <w:highlight w:val="none"/>
        </w:rPr>
        <w:t>[15]</w:t>
      </w:r>
      <w:r>
        <w:rPr>
          <w:rFonts w:hint="eastAsia" w:ascii="Times New Roman" w:hAnsi="Times New Roman" w:cs="宋体"/>
          <w:color w:val="auto"/>
          <w:szCs w:val="21"/>
          <w:highlight w:val="none"/>
        </w:rPr>
        <w:tab/>
      </w:r>
      <w:r>
        <w:rPr>
          <w:rFonts w:hint="eastAsia" w:ascii="Times New Roman" w:hAnsi="Times New Roman" w:cs="宋体"/>
          <w:color w:val="auto"/>
          <w:szCs w:val="21"/>
          <w:highlight w:val="none"/>
        </w:rPr>
        <w:t>吴海涛, 王畅, 李薇. 肿瘤恶液质的诊治[J]. 肿瘤代谢与营养电子杂志, 2018, 5(3): 5.</w:t>
      </w:r>
    </w:p>
    <w:p w14:paraId="28A81ED0">
      <w:pPr>
        <w:widowControl/>
        <w:numPr>
          <w:ilvl w:val="0"/>
          <w:numId w:val="0"/>
        </w:numPr>
        <w:wordWrap w:val="0"/>
        <w:spacing w:before="0" w:beforeLines="0" w:line="360" w:lineRule="auto"/>
        <w:ind w:leftChars="0"/>
        <w:jc w:val="left"/>
        <w:rPr>
          <w:rFonts w:hint="eastAsia" w:ascii="Times New Roman" w:hAnsi="Times New Roman" w:cs="宋体"/>
          <w:color w:val="auto"/>
          <w:szCs w:val="21"/>
          <w:highlight w:val="none"/>
        </w:rPr>
      </w:pPr>
      <w:r>
        <w:rPr>
          <w:rFonts w:hint="eastAsia" w:ascii="Times New Roman" w:hAnsi="Times New Roman" w:cs="宋体"/>
          <w:color w:val="auto"/>
          <w:szCs w:val="21"/>
          <w:highlight w:val="none"/>
        </w:rPr>
        <w:t>[16]</w:t>
      </w:r>
      <w:r>
        <w:rPr>
          <w:rFonts w:hint="eastAsia" w:ascii="Times New Roman" w:hAnsi="Times New Roman" w:cs="宋体"/>
          <w:color w:val="auto"/>
          <w:szCs w:val="21"/>
          <w:highlight w:val="none"/>
        </w:rPr>
        <w:tab/>
      </w:r>
      <w:r>
        <w:rPr>
          <w:rFonts w:hint="eastAsia" w:ascii="Times New Roman" w:hAnsi="Times New Roman" w:cs="宋体"/>
          <w:color w:val="auto"/>
          <w:szCs w:val="21"/>
          <w:highlight w:val="none"/>
        </w:rPr>
        <w:t>ARGILÉS J M, BUSQUETS S, STEMMLER B, et al. Cancer cachexia: understanding the molecular basis[J]. Nature Reviews Cancer, 2014, 14(11): 754–762.</w:t>
      </w:r>
    </w:p>
    <w:p w14:paraId="07E56B95">
      <w:pPr>
        <w:widowControl/>
        <w:numPr>
          <w:ilvl w:val="0"/>
          <w:numId w:val="0"/>
        </w:numPr>
        <w:wordWrap w:val="0"/>
        <w:spacing w:before="0" w:beforeLines="0" w:line="360" w:lineRule="auto"/>
        <w:ind w:leftChars="0"/>
        <w:jc w:val="left"/>
        <w:rPr>
          <w:rFonts w:hint="eastAsia" w:ascii="Times New Roman" w:hAnsi="Times New Roman" w:cs="宋体"/>
          <w:color w:val="auto"/>
          <w:szCs w:val="21"/>
          <w:highlight w:val="none"/>
        </w:rPr>
      </w:pPr>
      <w:r>
        <w:rPr>
          <w:rFonts w:hint="eastAsia" w:ascii="Times New Roman" w:hAnsi="Times New Roman" w:cs="宋体"/>
          <w:color w:val="auto"/>
          <w:szCs w:val="21"/>
          <w:highlight w:val="none"/>
        </w:rPr>
        <w:t>[17]</w:t>
      </w:r>
      <w:r>
        <w:rPr>
          <w:rFonts w:hint="eastAsia" w:ascii="Times New Roman" w:hAnsi="Times New Roman" w:cs="宋体"/>
          <w:color w:val="auto"/>
          <w:szCs w:val="21"/>
          <w:highlight w:val="none"/>
        </w:rPr>
        <w:tab/>
      </w:r>
      <w:r>
        <w:rPr>
          <w:rFonts w:hint="eastAsia" w:ascii="Times New Roman" w:hAnsi="Times New Roman" w:cs="宋体"/>
          <w:color w:val="auto"/>
          <w:szCs w:val="21"/>
          <w:highlight w:val="none"/>
        </w:rPr>
        <w:t>佚名. 恶性肿瘤患者膳食营养处方专家共识[J]. 肿瘤代谢与营养电子杂志, 2017, 4(4): 12.</w:t>
      </w:r>
    </w:p>
    <w:p w14:paraId="141C89E0">
      <w:pPr>
        <w:widowControl/>
        <w:numPr>
          <w:ilvl w:val="0"/>
          <w:numId w:val="0"/>
        </w:numPr>
        <w:wordWrap w:val="0"/>
        <w:spacing w:before="0" w:beforeLines="0" w:line="360" w:lineRule="auto"/>
        <w:ind w:leftChars="0"/>
        <w:jc w:val="left"/>
        <w:rPr>
          <w:rFonts w:hint="eastAsia" w:ascii="Times New Roman" w:hAnsi="Times New Roman" w:cs="宋体"/>
          <w:color w:val="auto"/>
          <w:szCs w:val="21"/>
          <w:highlight w:val="none"/>
        </w:rPr>
      </w:pPr>
      <w:r>
        <w:rPr>
          <w:rFonts w:hint="eastAsia" w:ascii="Times New Roman" w:hAnsi="Times New Roman" w:cs="宋体"/>
          <w:color w:val="auto"/>
          <w:szCs w:val="21"/>
          <w:highlight w:val="none"/>
        </w:rPr>
        <w:t>[18]</w:t>
      </w:r>
      <w:r>
        <w:rPr>
          <w:rFonts w:hint="eastAsia" w:ascii="Times New Roman" w:hAnsi="Times New Roman" w:cs="宋体"/>
          <w:color w:val="auto"/>
          <w:szCs w:val="21"/>
          <w:highlight w:val="none"/>
        </w:rPr>
        <w:tab/>
      </w:r>
      <w:r>
        <w:rPr>
          <w:rFonts w:hint="eastAsia" w:ascii="Times New Roman" w:hAnsi="Times New Roman" w:cs="宋体"/>
          <w:color w:val="auto"/>
          <w:szCs w:val="21"/>
          <w:highlight w:val="none"/>
        </w:rPr>
        <w:t>ARENDS J, BACHMANN P, BARACOS V, et al. ESPEN guidelines on nutrition in cancer patients[J]. Clinical nutrition, 2017, 36(1): 11–48.</w:t>
      </w:r>
    </w:p>
    <w:p w14:paraId="329CBD1D">
      <w:pPr>
        <w:widowControl/>
        <w:numPr>
          <w:ilvl w:val="0"/>
          <w:numId w:val="0"/>
        </w:numPr>
        <w:wordWrap w:val="0"/>
        <w:spacing w:before="0" w:beforeLines="0" w:line="360" w:lineRule="auto"/>
        <w:ind w:leftChars="0"/>
        <w:jc w:val="left"/>
        <w:rPr>
          <w:rFonts w:hint="eastAsia" w:ascii="Times New Roman" w:hAnsi="Times New Roman" w:cs="宋体"/>
          <w:color w:val="auto"/>
          <w:szCs w:val="21"/>
          <w:highlight w:val="none"/>
        </w:rPr>
      </w:pPr>
      <w:r>
        <w:rPr>
          <w:rFonts w:hint="eastAsia" w:ascii="Times New Roman" w:hAnsi="Times New Roman" w:cs="宋体"/>
          <w:color w:val="auto"/>
          <w:szCs w:val="21"/>
          <w:highlight w:val="none"/>
        </w:rPr>
        <w:t>[19]</w:t>
      </w:r>
      <w:r>
        <w:rPr>
          <w:rFonts w:hint="eastAsia" w:ascii="Times New Roman" w:hAnsi="Times New Roman" w:cs="宋体"/>
          <w:color w:val="auto"/>
          <w:szCs w:val="21"/>
          <w:highlight w:val="none"/>
        </w:rPr>
        <w:tab/>
      </w:r>
      <w:r>
        <w:rPr>
          <w:rFonts w:hint="eastAsia" w:ascii="Times New Roman" w:hAnsi="Times New Roman" w:cs="宋体"/>
          <w:color w:val="auto"/>
          <w:szCs w:val="21"/>
          <w:highlight w:val="none"/>
        </w:rPr>
        <w:t>AUGUST D A, HUHMANN M B. ASPEN clinical guidelines: nutrition support therapy during adult anticancer treatment and in hematopoietic cell transplantation[J]. JPEN. Journal of parenteral and enteral nutrition, 2009, 33(5): 472–500.</w:t>
      </w:r>
    </w:p>
    <w:p w14:paraId="03E2BD28">
      <w:pPr>
        <w:widowControl/>
        <w:numPr>
          <w:ilvl w:val="0"/>
          <w:numId w:val="0"/>
        </w:numPr>
        <w:wordWrap w:val="0"/>
        <w:spacing w:before="0" w:beforeLines="0" w:line="360" w:lineRule="auto"/>
        <w:ind w:leftChars="0"/>
        <w:jc w:val="left"/>
        <w:rPr>
          <w:rFonts w:hint="eastAsia" w:ascii="Times New Roman" w:hAnsi="Times New Roman" w:cs="宋体"/>
          <w:color w:val="auto"/>
          <w:szCs w:val="21"/>
          <w:highlight w:val="none"/>
        </w:rPr>
      </w:pPr>
      <w:r>
        <w:rPr>
          <w:rFonts w:hint="eastAsia" w:ascii="Times New Roman" w:hAnsi="Times New Roman" w:cs="宋体"/>
          <w:color w:val="auto"/>
          <w:szCs w:val="21"/>
          <w:highlight w:val="none"/>
        </w:rPr>
        <w:t>[20]</w:t>
      </w:r>
      <w:r>
        <w:rPr>
          <w:rFonts w:hint="eastAsia" w:ascii="Times New Roman" w:hAnsi="Times New Roman" w:cs="宋体"/>
          <w:color w:val="auto"/>
          <w:szCs w:val="21"/>
          <w:highlight w:val="none"/>
        </w:rPr>
        <w:tab/>
      </w:r>
      <w:r>
        <w:rPr>
          <w:rFonts w:hint="eastAsia" w:ascii="Times New Roman" w:hAnsi="Times New Roman" w:cs="宋体"/>
          <w:color w:val="auto"/>
          <w:szCs w:val="21"/>
          <w:highlight w:val="none"/>
        </w:rPr>
        <w:t>HUBBARD G P, ELIA M, HOLDOWAY A, et al. A systematic review of compliance to oral nutritional supplements[J]. Clinical nutrition, 2012, 31(3): 293–312.</w:t>
      </w:r>
    </w:p>
    <w:p w14:paraId="5727F46E">
      <w:pPr>
        <w:widowControl/>
        <w:numPr>
          <w:ilvl w:val="0"/>
          <w:numId w:val="0"/>
        </w:numPr>
        <w:wordWrap w:val="0"/>
        <w:spacing w:before="0" w:beforeLines="0" w:line="360" w:lineRule="auto"/>
        <w:ind w:leftChars="0"/>
        <w:jc w:val="left"/>
        <w:rPr>
          <w:rFonts w:hint="eastAsia" w:ascii="Times New Roman" w:hAnsi="Times New Roman" w:cs="宋体"/>
          <w:color w:val="auto"/>
          <w:szCs w:val="21"/>
          <w:highlight w:val="none"/>
        </w:rPr>
      </w:pPr>
      <w:r>
        <w:rPr>
          <w:rFonts w:hint="eastAsia" w:ascii="Times New Roman" w:hAnsi="Times New Roman" w:cs="宋体"/>
          <w:color w:val="auto"/>
          <w:szCs w:val="21"/>
          <w:highlight w:val="none"/>
        </w:rPr>
        <w:t>[21]</w:t>
      </w:r>
      <w:r>
        <w:rPr>
          <w:rFonts w:hint="eastAsia" w:ascii="Times New Roman" w:hAnsi="Times New Roman" w:cs="宋体"/>
          <w:color w:val="auto"/>
          <w:szCs w:val="21"/>
          <w:highlight w:val="none"/>
        </w:rPr>
        <w:tab/>
      </w:r>
      <w:r>
        <w:rPr>
          <w:rFonts w:hint="eastAsia" w:ascii="Times New Roman" w:hAnsi="Times New Roman" w:cs="宋体"/>
          <w:color w:val="auto"/>
          <w:szCs w:val="21"/>
          <w:highlight w:val="none"/>
        </w:rPr>
        <w:t>BOZZETTI F, FORBES A. The ESPEN clinical practice Guidelines on Parenteral Nutrition: present status and perspectives for future research[J]. Clinical Nutrition, 2009, 28(4): 359–364.</w:t>
      </w:r>
    </w:p>
    <w:p w14:paraId="1837AAF5">
      <w:pPr>
        <w:widowControl/>
        <w:numPr>
          <w:ilvl w:val="0"/>
          <w:numId w:val="0"/>
        </w:numPr>
        <w:wordWrap w:val="0"/>
        <w:spacing w:before="0" w:beforeLines="0" w:line="360" w:lineRule="auto"/>
        <w:ind w:leftChars="0"/>
        <w:jc w:val="left"/>
        <w:rPr>
          <w:rFonts w:hint="eastAsia" w:ascii="Times New Roman" w:hAnsi="Times New Roman" w:cs="宋体"/>
          <w:color w:val="auto"/>
          <w:szCs w:val="21"/>
          <w:highlight w:val="none"/>
        </w:rPr>
      </w:pPr>
      <w:r>
        <w:rPr>
          <w:rFonts w:hint="eastAsia" w:ascii="Times New Roman" w:hAnsi="Times New Roman" w:cs="宋体"/>
          <w:color w:val="auto"/>
          <w:szCs w:val="21"/>
          <w:highlight w:val="none"/>
        </w:rPr>
        <w:t>[22]</w:t>
      </w:r>
      <w:r>
        <w:rPr>
          <w:rFonts w:hint="eastAsia" w:ascii="Times New Roman" w:hAnsi="Times New Roman" w:cs="宋体"/>
          <w:color w:val="auto"/>
          <w:szCs w:val="21"/>
          <w:highlight w:val="none"/>
        </w:rPr>
        <w:tab/>
      </w:r>
      <w:r>
        <w:rPr>
          <w:rFonts w:hint="eastAsia" w:ascii="Times New Roman" w:hAnsi="Times New Roman" w:cs="宋体"/>
          <w:color w:val="auto"/>
          <w:szCs w:val="21"/>
          <w:highlight w:val="none"/>
        </w:rPr>
        <w:t>BUMRUNGPERT A, PAVADHGUL P, NUNTHANAWANICH P, et al. Whey protein supplementation improves nutritional status, glutathione levels, and immune function in cancer patients: a randomized, double-blind controlled trial[J]. Journal of medicinal food, 2018, 21(6): 612–616.</w:t>
      </w:r>
    </w:p>
    <w:p w14:paraId="3CF6B3E4">
      <w:pPr>
        <w:widowControl/>
        <w:numPr>
          <w:ilvl w:val="0"/>
          <w:numId w:val="0"/>
        </w:numPr>
        <w:wordWrap w:val="0"/>
        <w:spacing w:before="0" w:beforeLines="0" w:line="360" w:lineRule="auto"/>
        <w:ind w:leftChars="0"/>
        <w:jc w:val="left"/>
        <w:rPr>
          <w:rFonts w:hint="eastAsia" w:ascii="Times New Roman" w:hAnsi="Times New Roman" w:cs="宋体"/>
          <w:color w:val="auto"/>
          <w:szCs w:val="21"/>
          <w:highlight w:val="none"/>
        </w:rPr>
      </w:pPr>
      <w:r>
        <w:rPr>
          <w:rFonts w:hint="eastAsia" w:ascii="Times New Roman" w:hAnsi="Times New Roman" w:cs="宋体"/>
          <w:color w:val="auto"/>
          <w:szCs w:val="21"/>
          <w:highlight w:val="none"/>
        </w:rPr>
        <w:t>[23]</w:t>
      </w:r>
      <w:r>
        <w:rPr>
          <w:rFonts w:hint="eastAsia" w:ascii="Times New Roman" w:hAnsi="Times New Roman" w:cs="宋体"/>
          <w:color w:val="auto"/>
          <w:szCs w:val="21"/>
          <w:highlight w:val="none"/>
        </w:rPr>
        <w:tab/>
      </w:r>
      <w:r>
        <w:rPr>
          <w:rFonts w:hint="eastAsia" w:ascii="Times New Roman" w:hAnsi="Times New Roman" w:cs="宋体"/>
          <w:color w:val="auto"/>
          <w:szCs w:val="21"/>
          <w:highlight w:val="none"/>
        </w:rPr>
        <w:t>KÖRBER J, PRICELIUS S, HEIDRICH M, et al. Increased lipid utilization in weight losing and weight stable cancer patients with normal body weight[J]. European journal of clinical nutrition, 1999, 53(9): 740–745.</w:t>
      </w:r>
    </w:p>
    <w:p w14:paraId="6325EABC">
      <w:pPr>
        <w:widowControl/>
        <w:numPr>
          <w:ilvl w:val="0"/>
          <w:numId w:val="0"/>
        </w:numPr>
        <w:wordWrap w:val="0"/>
        <w:spacing w:before="0" w:beforeLines="0" w:line="360" w:lineRule="auto"/>
        <w:ind w:leftChars="0"/>
        <w:jc w:val="left"/>
        <w:rPr>
          <w:rFonts w:hint="eastAsia" w:ascii="Times New Roman" w:hAnsi="Times New Roman" w:cs="宋体"/>
          <w:color w:val="auto"/>
          <w:szCs w:val="21"/>
          <w:highlight w:val="none"/>
        </w:rPr>
      </w:pPr>
      <w:r>
        <w:rPr>
          <w:rFonts w:hint="eastAsia" w:ascii="Times New Roman" w:hAnsi="Times New Roman" w:cs="宋体"/>
          <w:color w:val="auto"/>
          <w:szCs w:val="21"/>
          <w:highlight w:val="none"/>
        </w:rPr>
        <w:t>[24]</w:t>
      </w:r>
      <w:r>
        <w:rPr>
          <w:rFonts w:hint="eastAsia" w:ascii="Times New Roman" w:hAnsi="Times New Roman" w:cs="宋体"/>
          <w:color w:val="auto"/>
          <w:szCs w:val="21"/>
          <w:highlight w:val="none"/>
        </w:rPr>
        <w:tab/>
      </w:r>
      <w:r>
        <w:rPr>
          <w:rFonts w:hint="eastAsia" w:ascii="Times New Roman" w:hAnsi="Times New Roman" w:cs="宋体"/>
          <w:color w:val="auto"/>
          <w:szCs w:val="21"/>
          <w:highlight w:val="none"/>
        </w:rPr>
        <w:t>YOSHIKAWA T, HIKI N, TAGURI M, et al. A phase III trial to evaluate the effect of perioperative nutrition enriched with eicosapentaenoic acid on body weight loss after total gastrectomy for T2–T4a gastric cancer[J]. Japanese Journal of Clinical Oncology, 2012, 42(5): 459–462.</w:t>
      </w:r>
    </w:p>
    <w:p w14:paraId="29CF17A4">
      <w:pPr>
        <w:widowControl/>
        <w:numPr>
          <w:ilvl w:val="0"/>
          <w:numId w:val="0"/>
        </w:numPr>
        <w:wordWrap w:val="0"/>
        <w:spacing w:before="0" w:beforeLines="0" w:line="360" w:lineRule="auto"/>
        <w:ind w:leftChars="0"/>
        <w:jc w:val="left"/>
        <w:rPr>
          <w:rFonts w:hint="eastAsia" w:ascii="Times New Roman" w:hAnsi="Times New Roman" w:cs="宋体"/>
          <w:color w:val="auto"/>
          <w:szCs w:val="21"/>
          <w:highlight w:val="none"/>
        </w:rPr>
      </w:pPr>
      <w:r>
        <w:rPr>
          <w:rFonts w:hint="eastAsia" w:ascii="Times New Roman" w:hAnsi="Times New Roman" w:cs="宋体"/>
          <w:color w:val="auto"/>
          <w:szCs w:val="21"/>
          <w:highlight w:val="none"/>
        </w:rPr>
        <w:t>[25]</w:t>
      </w:r>
      <w:r>
        <w:rPr>
          <w:rFonts w:hint="eastAsia" w:ascii="Times New Roman" w:hAnsi="Times New Roman" w:cs="宋体"/>
          <w:color w:val="auto"/>
          <w:szCs w:val="21"/>
          <w:highlight w:val="none"/>
        </w:rPr>
        <w:tab/>
      </w:r>
      <w:r>
        <w:rPr>
          <w:rFonts w:hint="eastAsia" w:ascii="Times New Roman" w:hAnsi="Times New Roman" w:cs="宋体"/>
          <w:color w:val="auto"/>
          <w:szCs w:val="21"/>
          <w:highlight w:val="none"/>
        </w:rPr>
        <w:t>YU J, LIU L, ZHANG Y, et al. Effects of omega-3 fatty acids on patients undergoing surgery for gastrointestinal malignancy: a systematic review and meta-analysis[J]. BMC cancer, 2017, 17(1): 1–9.</w:t>
      </w:r>
    </w:p>
    <w:p w14:paraId="764562AC">
      <w:pPr>
        <w:widowControl/>
        <w:numPr>
          <w:ilvl w:val="0"/>
          <w:numId w:val="0"/>
        </w:numPr>
        <w:wordWrap w:val="0"/>
        <w:spacing w:before="0" w:beforeLines="0" w:line="360" w:lineRule="auto"/>
        <w:ind w:leftChars="0"/>
        <w:jc w:val="left"/>
        <w:rPr>
          <w:rFonts w:hint="eastAsia" w:ascii="Times New Roman" w:hAnsi="Times New Roman" w:cs="宋体"/>
          <w:color w:val="auto"/>
          <w:szCs w:val="21"/>
          <w:highlight w:val="none"/>
        </w:rPr>
      </w:pPr>
      <w:r>
        <w:rPr>
          <w:rFonts w:hint="eastAsia" w:ascii="Times New Roman" w:hAnsi="Times New Roman" w:cs="宋体"/>
          <w:color w:val="auto"/>
          <w:szCs w:val="21"/>
          <w:highlight w:val="none"/>
        </w:rPr>
        <w:t>[26]</w:t>
      </w:r>
      <w:r>
        <w:rPr>
          <w:rFonts w:hint="eastAsia" w:ascii="Times New Roman" w:hAnsi="Times New Roman" w:cs="宋体"/>
          <w:color w:val="auto"/>
          <w:szCs w:val="21"/>
          <w:highlight w:val="none"/>
        </w:rPr>
        <w:tab/>
      </w:r>
      <w:r>
        <w:rPr>
          <w:rFonts w:hint="eastAsia" w:ascii="Times New Roman" w:hAnsi="Times New Roman" w:cs="宋体"/>
          <w:color w:val="auto"/>
          <w:szCs w:val="21"/>
          <w:highlight w:val="none"/>
        </w:rPr>
        <w:t>XIE H, CHANG Y. Omega-3 polyunsaturated fatty acids in the prevention of postoperative complications in colorectal cancer: a meta-analysis[J]. OncoTargets and therapy, 2016, 9: 7435.</w:t>
      </w:r>
    </w:p>
    <w:p w14:paraId="6E4E58AA">
      <w:pPr>
        <w:widowControl/>
        <w:numPr>
          <w:ilvl w:val="0"/>
          <w:numId w:val="0"/>
        </w:numPr>
        <w:wordWrap w:val="0"/>
        <w:spacing w:before="0" w:beforeLines="0" w:line="360" w:lineRule="auto"/>
        <w:ind w:leftChars="0"/>
        <w:jc w:val="left"/>
        <w:rPr>
          <w:rFonts w:hint="eastAsia" w:ascii="Times New Roman" w:hAnsi="Times New Roman" w:cs="宋体"/>
          <w:color w:val="auto"/>
          <w:szCs w:val="21"/>
          <w:highlight w:val="none"/>
        </w:rPr>
      </w:pPr>
      <w:r>
        <w:rPr>
          <w:rFonts w:hint="eastAsia" w:ascii="Times New Roman" w:hAnsi="Times New Roman" w:cs="宋体"/>
          <w:color w:val="auto"/>
          <w:szCs w:val="21"/>
          <w:highlight w:val="none"/>
        </w:rPr>
        <w:t>[27]</w:t>
      </w:r>
      <w:r>
        <w:rPr>
          <w:rFonts w:hint="eastAsia" w:ascii="Times New Roman" w:hAnsi="Times New Roman" w:cs="宋体"/>
          <w:color w:val="auto"/>
          <w:szCs w:val="21"/>
          <w:highlight w:val="none"/>
        </w:rPr>
        <w:tab/>
      </w:r>
      <w:r>
        <w:rPr>
          <w:rFonts w:hint="eastAsia" w:ascii="Times New Roman" w:hAnsi="Times New Roman" w:cs="宋体"/>
          <w:color w:val="auto"/>
          <w:szCs w:val="21"/>
          <w:highlight w:val="none"/>
        </w:rPr>
        <w:t>BOUGNOUX P, HAJJAJI N, FERRASSON M N, et al. Improving outcome of chemotherapy of metastatic breast cancer by docosahexaenoic acid: a phase II trial[J]. British journal of cancer, 2009, 101(12): 1978–1985.</w:t>
      </w:r>
    </w:p>
    <w:p w14:paraId="15E2C8FE">
      <w:pPr>
        <w:widowControl/>
        <w:numPr>
          <w:ilvl w:val="0"/>
          <w:numId w:val="0"/>
        </w:numPr>
        <w:wordWrap w:val="0"/>
        <w:spacing w:before="0" w:beforeLines="0" w:line="360" w:lineRule="auto"/>
        <w:ind w:leftChars="0"/>
        <w:jc w:val="left"/>
        <w:rPr>
          <w:rFonts w:ascii="Times New Roman" w:hAnsi="Times New Roman" w:cs="宋体"/>
          <w:color w:val="auto"/>
          <w:szCs w:val="21"/>
          <w:highlight w:val="none"/>
        </w:rPr>
      </w:pPr>
      <w:r>
        <w:rPr>
          <w:rFonts w:hint="eastAsia" w:ascii="Times New Roman" w:hAnsi="Times New Roman" w:cs="宋体"/>
          <w:color w:val="auto"/>
          <w:szCs w:val="21"/>
          <w:highlight w:val="none"/>
        </w:rPr>
        <w:t>[28]</w:t>
      </w:r>
      <w:r>
        <w:rPr>
          <w:rFonts w:hint="eastAsia" w:ascii="Times New Roman" w:hAnsi="Times New Roman" w:cs="宋体"/>
          <w:color w:val="auto"/>
          <w:szCs w:val="21"/>
          <w:highlight w:val="none"/>
        </w:rPr>
        <w:tab/>
      </w:r>
      <w:r>
        <w:rPr>
          <w:rFonts w:hint="eastAsia" w:ascii="Times New Roman" w:hAnsi="Times New Roman" w:cs="宋体"/>
          <w:color w:val="auto"/>
          <w:szCs w:val="21"/>
          <w:highlight w:val="none"/>
        </w:rPr>
        <w:t>LORENZ K J, MÜLLER V, MAIER H. Enteral feeding therapy in patients with head and neck neoplasms[J]. HNO, 1997, 45(11): 939–950.</w:t>
      </w:r>
    </w:p>
    <w:p w14:paraId="46162EB1">
      <w:pPr>
        <w:pStyle w:val="2"/>
        <w:spacing w:line="360" w:lineRule="auto"/>
        <w:rPr>
          <w:rFonts w:hint="default" w:ascii="Times New Roman" w:hAnsi="Times New Roman" w:eastAsia="宋体" w:cs="黑体"/>
          <w:color w:val="auto"/>
          <w:sz w:val="21"/>
          <w:szCs w:val="21"/>
          <w:highlight w:val="none"/>
        </w:rPr>
        <w:sectPr>
          <w:pgSz w:w="11906" w:h="16838"/>
          <w:pgMar w:top="1440" w:right="1800" w:bottom="1440" w:left="1800" w:header="680" w:footer="992" w:gutter="0"/>
          <w:pgBorders>
            <w:top w:val="none" w:sz="0" w:space="0"/>
            <w:left w:val="none" w:sz="0" w:space="0"/>
            <w:bottom w:val="none" w:sz="0" w:space="0"/>
            <w:right w:val="none" w:sz="0" w:space="0"/>
          </w:pgBorders>
          <w:pgNumType w:fmt="decimal"/>
          <w:cols w:space="425" w:num="1"/>
          <w:docGrid w:type="lines" w:linePitch="312" w:charSpace="0"/>
        </w:sectPr>
      </w:pPr>
    </w:p>
    <w:p w14:paraId="7907C6F1">
      <w:pPr>
        <w:pStyle w:val="3"/>
        <w:numPr>
          <w:ilvl w:val="0"/>
          <w:numId w:val="0"/>
        </w:numPr>
        <w:spacing w:before="0" w:line="240" w:lineRule="auto"/>
        <w:ind w:leftChars="0"/>
        <w:rPr>
          <w:rFonts w:hint="eastAsia" w:ascii="Times New Roman" w:hAnsi="Times New Roman" w:cs="黑体"/>
          <w:b/>
          <w:bCs/>
          <w:color w:val="auto"/>
          <w:szCs w:val="28"/>
          <w:highlight w:val="none"/>
        </w:rPr>
      </w:pPr>
      <w:bookmarkStart w:id="200" w:name="_Toc9958"/>
      <w:bookmarkStart w:id="201" w:name="_Toc13654"/>
      <w:r>
        <w:rPr>
          <w:rFonts w:hint="eastAsia" w:ascii="Times New Roman" w:hAnsi="Times New Roman" w:cs="黑体"/>
          <w:b/>
          <w:bCs/>
          <w:color w:val="auto"/>
          <w:szCs w:val="28"/>
          <w:highlight w:val="none"/>
        </w:rPr>
        <w:t>附</w:t>
      </w:r>
      <w:bookmarkEnd w:id="200"/>
      <w:r>
        <w:rPr>
          <w:rFonts w:hint="eastAsia" w:ascii="Times New Roman" w:hAnsi="Times New Roman" w:cs="黑体"/>
          <w:b/>
          <w:bCs/>
          <w:color w:val="auto"/>
          <w:szCs w:val="28"/>
          <w:highlight w:val="none"/>
          <w:lang w:val="en-US" w:eastAsia="zh-CN"/>
        </w:rPr>
        <w:t>页</w:t>
      </w:r>
      <w:bookmarkEnd w:id="201"/>
    </w:p>
    <w:p w14:paraId="74EEB7EF">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ascii="Times New Roman" w:hAnsi="Times New Roman"/>
          <w:b/>
          <w:bCs w:val="0"/>
          <w:color w:val="auto"/>
          <w:sz w:val="24"/>
          <w:highlight w:val="none"/>
        </w:rPr>
      </w:pPr>
      <w:bookmarkStart w:id="202" w:name="_Toc3696"/>
      <w:bookmarkStart w:id="203" w:name="_Toc8130"/>
      <w:bookmarkStart w:id="204" w:name="_Toc30526"/>
      <w:bookmarkStart w:id="205" w:name="_Toc22439"/>
      <w:bookmarkStart w:id="206" w:name="_Toc27346"/>
      <w:bookmarkStart w:id="207" w:name="_Toc16140"/>
      <w:bookmarkStart w:id="208" w:name="_Toc22651"/>
      <w:bookmarkStart w:id="209" w:name="_Toc23727"/>
      <w:bookmarkStart w:id="210" w:name="_Toc18196"/>
      <w:bookmarkStart w:id="211" w:name="_Toc31140"/>
      <w:r>
        <w:rPr>
          <w:rFonts w:hint="eastAsia" w:ascii="Times New Roman" w:hAnsi="Times New Roman"/>
          <w:b/>
          <w:bCs w:val="0"/>
          <w:color w:val="auto"/>
          <w:sz w:val="24"/>
          <w:highlight w:val="none"/>
        </w:rPr>
        <w:t>附</w:t>
      </w:r>
      <w:bookmarkEnd w:id="202"/>
      <w:r>
        <w:rPr>
          <w:rFonts w:hint="eastAsia" w:ascii="Times New Roman" w:hAnsi="Times New Roman"/>
          <w:b/>
          <w:bCs w:val="0"/>
          <w:color w:val="auto"/>
          <w:sz w:val="24"/>
          <w:highlight w:val="none"/>
          <w:lang w:val="en-US" w:eastAsia="zh-CN"/>
        </w:rPr>
        <w:t>页</w:t>
      </w:r>
      <w:r>
        <w:rPr>
          <w:rFonts w:ascii="Times New Roman" w:hAnsi="Times New Roman"/>
          <w:b/>
          <w:bCs w:val="0"/>
          <w:color w:val="auto"/>
          <w:sz w:val="24"/>
          <w:highlight w:val="none"/>
        </w:rPr>
        <w:t>1</w:t>
      </w:r>
      <w:r>
        <w:rPr>
          <w:rFonts w:hint="eastAsia" w:ascii="Times New Roman" w:hAnsi="Times New Roman"/>
          <w:b/>
          <w:bCs w:val="0"/>
          <w:color w:val="auto"/>
          <w:sz w:val="24"/>
          <w:highlight w:val="none"/>
        </w:rPr>
        <w:t xml:space="preserve"> NRS2002评估表</w:t>
      </w:r>
      <w:bookmarkEnd w:id="203"/>
      <w:bookmarkEnd w:id="204"/>
      <w:bookmarkEnd w:id="205"/>
      <w:bookmarkEnd w:id="206"/>
      <w:bookmarkEnd w:id="207"/>
      <w:bookmarkEnd w:id="208"/>
      <w:bookmarkEnd w:id="209"/>
      <w:bookmarkEnd w:id="210"/>
      <w:bookmarkEnd w:id="211"/>
    </w:p>
    <w:tbl>
      <w:tblPr>
        <w:tblStyle w:val="29"/>
        <w:tblW w:w="0" w:type="auto"/>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877"/>
        <w:gridCol w:w="1234"/>
        <w:gridCol w:w="992"/>
        <w:gridCol w:w="992"/>
        <w:gridCol w:w="930"/>
      </w:tblGrid>
      <w:tr w14:paraId="3357FE1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96" w:type="dxa"/>
            <w:gridSpan w:val="6"/>
            <w:tcBorders>
              <w:tl2br w:val="nil"/>
              <w:tr2bl w:val="nil"/>
            </w:tcBorders>
            <w:vAlign w:val="center"/>
          </w:tcPr>
          <w:p w14:paraId="5BE4237B">
            <w:pPr>
              <w:spacing w:before="0" w:beforeLines="0"/>
              <w:jc w:val="both"/>
              <w:rPr>
                <w:rFonts w:ascii="Times New Roman" w:hAnsi="Times New Roman" w:cs="黑体"/>
                <w:b/>
                <w:bCs/>
                <w:color w:val="auto"/>
                <w:szCs w:val="21"/>
                <w:highlight w:val="none"/>
              </w:rPr>
            </w:pPr>
            <w:r>
              <w:rPr>
                <w:rFonts w:hint="eastAsia" w:ascii="Times New Roman" w:hAnsi="Times New Roman" w:cs="黑体"/>
                <w:b/>
                <w:bCs/>
                <w:color w:val="auto"/>
                <w:szCs w:val="21"/>
                <w:highlight w:val="none"/>
              </w:rPr>
              <w:t>患者基本资料</w:t>
            </w:r>
          </w:p>
        </w:tc>
      </w:tr>
      <w:tr w14:paraId="4562882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1271" w:type="dxa"/>
            <w:tcBorders>
              <w:tl2br w:val="nil"/>
              <w:tr2bl w:val="nil"/>
            </w:tcBorders>
            <w:vAlign w:val="center"/>
          </w:tcPr>
          <w:p w14:paraId="03C73209">
            <w:pPr>
              <w:spacing w:before="0" w:beforeLines="0"/>
              <w:jc w:val="both"/>
              <w:rPr>
                <w:rFonts w:ascii="Times New Roman" w:hAnsi="Times New Roman" w:cs="黑体"/>
                <w:b/>
                <w:bCs/>
                <w:color w:val="auto"/>
                <w:szCs w:val="21"/>
                <w:highlight w:val="none"/>
              </w:rPr>
            </w:pPr>
            <w:r>
              <w:rPr>
                <w:rFonts w:hint="eastAsia" w:ascii="Times New Roman" w:hAnsi="Times New Roman" w:cs="黑体"/>
                <w:b/>
                <w:bCs/>
                <w:color w:val="auto"/>
                <w:szCs w:val="21"/>
                <w:highlight w:val="none"/>
              </w:rPr>
              <w:t>姓名缩写</w:t>
            </w:r>
          </w:p>
        </w:tc>
        <w:tc>
          <w:tcPr>
            <w:tcW w:w="2877" w:type="dxa"/>
            <w:tcBorders>
              <w:tl2br w:val="nil"/>
              <w:tr2bl w:val="nil"/>
            </w:tcBorders>
            <w:vAlign w:val="center"/>
          </w:tcPr>
          <w:p w14:paraId="23CE0D55">
            <w:pPr>
              <w:spacing w:before="0" w:beforeLines="0"/>
              <w:jc w:val="both"/>
              <w:rPr>
                <w:rFonts w:ascii="Times New Roman" w:hAnsi="Times New Roman" w:cs="黑体"/>
                <w:b/>
                <w:bCs/>
                <w:color w:val="auto"/>
                <w:szCs w:val="21"/>
                <w:highlight w:val="none"/>
              </w:rPr>
            </w:pPr>
          </w:p>
        </w:tc>
        <w:tc>
          <w:tcPr>
            <w:tcW w:w="1234" w:type="dxa"/>
            <w:tcBorders>
              <w:tl2br w:val="nil"/>
              <w:tr2bl w:val="nil"/>
            </w:tcBorders>
            <w:vAlign w:val="center"/>
          </w:tcPr>
          <w:p w14:paraId="1F198B27">
            <w:pPr>
              <w:spacing w:before="0" w:beforeLines="0"/>
              <w:jc w:val="both"/>
              <w:rPr>
                <w:rFonts w:ascii="Times New Roman" w:hAnsi="Times New Roman"/>
                <w:color w:val="auto"/>
                <w:highlight w:val="none"/>
              </w:rPr>
            </w:pPr>
            <w:r>
              <w:rPr>
                <w:rFonts w:hint="eastAsia" w:ascii="Times New Roman" w:hAnsi="Times New Roman" w:cs="黑体"/>
                <w:b/>
                <w:bCs/>
                <w:color w:val="auto"/>
                <w:szCs w:val="21"/>
                <w:highlight w:val="none"/>
                <w:lang w:val="en-US" w:eastAsia="zh-CN"/>
              </w:rPr>
              <w:t>筛选编</w:t>
            </w:r>
            <w:r>
              <w:rPr>
                <w:rFonts w:hint="eastAsia" w:ascii="Times New Roman" w:hAnsi="Times New Roman" w:cs="黑体"/>
                <w:b/>
                <w:bCs/>
                <w:color w:val="auto"/>
                <w:szCs w:val="21"/>
                <w:highlight w:val="none"/>
              </w:rPr>
              <w:t>号</w:t>
            </w:r>
          </w:p>
        </w:tc>
        <w:tc>
          <w:tcPr>
            <w:tcW w:w="2914" w:type="dxa"/>
            <w:gridSpan w:val="3"/>
            <w:tcBorders>
              <w:tl2br w:val="nil"/>
              <w:tr2bl w:val="nil"/>
            </w:tcBorders>
            <w:vAlign w:val="center"/>
          </w:tcPr>
          <w:p w14:paraId="231AE32A">
            <w:pPr>
              <w:spacing w:before="0" w:beforeLines="0"/>
              <w:jc w:val="both"/>
              <w:rPr>
                <w:rFonts w:ascii="Times New Roman" w:hAnsi="Times New Roman" w:cs="黑体"/>
                <w:b/>
                <w:bCs/>
                <w:color w:val="auto"/>
                <w:szCs w:val="21"/>
                <w:highlight w:val="none"/>
              </w:rPr>
            </w:pPr>
          </w:p>
        </w:tc>
      </w:tr>
      <w:tr w14:paraId="13A798E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96" w:type="dxa"/>
            <w:gridSpan w:val="6"/>
            <w:tcBorders>
              <w:tl2br w:val="nil"/>
              <w:tr2bl w:val="nil"/>
            </w:tcBorders>
            <w:vAlign w:val="center"/>
          </w:tcPr>
          <w:p w14:paraId="3405B15C">
            <w:pPr>
              <w:spacing w:before="0" w:beforeLines="0"/>
              <w:jc w:val="both"/>
              <w:rPr>
                <w:rFonts w:ascii="Times New Roman" w:hAnsi="Times New Roman" w:cs="黑体"/>
                <w:b/>
                <w:bCs/>
                <w:color w:val="auto"/>
                <w:szCs w:val="21"/>
                <w:highlight w:val="none"/>
              </w:rPr>
            </w:pPr>
            <w:r>
              <w:rPr>
                <w:rFonts w:hint="eastAsia" w:ascii="Times New Roman" w:hAnsi="Times New Roman" w:cs="黑体"/>
                <w:b/>
                <w:bCs/>
                <w:color w:val="auto"/>
                <w:szCs w:val="21"/>
                <w:highlight w:val="none"/>
              </w:rPr>
              <w:t>营养初筛</w:t>
            </w:r>
          </w:p>
        </w:tc>
      </w:tr>
      <w:tr w14:paraId="074786B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74" w:type="dxa"/>
            <w:gridSpan w:val="4"/>
            <w:tcBorders>
              <w:tl2br w:val="nil"/>
              <w:tr2bl w:val="nil"/>
            </w:tcBorders>
            <w:vAlign w:val="center"/>
          </w:tcPr>
          <w:p w14:paraId="12BFDE06">
            <w:pPr>
              <w:spacing w:before="0" w:beforeLines="0"/>
              <w:jc w:val="both"/>
              <w:rPr>
                <w:rFonts w:ascii="Times New Roman" w:hAnsi="Times New Roman" w:cs="黑体"/>
                <w:b/>
                <w:bCs/>
                <w:color w:val="auto"/>
                <w:szCs w:val="21"/>
                <w:highlight w:val="none"/>
              </w:rPr>
            </w:pPr>
            <w:r>
              <w:rPr>
                <w:rFonts w:hint="eastAsia" w:ascii="Times New Roman" w:hAnsi="Times New Roman" w:cs="黑体"/>
                <w:b/>
                <w:bCs/>
                <w:color w:val="auto"/>
                <w:szCs w:val="21"/>
                <w:highlight w:val="none"/>
              </w:rPr>
              <w:t>问题</w:t>
            </w:r>
          </w:p>
        </w:tc>
        <w:tc>
          <w:tcPr>
            <w:tcW w:w="992" w:type="dxa"/>
            <w:tcBorders>
              <w:tl2br w:val="nil"/>
              <w:tr2bl w:val="nil"/>
            </w:tcBorders>
            <w:vAlign w:val="center"/>
          </w:tcPr>
          <w:p w14:paraId="5BF63345">
            <w:pPr>
              <w:spacing w:before="0" w:beforeLines="0"/>
              <w:jc w:val="both"/>
              <w:rPr>
                <w:rFonts w:ascii="Times New Roman" w:hAnsi="Times New Roman" w:cs="黑体"/>
                <w:b/>
                <w:bCs/>
                <w:color w:val="auto"/>
                <w:szCs w:val="21"/>
                <w:highlight w:val="none"/>
              </w:rPr>
            </w:pPr>
            <w:r>
              <w:rPr>
                <w:rFonts w:hint="eastAsia" w:ascii="Times New Roman" w:hAnsi="Times New Roman" w:cs="黑体"/>
                <w:b/>
                <w:bCs/>
                <w:color w:val="auto"/>
                <w:szCs w:val="21"/>
                <w:highlight w:val="none"/>
              </w:rPr>
              <w:t>是</w:t>
            </w:r>
          </w:p>
        </w:tc>
        <w:tc>
          <w:tcPr>
            <w:tcW w:w="930" w:type="dxa"/>
            <w:tcBorders>
              <w:tl2br w:val="nil"/>
              <w:tr2bl w:val="nil"/>
            </w:tcBorders>
            <w:vAlign w:val="center"/>
          </w:tcPr>
          <w:p w14:paraId="5CBF3741">
            <w:pPr>
              <w:spacing w:before="0" w:beforeLines="0"/>
              <w:jc w:val="both"/>
              <w:rPr>
                <w:rFonts w:ascii="Times New Roman" w:hAnsi="Times New Roman" w:cs="黑体"/>
                <w:b/>
                <w:bCs/>
                <w:color w:val="auto"/>
                <w:szCs w:val="21"/>
                <w:highlight w:val="none"/>
              </w:rPr>
            </w:pPr>
            <w:r>
              <w:rPr>
                <w:rFonts w:hint="eastAsia" w:ascii="Times New Roman" w:hAnsi="Times New Roman" w:cs="黑体"/>
                <w:b/>
                <w:bCs/>
                <w:color w:val="auto"/>
                <w:szCs w:val="21"/>
                <w:highlight w:val="none"/>
              </w:rPr>
              <w:t>否</w:t>
            </w:r>
          </w:p>
        </w:tc>
      </w:tr>
      <w:tr w14:paraId="3962DAD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74" w:type="dxa"/>
            <w:gridSpan w:val="4"/>
            <w:tcBorders>
              <w:tl2br w:val="nil"/>
              <w:tr2bl w:val="nil"/>
            </w:tcBorders>
            <w:vAlign w:val="center"/>
          </w:tcPr>
          <w:p w14:paraId="561D2971">
            <w:pPr>
              <w:spacing w:before="0" w:beforeLines="0"/>
              <w:jc w:val="both"/>
              <w:rPr>
                <w:rFonts w:ascii="Times New Roman" w:hAnsi="Times New Roman" w:cs="黑体"/>
                <w:color w:val="auto"/>
                <w:szCs w:val="21"/>
                <w:highlight w:val="none"/>
              </w:rPr>
            </w:pPr>
            <w:r>
              <w:rPr>
                <w:rFonts w:hint="eastAsia" w:ascii="Times New Roman" w:hAnsi="Times New Roman" w:cs="黑体"/>
                <w:color w:val="auto"/>
                <w:szCs w:val="21"/>
                <w:highlight w:val="none"/>
              </w:rPr>
              <w:t>BMI&lt;20.5</w:t>
            </w:r>
          </w:p>
        </w:tc>
        <w:tc>
          <w:tcPr>
            <w:tcW w:w="992" w:type="dxa"/>
            <w:tcBorders>
              <w:tl2br w:val="nil"/>
              <w:tr2bl w:val="nil"/>
            </w:tcBorders>
            <w:vAlign w:val="center"/>
          </w:tcPr>
          <w:p w14:paraId="447BF7A1">
            <w:pPr>
              <w:spacing w:before="0" w:beforeLines="0"/>
              <w:jc w:val="both"/>
              <w:rPr>
                <w:rFonts w:ascii="Times New Roman" w:hAnsi="Times New Roman" w:cs="黑体"/>
                <w:color w:val="auto"/>
                <w:szCs w:val="21"/>
                <w:highlight w:val="none"/>
              </w:rPr>
            </w:pPr>
          </w:p>
        </w:tc>
        <w:tc>
          <w:tcPr>
            <w:tcW w:w="930" w:type="dxa"/>
            <w:tcBorders>
              <w:tl2br w:val="nil"/>
              <w:tr2bl w:val="nil"/>
            </w:tcBorders>
            <w:vAlign w:val="center"/>
          </w:tcPr>
          <w:p w14:paraId="370E4C16">
            <w:pPr>
              <w:spacing w:before="0" w:beforeLines="0"/>
              <w:jc w:val="both"/>
              <w:rPr>
                <w:rFonts w:ascii="Times New Roman" w:hAnsi="Times New Roman" w:cs="黑体"/>
                <w:color w:val="auto"/>
                <w:szCs w:val="21"/>
                <w:highlight w:val="none"/>
              </w:rPr>
            </w:pPr>
          </w:p>
        </w:tc>
      </w:tr>
      <w:tr w14:paraId="6CF44ED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74" w:type="dxa"/>
            <w:gridSpan w:val="4"/>
            <w:tcBorders>
              <w:tl2br w:val="nil"/>
              <w:tr2bl w:val="nil"/>
            </w:tcBorders>
            <w:vAlign w:val="center"/>
          </w:tcPr>
          <w:p w14:paraId="298B8F7D">
            <w:pPr>
              <w:spacing w:before="0" w:beforeLines="0"/>
              <w:jc w:val="both"/>
              <w:rPr>
                <w:rFonts w:ascii="Times New Roman" w:hAnsi="Times New Roman" w:cs="黑体"/>
                <w:color w:val="auto"/>
                <w:szCs w:val="21"/>
                <w:highlight w:val="none"/>
              </w:rPr>
            </w:pPr>
            <w:r>
              <w:rPr>
                <w:rFonts w:hint="eastAsia" w:ascii="Times New Roman" w:hAnsi="Times New Roman" w:cs="黑体"/>
                <w:color w:val="auto"/>
                <w:szCs w:val="21"/>
                <w:highlight w:val="none"/>
              </w:rPr>
              <w:t>患者在过去3个月有体重下降吗？</w:t>
            </w:r>
          </w:p>
        </w:tc>
        <w:tc>
          <w:tcPr>
            <w:tcW w:w="992" w:type="dxa"/>
            <w:tcBorders>
              <w:tl2br w:val="nil"/>
              <w:tr2bl w:val="nil"/>
            </w:tcBorders>
            <w:vAlign w:val="center"/>
          </w:tcPr>
          <w:p w14:paraId="7036662C">
            <w:pPr>
              <w:spacing w:before="0" w:beforeLines="0"/>
              <w:jc w:val="both"/>
              <w:rPr>
                <w:rFonts w:ascii="Times New Roman" w:hAnsi="Times New Roman" w:cs="黑体"/>
                <w:color w:val="auto"/>
                <w:szCs w:val="21"/>
                <w:highlight w:val="none"/>
              </w:rPr>
            </w:pPr>
          </w:p>
        </w:tc>
        <w:tc>
          <w:tcPr>
            <w:tcW w:w="930" w:type="dxa"/>
            <w:tcBorders>
              <w:tl2br w:val="nil"/>
              <w:tr2bl w:val="nil"/>
            </w:tcBorders>
            <w:vAlign w:val="center"/>
          </w:tcPr>
          <w:p w14:paraId="335C378C">
            <w:pPr>
              <w:spacing w:before="0" w:beforeLines="0"/>
              <w:jc w:val="both"/>
              <w:rPr>
                <w:rFonts w:ascii="Times New Roman" w:hAnsi="Times New Roman" w:cs="黑体"/>
                <w:color w:val="auto"/>
                <w:szCs w:val="21"/>
                <w:highlight w:val="none"/>
              </w:rPr>
            </w:pPr>
          </w:p>
        </w:tc>
      </w:tr>
      <w:tr w14:paraId="4FA1765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74" w:type="dxa"/>
            <w:gridSpan w:val="4"/>
            <w:tcBorders>
              <w:tl2br w:val="nil"/>
              <w:tr2bl w:val="nil"/>
            </w:tcBorders>
            <w:vAlign w:val="center"/>
          </w:tcPr>
          <w:p w14:paraId="4F3CF6E8">
            <w:pPr>
              <w:spacing w:before="0" w:beforeLines="0"/>
              <w:jc w:val="both"/>
              <w:rPr>
                <w:rFonts w:ascii="Times New Roman" w:hAnsi="Times New Roman" w:cs="黑体"/>
                <w:color w:val="auto"/>
                <w:szCs w:val="21"/>
                <w:highlight w:val="none"/>
              </w:rPr>
            </w:pPr>
            <w:r>
              <w:rPr>
                <w:rFonts w:hint="eastAsia" w:ascii="Times New Roman" w:hAnsi="Times New Roman" w:cs="黑体"/>
                <w:color w:val="auto"/>
                <w:szCs w:val="21"/>
                <w:highlight w:val="none"/>
              </w:rPr>
              <w:t>患者在过去1周内有摄食减少吗？</w:t>
            </w:r>
          </w:p>
        </w:tc>
        <w:tc>
          <w:tcPr>
            <w:tcW w:w="992" w:type="dxa"/>
            <w:tcBorders>
              <w:tl2br w:val="nil"/>
              <w:tr2bl w:val="nil"/>
            </w:tcBorders>
            <w:vAlign w:val="center"/>
          </w:tcPr>
          <w:p w14:paraId="07320428">
            <w:pPr>
              <w:spacing w:before="0" w:beforeLines="0"/>
              <w:jc w:val="both"/>
              <w:rPr>
                <w:rFonts w:ascii="Times New Roman" w:hAnsi="Times New Roman" w:cs="黑体"/>
                <w:color w:val="auto"/>
                <w:szCs w:val="21"/>
                <w:highlight w:val="none"/>
              </w:rPr>
            </w:pPr>
          </w:p>
        </w:tc>
        <w:tc>
          <w:tcPr>
            <w:tcW w:w="930" w:type="dxa"/>
            <w:tcBorders>
              <w:tl2br w:val="nil"/>
              <w:tr2bl w:val="nil"/>
            </w:tcBorders>
            <w:vAlign w:val="center"/>
          </w:tcPr>
          <w:p w14:paraId="34F5AE2F">
            <w:pPr>
              <w:spacing w:before="0" w:beforeLines="0"/>
              <w:jc w:val="both"/>
              <w:rPr>
                <w:rFonts w:ascii="Times New Roman" w:hAnsi="Times New Roman" w:cs="黑体"/>
                <w:color w:val="auto"/>
                <w:szCs w:val="21"/>
                <w:highlight w:val="none"/>
              </w:rPr>
            </w:pPr>
          </w:p>
        </w:tc>
      </w:tr>
      <w:tr w14:paraId="5DA2D27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74" w:type="dxa"/>
            <w:gridSpan w:val="4"/>
            <w:tcBorders>
              <w:tl2br w:val="nil"/>
              <w:tr2bl w:val="nil"/>
            </w:tcBorders>
            <w:vAlign w:val="center"/>
          </w:tcPr>
          <w:p w14:paraId="144F38D3">
            <w:pPr>
              <w:spacing w:before="0" w:beforeLines="0"/>
              <w:jc w:val="both"/>
              <w:rPr>
                <w:rFonts w:ascii="Times New Roman" w:hAnsi="Times New Roman" w:cs="黑体"/>
                <w:color w:val="auto"/>
                <w:szCs w:val="21"/>
                <w:highlight w:val="none"/>
              </w:rPr>
            </w:pPr>
            <w:r>
              <w:rPr>
                <w:rFonts w:hint="eastAsia" w:ascii="Times New Roman" w:hAnsi="Times New Roman" w:cs="黑体"/>
                <w:color w:val="auto"/>
                <w:szCs w:val="21"/>
                <w:highlight w:val="none"/>
              </w:rPr>
              <w:t>患者有严重疾病吗？（肿瘤、入ICU等）</w:t>
            </w:r>
          </w:p>
        </w:tc>
        <w:tc>
          <w:tcPr>
            <w:tcW w:w="992" w:type="dxa"/>
            <w:tcBorders>
              <w:tl2br w:val="nil"/>
              <w:tr2bl w:val="nil"/>
            </w:tcBorders>
            <w:vAlign w:val="center"/>
          </w:tcPr>
          <w:p w14:paraId="2B228B87">
            <w:pPr>
              <w:spacing w:before="0" w:beforeLines="0"/>
              <w:jc w:val="both"/>
              <w:rPr>
                <w:rFonts w:ascii="Times New Roman" w:hAnsi="Times New Roman" w:cs="黑体"/>
                <w:color w:val="auto"/>
                <w:szCs w:val="21"/>
                <w:highlight w:val="none"/>
              </w:rPr>
            </w:pPr>
          </w:p>
        </w:tc>
        <w:tc>
          <w:tcPr>
            <w:tcW w:w="930" w:type="dxa"/>
            <w:tcBorders>
              <w:tl2br w:val="nil"/>
              <w:tr2bl w:val="nil"/>
            </w:tcBorders>
            <w:vAlign w:val="center"/>
          </w:tcPr>
          <w:p w14:paraId="15A3C70B">
            <w:pPr>
              <w:spacing w:before="0" w:beforeLines="0"/>
              <w:jc w:val="both"/>
              <w:rPr>
                <w:rFonts w:ascii="Times New Roman" w:hAnsi="Times New Roman" w:cs="黑体"/>
                <w:color w:val="auto"/>
                <w:szCs w:val="21"/>
                <w:highlight w:val="none"/>
              </w:rPr>
            </w:pPr>
          </w:p>
        </w:tc>
      </w:tr>
      <w:tr w14:paraId="10BACC3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96" w:type="dxa"/>
            <w:gridSpan w:val="6"/>
            <w:tcBorders>
              <w:tl2br w:val="nil"/>
              <w:tr2bl w:val="nil"/>
            </w:tcBorders>
            <w:vAlign w:val="center"/>
          </w:tcPr>
          <w:p w14:paraId="128D5B03">
            <w:pPr>
              <w:spacing w:before="0" w:beforeLines="0"/>
              <w:jc w:val="both"/>
              <w:rPr>
                <w:rFonts w:ascii="Times New Roman" w:hAnsi="Times New Roman" w:cs="黑体"/>
                <w:color w:val="auto"/>
                <w:szCs w:val="21"/>
                <w:highlight w:val="none"/>
              </w:rPr>
            </w:pPr>
            <w:r>
              <w:rPr>
                <w:rFonts w:hint="eastAsia" w:ascii="Times New Roman" w:hAnsi="Times New Roman" w:cs="黑体"/>
                <w:b/>
                <w:bCs/>
                <w:color w:val="auto"/>
                <w:szCs w:val="21"/>
                <w:highlight w:val="none"/>
              </w:rPr>
              <w:t>最终筛查</w:t>
            </w:r>
          </w:p>
        </w:tc>
      </w:tr>
      <w:tr w14:paraId="4F38348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96" w:type="dxa"/>
            <w:gridSpan w:val="6"/>
            <w:tcBorders>
              <w:tl2br w:val="nil"/>
              <w:tr2bl w:val="nil"/>
            </w:tcBorders>
            <w:vAlign w:val="center"/>
          </w:tcPr>
          <w:p w14:paraId="34C40D15">
            <w:pPr>
              <w:spacing w:before="0" w:beforeLines="0"/>
              <w:jc w:val="both"/>
              <w:rPr>
                <w:rFonts w:ascii="Times New Roman" w:hAnsi="Times New Roman" w:cs="黑体"/>
                <w:color w:val="auto"/>
                <w:szCs w:val="21"/>
                <w:highlight w:val="none"/>
              </w:rPr>
            </w:pPr>
            <w:r>
              <w:rPr>
                <w:rFonts w:hint="eastAsia" w:ascii="Times New Roman" w:hAnsi="Times New Roman" w:cs="黑体"/>
                <w:b/>
                <w:bCs/>
                <w:color w:val="auto"/>
                <w:szCs w:val="21"/>
                <w:highlight w:val="none"/>
              </w:rPr>
              <w:t>1、疾病状态</w:t>
            </w:r>
          </w:p>
        </w:tc>
      </w:tr>
      <w:tr w14:paraId="6FA7D3C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96" w:type="dxa"/>
            <w:gridSpan w:val="6"/>
            <w:tcBorders>
              <w:tl2br w:val="nil"/>
              <w:tr2bl w:val="nil"/>
            </w:tcBorders>
            <w:vAlign w:val="center"/>
          </w:tcPr>
          <w:p w14:paraId="449A2DF4">
            <w:pPr>
              <w:spacing w:before="0" w:beforeLines="0"/>
              <w:jc w:val="both"/>
              <w:rPr>
                <w:rFonts w:ascii="Times New Roman" w:hAnsi="Times New Roman" w:cs="黑体"/>
                <w:color w:val="auto"/>
                <w:szCs w:val="21"/>
                <w:highlight w:val="none"/>
              </w:rPr>
            </w:pPr>
            <w:r>
              <w:rPr>
                <w:rFonts w:hint="eastAsia" w:ascii="Times New Roman" w:hAnsi="Times New Roman" w:cs="黑体"/>
                <w:color w:val="auto"/>
                <w:szCs w:val="21"/>
                <w:highlight w:val="none"/>
              </w:rPr>
              <w:t>□评1分：骨盆骨折，或慢性肌患者合并以下疾病：肝硬化，慢性阻塞性疾病、长期血液透析、糖尿病、肿瘤</w:t>
            </w:r>
          </w:p>
        </w:tc>
      </w:tr>
      <w:tr w14:paraId="3AE70FF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96" w:type="dxa"/>
            <w:gridSpan w:val="6"/>
            <w:tcBorders>
              <w:tl2br w:val="nil"/>
              <w:tr2bl w:val="nil"/>
            </w:tcBorders>
            <w:vAlign w:val="center"/>
          </w:tcPr>
          <w:p w14:paraId="776935B0">
            <w:pPr>
              <w:spacing w:before="0" w:beforeLines="0"/>
              <w:jc w:val="both"/>
              <w:rPr>
                <w:rFonts w:ascii="Times New Roman" w:hAnsi="Times New Roman" w:cs="黑体"/>
                <w:color w:val="auto"/>
                <w:szCs w:val="21"/>
                <w:highlight w:val="none"/>
              </w:rPr>
            </w:pPr>
            <w:r>
              <w:rPr>
                <w:rFonts w:hint="eastAsia" w:ascii="Times New Roman" w:hAnsi="Times New Roman" w:cs="黑体"/>
                <w:color w:val="auto"/>
                <w:szCs w:val="21"/>
                <w:highlight w:val="none"/>
              </w:rPr>
              <w:t>□评2分：血液恶性肿瘤、重度肺炎、腹部大手术、脑卒中</w:t>
            </w:r>
          </w:p>
        </w:tc>
      </w:tr>
      <w:tr w14:paraId="6EDBA2F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96" w:type="dxa"/>
            <w:gridSpan w:val="6"/>
            <w:tcBorders>
              <w:tl2br w:val="nil"/>
              <w:tr2bl w:val="nil"/>
            </w:tcBorders>
            <w:vAlign w:val="center"/>
          </w:tcPr>
          <w:p w14:paraId="01283AED">
            <w:pPr>
              <w:spacing w:before="0" w:beforeLines="0"/>
              <w:jc w:val="both"/>
              <w:rPr>
                <w:rFonts w:ascii="Times New Roman" w:hAnsi="Times New Roman" w:cs="黑体"/>
                <w:color w:val="auto"/>
                <w:szCs w:val="21"/>
                <w:highlight w:val="none"/>
              </w:rPr>
            </w:pPr>
            <w:r>
              <w:rPr>
                <w:rFonts w:hint="eastAsia" w:ascii="Times New Roman" w:hAnsi="Times New Roman" w:cs="黑体"/>
                <w:color w:val="auto"/>
                <w:szCs w:val="21"/>
                <w:highlight w:val="none"/>
              </w:rPr>
              <w:t>□评3分：颅脑损伤、骨髓移植、重症监护患者(APACHE&gt;10)</w:t>
            </w:r>
          </w:p>
        </w:tc>
      </w:tr>
      <w:tr w14:paraId="7FF23E4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96" w:type="dxa"/>
            <w:gridSpan w:val="6"/>
            <w:tcBorders>
              <w:tl2br w:val="nil"/>
              <w:tr2bl w:val="nil"/>
            </w:tcBorders>
            <w:vAlign w:val="center"/>
          </w:tcPr>
          <w:p w14:paraId="747865EA">
            <w:pPr>
              <w:spacing w:before="0" w:beforeLines="0"/>
              <w:jc w:val="both"/>
              <w:rPr>
                <w:rFonts w:ascii="Times New Roman" w:hAnsi="Times New Roman" w:cs="黑体"/>
                <w:color w:val="auto"/>
                <w:szCs w:val="21"/>
                <w:highlight w:val="none"/>
              </w:rPr>
            </w:pPr>
            <w:r>
              <w:rPr>
                <w:rFonts w:hint="eastAsia" w:ascii="Times New Roman" w:hAnsi="Times New Roman" w:cs="黑体"/>
                <w:b/>
                <w:bCs/>
                <w:color w:val="auto"/>
                <w:szCs w:val="21"/>
                <w:highlight w:val="none"/>
              </w:rPr>
              <w:t>2、营养受损状况评分</w:t>
            </w:r>
          </w:p>
        </w:tc>
      </w:tr>
      <w:tr w14:paraId="44E1642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96" w:type="dxa"/>
            <w:gridSpan w:val="6"/>
            <w:tcBorders>
              <w:tl2br w:val="nil"/>
              <w:tr2bl w:val="nil"/>
            </w:tcBorders>
            <w:vAlign w:val="center"/>
          </w:tcPr>
          <w:p w14:paraId="1B225858">
            <w:pPr>
              <w:spacing w:before="0" w:beforeLines="0"/>
              <w:jc w:val="both"/>
              <w:rPr>
                <w:rFonts w:ascii="Times New Roman" w:hAnsi="Times New Roman" w:cs="黑体"/>
                <w:color w:val="auto"/>
                <w:szCs w:val="21"/>
                <w:highlight w:val="none"/>
              </w:rPr>
            </w:pPr>
            <w:r>
              <w:rPr>
                <w:rFonts w:hint="eastAsia" w:ascii="Times New Roman" w:hAnsi="Times New Roman" w:cs="黑体"/>
                <w:color w:val="auto"/>
                <w:szCs w:val="21"/>
                <w:highlight w:val="none"/>
              </w:rPr>
              <w:t>□评0分：正常营养状态</w:t>
            </w:r>
          </w:p>
        </w:tc>
      </w:tr>
      <w:tr w14:paraId="41CBC8B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96" w:type="dxa"/>
            <w:gridSpan w:val="6"/>
            <w:tcBorders>
              <w:tl2br w:val="nil"/>
              <w:tr2bl w:val="nil"/>
            </w:tcBorders>
            <w:vAlign w:val="center"/>
          </w:tcPr>
          <w:p w14:paraId="35F6B5DE">
            <w:pPr>
              <w:spacing w:before="0" w:beforeLines="0"/>
              <w:jc w:val="both"/>
              <w:rPr>
                <w:rFonts w:ascii="Times New Roman" w:hAnsi="Times New Roman" w:cs="黑体"/>
                <w:color w:val="auto"/>
                <w:szCs w:val="21"/>
                <w:highlight w:val="none"/>
              </w:rPr>
            </w:pPr>
            <w:r>
              <w:rPr>
                <w:rFonts w:hint="eastAsia" w:ascii="Times New Roman" w:hAnsi="Times New Roman" w:cs="黑体"/>
                <w:color w:val="auto"/>
                <w:szCs w:val="21"/>
                <w:highlight w:val="none"/>
              </w:rPr>
              <w:t>□评1分：近3个月体重下降&gt;5%，或近1周内进食量减少1/4~1/2</w:t>
            </w:r>
          </w:p>
        </w:tc>
      </w:tr>
      <w:tr w14:paraId="0A318E8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96" w:type="dxa"/>
            <w:gridSpan w:val="6"/>
            <w:tcBorders>
              <w:tl2br w:val="nil"/>
              <w:tr2bl w:val="nil"/>
            </w:tcBorders>
            <w:vAlign w:val="center"/>
          </w:tcPr>
          <w:p w14:paraId="5BFEDE44">
            <w:pPr>
              <w:spacing w:before="0" w:beforeLines="0"/>
              <w:jc w:val="both"/>
              <w:rPr>
                <w:rFonts w:ascii="Times New Roman" w:hAnsi="Times New Roman" w:cs="黑体"/>
                <w:color w:val="auto"/>
                <w:szCs w:val="21"/>
                <w:highlight w:val="none"/>
              </w:rPr>
            </w:pPr>
            <w:r>
              <w:rPr>
                <w:rFonts w:hint="eastAsia" w:ascii="Times New Roman" w:hAnsi="Times New Roman" w:cs="黑体"/>
                <w:color w:val="auto"/>
                <w:szCs w:val="21"/>
                <w:highlight w:val="none"/>
              </w:rPr>
              <w:t>□评2分：近2个月体重下降&gt;5%，或近1周内进食量减少1/2~3/4，或BMI18.5-20.5</w:t>
            </w:r>
          </w:p>
        </w:tc>
      </w:tr>
      <w:tr w14:paraId="7C4EC50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96" w:type="dxa"/>
            <w:gridSpan w:val="6"/>
            <w:tcBorders>
              <w:tl2br w:val="nil"/>
              <w:tr2bl w:val="nil"/>
            </w:tcBorders>
            <w:vAlign w:val="center"/>
          </w:tcPr>
          <w:p w14:paraId="518E945C">
            <w:pPr>
              <w:spacing w:before="0" w:beforeLines="0"/>
              <w:jc w:val="both"/>
              <w:rPr>
                <w:rFonts w:ascii="Times New Roman" w:hAnsi="Times New Roman" w:cs="黑体"/>
                <w:color w:val="auto"/>
                <w:szCs w:val="21"/>
                <w:highlight w:val="none"/>
              </w:rPr>
            </w:pPr>
            <w:r>
              <w:rPr>
                <w:rFonts w:hint="eastAsia" w:ascii="Times New Roman" w:hAnsi="Times New Roman" w:cs="黑体"/>
                <w:color w:val="auto"/>
                <w:szCs w:val="21"/>
                <w:highlight w:val="none"/>
              </w:rPr>
              <w:t>□评3分：近1个月体重下降&gt;5%(或3个月内减轻15%)，或近1周内进食量减少3/4以上，或BMI&lt;18.5(或血清白蛋白&lt;</w:t>
            </w:r>
            <w:r>
              <w:rPr>
                <w:rFonts w:hint="eastAsia" w:ascii="Times New Roman" w:hAnsi="Times New Roman" w:cs="黑体"/>
                <w:color w:val="0000FF"/>
                <w:szCs w:val="21"/>
                <w:highlight w:val="yellow"/>
              </w:rPr>
              <w:t>3</w:t>
            </w:r>
            <w:r>
              <w:rPr>
                <w:rFonts w:hint="eastAsia" w:ascii="Times New Roman" w:hAnsi="Times New Roman" w:cs="黑体"/>
                <w:color w:val="0000FF"/>
                <w:szCs w:val="21"/>
                <w:highlight w:val="yellow"/>
                <w:lang w:val="en-US" w:eastAsia="zh-CN"/>
              </w:rPr>
              <w:t>5</w:t>
            </w:r>
            <w:r>
              <w:rPr>
                <w:rFonts w:hint="eastAsia" w:ascii="Times New Roman" w:hAnsi="Times New Roman" w:cs="黑体"/>
                <w:color w:val="auto"/>
                <w:szCs w:val="21"/>
                <w:highlight w:val="none"/>
              </w:rPr>
              <w:t>g/L)</w:t>
            </w:r>
          </w:p>
        </w:tc>
      </w:tr>
      <w:tr w14:paraId="36C100A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96" w:type="dxa"/>
            <w:gridSpan w:val="6"/>
            <w:tcBorders>
              <w:tl2br w:val="nil"/>
              <w:tr2bl w:val="nil"/>
            </w:tcBorders>
            <w:vAlign w:val="center"/>
          </w:tcPr>
          <w:p w14:paraId="44457978">
            <w:pPr>
              <w:spacing w:before="0" w:beforeLines="0"/>
              <w:jc w:val="both"/>
              <w:rPr>
                <w:rFonts w:ascii="Times New Roman" w:hAnsi="Times New Roman" w:cs="黑体"/>
                <w:color w:val="auto"/>
                <w:szCs w:val="21"/>
                <w:highlight w:val="none"/>
              </w:rPr>
            </w:pPr>
            <w:r>
              <w:rPr>
                <w:rFonts w:hint="eastAsia" w:ascii="Times New Roman" w:hAnsi="Times New Roman" w:cs="黑体"/>
                <w:b/>
                <w:bCs/>
                <w:color w:val="auto"/>
                <w:szCs w:val="21"/>
                <w:highlight w:val="none"/>
              </w:rPr>
              <w:t>3、年龄评分</w:t>
            </w:r>
          </w:p>
        </w:tc>
      </w:tr>
      <w:tr w14:paraId="3B7D0BA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96" w:type="dxa"/>
            <w:gridSpan w:val="6"/>
            <w:tcBorders>
              <w:tl2br w:val="nil"/>
              <w:tr2bl w:val="nil"/>
            </w:tcBorders>
            <w:vAlign w:val="center"/>
          </w:tcPr>
          <w:p w14:paraId="6E055D5B">
            <w:pPr>
              <w:spacing w:before="0" w:beforeLines="0"/>
              <w:jc w:val="both"/>
              <w:rPr>
                <w:rFonts w:ascii="Times New Roman" w:hAnsi="Times New Roman" w:cs="黑体"/>
                <w:color w:val="auto"/>
                <w:szCs w:val="21"/>
                <w:highlight w:val="none"/>
              </w:rPr>
            </w:pPr>
            <w:r>
              <w:rPr>
                <w:rFonts w:hint="eastAsia" w:ascii="Times New Roman" w:hAnsi="Times New Roman" w:cs="黑体"/>
                <w:color w:val="auto"/>
                <w:szCs w:val="21"/>
                <w:highlight w:val="none"/>
              </w:rPr>
              <w:t>□评1分：年龄&gt;70岁</w:t>
            </w:r>
          </w:p>
        </w:tc>
      </w:tr>
      <w:tr w14:paraId="2E08E3D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96" w:type="dxa"/>
            <w:gridSpan w:val="6"/>
            <w:tcBorders>
              <w:tl2br w:val="nil"/>
              <w:tr2bl w:val="nil"/>
            </w:tcBorders>
            <w:vAlign w:val="center"/>
          </w:tcPr>
          <w:p w14:paraId="5F2868FE">
            <w:pPr>
              <w:spacing w:before="0" w:beforeLines="0"/>
              <w:jc w:val="both"/>
              <w:rPr>
                <w:rFonts w:ascii="Times New Roman" w:hAnsi="Times New Roman" w:cs="黑体"/>
                <w:color w:val="auto"/>
                <w:szCs w:val="21"/>
                <w:highlight w:val="none"/>
              </w:rPr>
            </w:pPr>
            <w:r>
              <w:rPr>
                <w:rFonts w:hint="eastAsia" w:ascii="Times New Roman" w:hAnsi="Times New Roman" w:cs="黑体"/>
                <w:color w:val="auto"/>
                <w:szCs w:val="21"/>
                <w:highlight w:val="none"/>
              </w:rPr>
              <w:t xml:space="preserve">营养风险筛查评分=疾病严重程度评分+营养受损状况评分+年龄评分       </w:t>
            </w:r>
            <w:r>
              <w:rPr>
                <w:rFonts w:hint="eastAsia" w:ascii="Times New Roman" w:hAnsi="Times New Roman" w:cs="黑体"/>
                <w:color w:val="auto"/>
                <w:szCs w:val="21"/>
                <w:highlight w:val="none"/>
                <w:u w:val="single"/>
              </w:rPr>
              <w:t xml:space="preserve">       </w:t>
            </w:r>
            <w:r>
              <w:rPr>
                <w:rFonts w:hint="eastAsia" w:ascii="Times New Roman" w:hAnsi="Times New Roman" w:cs="黑体"/>
                <w:color w:val="auto"/>
                <w:szCs w:val="21"/>
                <w:highlight w:val="none"/>
              </w:rPr>
              <w:t xml:space="preserve"> 分 </w:t>
            </w:r>
          </w:p>
        </w:tc>
      </w:tr>
    </w:tbl>
    <w:p w14:paraId="6C59D16F">
      <w:pPr>
        <w:rPr>
          <w:rFonts w:ascii="Times New Roman" w:hAnsi="Times New Roman" w:eastAsia="黑体" w:cs="黑体"/>
          <w:color w:val="auto"/>
          <w:szCs w:val="21"/>
          <w:highlight w:val="none"/>
        </w:rPr>
      </w:pPr>
      <w:r>
        <w:rPr>
          <w:rFonts w:ascii="Times New Roman" w:hAnsi="Times New Roman" w:eastAsia="黑体" w:cs="黑体"/>
          <w:color w:val="auto"/>
          <w:szCs w:val="21"/>
          <w:highlight w:val="none"/>
        </w:rPr>
        <w:br w:type="page"/>
      </w:r>
    </w:p>
    <w:p w14:paraId="7DF820EA">
      <w:pPr>
        <w:pStyle w:val="4"/>
        <w:keepNext/>
        <w:keepLines/>
        <w:pageBreakBefore w:val="0"/>
        <w:widowControl w:val="0"/>
        <w:kinsoku/>
        <w:wordWrap/>
        <w:overflowPunct/>
        <w:topLinePunct w:val="0"/>
        <w:autoSpaceDE/>
        <w:autoSpaceDN/>
        <w:bidi w:val="0"/>
        <w:adjustRightInd/>
        <w:snapToGrid/>
        <w:spacing w:before="469" w:beforeLines="150" w:after="157" w:afterLines="50"/>
        <w:textAlignment w:val="auto"/>
        <w:rPr>
          <w:rFonts w:hint="eastAsia" w:ascii="Times New Roman" w:hAnsi="Times New Roman" w:eastAsia="黑体" w:cstheme="minorBidi"/>
          <w:b/>
          <w:bCs w:val="0"/>
          <w:color w:val="auto"/>
          <w:kern w:val="2"/>
          <w:sz w:val="24"/>
          <w:szCs w:val="32"/>
          <w:highlight w:val="none"/>
          <w:lang w:val="en-US" w:eastAsia="zh-CN" w:bidi="ar-SA"/>
        </w:rPr>
      </w:pPr>
      <w:bookmarkStart w:id="212" w:name="_Toc31806"/>
      <w:bookmarkStart w:id="213" w:name="_Toc1226"/>
      <w:bookmarkStart w:id="214" w:name="_Toc32414"/>
      <w:bookmarkStart w:id="215" w:name="_Toc30743"/>
      <w:bookmarkStart w:id="216" w:name="_Toc18243"/>
      <w:bookmarkStart w:id="217" w:name="_Toc17820"/>
      <w:bookmarkStart w:id="218" w:name="_Toc21525"/>
      <w:bookmarkStart w:id="219" w:name="_Toc9689"/>
      <w:bookmarkStart w:id="220" w:name="_Toc30469"/>
      <w:r>
        <w:rPr>
          <w:rFonts w:hint="eastAsia" w:ascii="Times New Roman" w:hAnsi="Times New Roman" w:eastAsia="黑体" w:cstheme="minorBidi"/>
          <w:b/>
          <w:bCs w:val="0"/>
          <w:color w:val="auto"/>
          <w:kern w:val="2"/>
          <w:sz w:val="24"/>
          <w:szCs w:val="32"/>
          <w:highlight w:val="none"/>
          <w:lang w:val="en-US" w:eastAsia="zh-CN" w:bidi="ar-SA"/>
        </w:rPr>
        <w:t>附</w:t>
      </w:r>
      <w:r>
        <w:rPr>
          <w:rFonts w:hint="eastAsia" w:ascii="Times New Roman" w:hAnsi="Times New Roman" w:cstheme="minorBidi"/>
          <w:b/>
          <w:bCs w:val="0"/>
          <w:color w:val="auto"/>
          <w:kern w:val="2"/>
          <w:sz w:val="24"/>
          <w:szCs w:val="32"/>
          <w:highlight w:val="none"/>
          <w:lang w:val="en-US" w:eastAsia="zh-CN" w:bidi="ar-SA"/>
        </w:rPr>
        <w:t>页2A</w:t>
      </w:r>
      <w:r>
        <w:rPr>
          <w:rFonts w:hint="eastAsia" w:ascii="Times New Roman" w:hAnsi="Times New Roman" w:eastAsia="黑体" w:cstheme="minorBidi"/>
          <w:b/>
          <w:bCs w:val="0"/>
          <w:color w:val="auto"/>
          <w:kern w:val="2"/>
          <w:sz w:val="24"/>
          <w:szCs w:val="32"/>
          <w:highlight w:val="none"/>
          <w:lang w:val="en-US" w:eastAsia="zh-CN" w:bidi="ar-SA"/>
        </w:rPr>
        <w:t xml:space="preserve"> 生活质量SF-12量表</w:t>
      </w:r>
      <w:bookmarkEnd w:id="212"/>
      <w:bookmarkEnd w:id="213"/>
      <w:bookmarkEnd w:id="214"/>
      <w:bookmarkEnd w:id="215"/>
      <w:bookmarkEnd w:id="216"/>
      <w:bookmarkEnd w:id="217"/>
      <w:bookmarkEnd w:id="218"/>
      <w:bookmarkEnd w:id="219"/>
      <w:bookmarkEnd w:id="220"/>
    </w:p>
    <w:tbl>
      <w:tblPr>
        <w:tblStyle w:val="29"/>
        <w:tblW w:w="5000" w:type="pct"/>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1374"/>
        <w:gridCol w:w="174"/>
        <w:gridCol w:w="363"/>
        <w:gridCol w:w="919"/>
        <w:gridCol w:w="119"/>
        <w:gridCol w:w="252"/>
        <w:gridCol w:w="457"/>
        <w:gridCol w:w="177"/>
        <w:gridCol w:w="658"/>
        <w:gridCol w:w="327"/>
        <w:gridCol w:w="372"/>
        <w:gridCol w:w="472"/>
        <w:gridCol w:w="101"/>
        <w:gridCol w:w="73"/>
        <w:gridCol w:w="574"/>
        <w:gridCol w:w="343"/>
        <w:gridCol w:w="448"/>
        <w:gridCol w:w="390"/>
        <w:gridCol w:w="929"/>
      </w:tblGrid>
      <w:tr w14:paraId="506EEE6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5000" w:type="pct"/>
            <w:gridSpan w:val="19"/>
            <w:tcBorders>
              <w:bottom w:val="nil"/>
            </w:tcBorders>
            <w:noWrap w:val="0"/>
            <w:vAlign w:val="top"/>
          </w:tcPr>
          <w:p w14:paraId="67EEFAEE">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b/>
                <w:bCs/>
                <w:color w:val="auto"/>
                <w:sz w:val="21"/>
                <w:highlight w:val="none"/>
                <w:lang w:val="en-US" w:eastAsia="zh-CN"/>
              </w:rPr>
              <w:t>1、总的来说，您认为自己的</w:t>
            </w:r>
            <w:bookmarkStart w:id="221" w:name="OLE_LINK5"/>
            <w:r>
              <w:rPr>
                <w:rFonts w:hint="default" w:ascii="Times New Roman" w:hAnsi="Times New Roman"/>
                <w:b/>
                <w:bCs/>
                <w:color w:val="auto"/>
                <w:sz w:val="21"/>
                <w:highlight w:val="none"/>
                <w:lang w:val="en-US" w:eastAsia="zh-CN"/>
              </w:rPr>
              <w:t>健康状况</w:t>
            </w:r>
            <w:bookmarkEnd w:id="221"/>
            <w:r>
              <w:rPr>
                <w:rFonts w:hint="default" w:ascii="Times New Roman" w:hAnsi="Times New Roman"/>
                <w:b/>
                <w:bCs/>
                <w:color w:val="auto"/>
                <w:sz w:val="21"/>
                <w:highlight w:val="none"/>
                <w:lang w:val="en-US" w:eastAsia="zh-CN"/>
              </w:rPr>
              <w:t>是：</w:t>
            </w:r>
          </w:p>
        </w:tc>
      </w:tr>
      <w:tr w14:paraId="483922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21" w:type="pct"/>
            <w:gridSpan w:val="3"/>
            <w:tcBorders>
              <w:top w:val="nil"/>
              <w:bottom w:val="single" w:color="auto" w:sz="4" w:space="0"/>
            </w:tcBorders>
            <w:noWrap w:val="0"/>
            <w:vAlign w:val="top"/>
          </w:tcPr>
          <w:p w14:paraId="6A95421C">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1 极好</w:t>
            </w:r>
          </w:p>
        </w:tc>
        <w:tc>
          <w:tcPr>
            <w:tcW w:w="1129" w:type="pct"/>
            <w:gridSpan w:val="5"/>
            <w:tcBorders>
              <w:top w:val="nil"/>
              <w:bottom w:val="single" w:color="auto" w:sz="4" w:space="0"/>
            </w:tcBorders>
            <w:noWrap w:val="0"/>
            <w:vAlign w:val="top"/>
          </w:tcPr>
          <w:p w14:paraId="4BC89C88">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2 很好</w:t>
            </w:r>
          </w:p>
        </w:tc>
        <w:tc>
          <w:tcPr>
            <w:tcW w:w="1132" w:type="pct"/>
            <w:gridSpan w:val="5"/>
            <w:tcBorders>
              <w:top w:val="nil"/>
              <w:bottom w:val="single" w:color="auto" w:sz="4" w:space="0"/>
            </w:tcBorders>
            <w:noWrap w:val="0"/>
            <w:vAlign w:val="top"/>
          </w:tcPr>
          <w:p w14:paraId="218BDDE7">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3 好</w:t>
            </w:r>
          </w:p>
        </w:tc>
        <w:tc>
          <w:tcPr>
            <w:tcW w:w="1073" w:type="pct"/>
            <w:gridSpan w:val="5"/>
            <w:tcBorders>
              <w:top w:val="nil"/>
              <w:bottom w:val="single" w:color="auto" w:sz="4" w:space="0"/>
            </w:tcBorders>
            <w:noWrap w:val="0"/>
            <w:vAlign w:val="top"/>
          </w:tcPr>
          <w:p w14:paraId="47FCDCFC">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4 一般</w:t>
            </w:r>
          </w:p>
        </w:tc>
        <w:tc>
          <w:tcPr>
            <w:tcW w:w="542" w:type="pct"/>
            <w:tcBorders>
              <w:top w:val="nil"/>
              <w:bottom w:val="single" w:color="auto" w:sz="4" w:space="0"/>
            </w:tcBorders>
            <w:noWrap w:val="0"/>
            <w:vAlign w:val="top"/>
          </w:tcPr>
          <w:p w14:paraId="0A1A504B">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5 差</w:t>
            </w:r>
          </w:p>
        </w:tc>
      </w:tr>
      <w:tr w14:paraId="6333B78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5000" w:type="pct"/>
            <w:gridSpan w:val="19"/>
            <w:tcBorders>
              <w:top w:val="single" w:color="auto" w:sz="4" w:space="0"/>
              <w:bottom w:val="nil"/>
            </w:tcBorders>
            <w:noWrap w:val="0"/>
            <w:vAlign w:val="top"/>
          </w:tcPr>
          <w:p w14:paraId="2A610271">
            <w:pPr>
              <w:keepNext w:val="0"/>
              <w:keepLines w:val="0"/>
              <w:pageBreakBefore w:val="0"/>
              <w:widowControl w:val="0"/>
              <w:kinsoku/>
              <w:wordWrap/>
              <w:overflowPunct/>
              <w:topLinePunct w:val="0"/>
              <w:autoSpaceDE/>
              <w:autoSpaceDN/>
              <w:bidi w:val="0"/>
              <w:adjustRightInd/>
              <w:snapToGrid/>
              <w:spacing w:before="0" w:beforeLines="0" w:line="240" w:lineRule="auto"/>
              <w:textAlignment w:val="auto"/>
              <w:rPr>
                <w:rFonts w:hint="default" w:ascii="Times New Roman" w:hAnsi="Times New Roman"/>
                <w:color w:val="auto"/>
                <w:sz w:val="21"/>
                <w:highlight w:val="none"/>
                <w:lang w:val="en-US" w:eastAsia="zh-CN"/>
              </w:rPr>
            </w:pPr>
            <w:r>
              <w:rPr>
                <w:rFonts w:hint="default" w:ascii="Times New Roman" w:hAnsi="Times New Roman"/>
                <w:b/>
                <w:bCs/>
                <w:color w:val="auto"/>
                <w:sz w:val="21"/>
                <w:highlight w:val="none"/>
                <w:lang w:val="en-US" w:eastAsia="zh-CN"/>
              </w:rPr>
              <w:t>2、以你目前的健康状况，你在进行日常的活动（例如移动桌子，使用吸尘器，打保龄球或打高尔夫球）时，有没有受到限制？如果是的话，程度如何？</w:t>
            </w:r>
          </w:p>
        </w:tc>
      </w:tr>
      <w:tr w14:paraId="46BDFD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878" w:type="pct"/>
            <w:gridSpan w:val="6"/>
            <w:tcBorders>
              <w:top w:val="nil"/>
              <w:bottom w:val="single" w:color="auto" w:sz="4" w:space="0"/>
            </w:tcBorders>
            <w:noWrap w:val="0"/>
            <w:vAlign w:val="top"/>
          </w:tcPr>
          <w:p w14:paraId="0853DA5A">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1 有很大限制</w:t>
            </w:r>
          </w:p>
        </w:tc>
        <w:tc>
          <w:tcPr>
            <w:tcW w:w="1884" w:type="pct"/>
            <w:gridSpan w:val="9"/>
            <w:tcBorders>
              <w:top w:val="nil"/>
              <w:bottom w:val="single" w:color="auto" w:sz="4" w:space="0"/>
            </w:tcBorders>
            <w:noWrap w:val="0"/>
            <w:vAlign w:val="top"/>
          </w:tcPr>
          <w:p w14:paraId="4D948F30">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2 有一点限制</w:t>
            </w:r>
          </w:p>
        </w:tc>
        <w:tc>
          <w:tcPr>
            <w:tcW w:w="1237" w:type="pct"/>
            <w:gridSpan w:val="4"/>
            <w:tcBorders>
              <w:top w:val="nil"/>
              <w:bottom w:val="single" w:color="auto" w:sz="4" w:space="0"/>
            </w:tcBorders>
            <w:noWrap w:val="0"/>
            <w:vAlign w:val="top"/>
          </w:tcPr>
          <w:p w14:paraId="469E93D7">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3 没有任何限制</w:t>
            </w:r>
          </w:p>
        </w:tc>
      </w:tr>
      <w:tr w14:paraId="77DEB3E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5000" w:type="pct"/>
            <w:gridSpan w:val="19"/>
            <w:tcBorders>
              <w:top w:val="single" w:color="auto" w:sz="4" w:space="0"/>
              <w:bottom w:val="nil"/>
            </w:tcBorders>
            <w:noWrap w:val="0"/>
            <w:vAlign w:val="top"/>
          </w:tcPr>
          <w:p w14:paraId="62376678">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b/>
                <w:bCs/>
                <w:color w:val="auto"/>
                <w:sz w:val="21"/>
                <w:highlight w:val="none"/>
                <w:lang w:val="en-US" w:eastAsia="zh-CN"/>
              </w:rPr>
              <w:t>3、以你目前的健康状况，你在爬楼梯时，有没有受到限制？如果有的话，程度如何？</w:t>
            </w:r>
          </w:p>
        </w:tc>
      </w:tr>
      <w:tr w14:paraId="7C15A76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878" w:type="pct"/>
            <w:gridSpan w:val="6"/>
            <w:tcBorders>
              <w:top w:val="nil"/>
              <w:bottom w:val="single" w:color="auto" w:sz="4" w:space="0"/>
            </w:tcBorders>
            <w:noWrap w:val="0"/>
            <w:vAlign w:val="top"/>
          </w:tcPr>
          <w:p w14:paraId="6CF2E2C1">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1 有很大限制</w:t>
            </w:r>
          </w:p>
        </w:tc>
        <w:tc>
          <w:tcPr>
            <w:tcW w:w="1884" w:type="pct"/>
            <w:gridSpan w:val="9"/>
            <w:tcBorders>
              <w:top w:val="nil"/>
              <w:bottom w:val="single" w:color="auto" w:sz="4" w:space="0"/>
            </w:tcBorders>
            <w:noWrap w:val="0"/>
            <w:vAlign w:val="top"/>
          </w:tcPr>
          <w:p w14:paraId="7C2D550F">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2 有一点限制</w:t>
            </w:r>
          </w:p>
        </w:tc>
        <w:tc>
          <w:tcPr>
            <w:tcW w:w="1237" w:type="pct"/>
            <w:gridSpan w:val="4"/>
            <w:tcBorders>
              <w:top w:val="nil"/>
              <w:bottom w:val="single" w:color="auto" w:sz="4" w:space="0"/>
            </w:tcBorders>
            <w:noWrap w:val="0"/>
            <w:vAlign w:val="top"/>
          </w:tcPr>
          <w:p w14:paraId="27D82F69">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3 没有任何限制</w:t>
            </w:r>
          </w:p>
        </w:tc>
      </w:tr>
      <w:tr w14:paraId="59DEC19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5000" w:type="pct"/>
            <w:gridSpan w:val="19"/>
            <w:tcBorders>
              <w:top w:val="single" w:color="auto" w:sz="4" w:space="0"/>
              <w:bottom w:val="nil"/>
            </w:tcBorders>
            <w:noWrap w:val="0"/>
            <w:vAlign w:val="top"/>
          </w:tcPr>
          <w:p w14:paraId="3E4AFE4C">
            <w:pPr>
              <w:keepNext w:val="0"/>
              <w:keepLines w:val="0"/>
              <w:pageBreakBefore w:val="0"/>
              <w:widowControl w:val="0"/>
              <w:kinsoku/>
              <w:wordWrap/>
              <w:overflowPunct/>
              <w:topLinePunct w:val="0"/>
              <w:autoSpaceDE/>
              <w:autoSpaceDN/>
              <w:bidi w:val="0"/>
              <w:adjustRightInd/>
              <w:snapToGrid/>
              <w:spacing w:before="0" w:beforeLines="0" w:line="240" w:lineRule="auto"/>
              <w:textAlignment w:val="auto"/>
              <w:rPr>
                <w:rFonts w:hint="default" w:ascii="Times New Roman" w:hAnsi="Times New Roman"/>
                <w:color w:val="auto"/>
                <w:sz w:val="21"/>
                <w:highlight w:val="none"/>
                <w:lang w:val="en-US" w:eastAsia="zh-CN"/>
              </w:rPr>
            </w:pPr>
            <w:r>
              <w:rPr>
                <w:rFonts w:hint="eastAsia" w:ascii="Times New Roman" w:hAnsi="Times New Roman"/>
                <w:b/>
                <w:bCs/>
                <w:color w:val="auto"/>
                <w:sz w:val="21"/>
                <w:highlight w:val="none"/>
                <w:lang w:val="en-US" w:eastAsia="zh-CN"/>
              </w:rPr>
              <w:t>4、</w:t>
            </w:r>
            <w:r>
              <w:rPr>
                <w:rFonts w:hint="default" w:ascii="Times New Roman" w:hAnsi="Times New Roman"/>
                <w:b/>
                <w:bCs/>
                <w:color w:val="auto"/>
                <w:sz w:val="21"/>
                <w:highlight w:val="none"/>
                <w:lang w:val="en-US" w:eastAsia="zh-CN"/>
              </w:rPr>
              <w:t>在过去4个星期里，您在工作或其他日常活动中，会不会由于身体原因使工作或活动时间减少？</w:t>
            </w:r>
          </w:p>
        </w:tc>
      </w:tr>
      <w:tr w14:paraId="78075B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2828" w:type="pct"/>
            <w:gridSpan w:val="10"/>
            <w:tcBorders>
              <w:top w:val="nil"/>
              <w:bottom w:val="single" w:color="auto" w:sz="4" w:space="0"/>
            </w:tcBorders>
            <w:noWrap w:val="0"/>
            <w:vAlign w:val="top"/>
          </w:tcPr>
          <w:p w14:paraId="48C42C3E">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1 会</w:t>
            </w:r>
          </w:p>
        </w:tc>
        <w:tc>
          <w:tcPr>
            <w:tcW w:w="2171" w:type="pct"/>
            <w:gridSpan w:val="9"/>
            <w:tcBorders>
              <w:top w:val="nil"/>
              <w:bottom w:val="single" w:color="auto" w:sz="4" w:space="0"/>
            </w:tcBorders>
            <w:noWrap w:val="0"/>
            <w:vAlign w:val="top"/>
          </w:tcPr>
          <w:p w14:paraId="3F7C0327">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2 不会</w:t>
            </w:r>
          </w:p>
        </w:tc>
      </w:tr>
      <w:tr w14:paraId="36C7AF6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5000" w:type="pct"/>
            <w:gridSpan w:val="19"/>
            <w:tcBorders>
              <w:top w:val="single" w:color="auto" w:sz="4" w:space="0"/>
              <w:bottom w:val="nil"/>
            </w:tcBorders>
            <w:noWrap w:val="0"/>
            <w:vAlign w:val="top"/>
          </w:tcPr>
          <w:p w14:paraId="0794492B">
            <w:pPr>
              <w:keepNext w:val="0"/>
              <w:keepLines w:val="0"/>
              <w:pageBreakBefore w:val="0"/>
              <w:widowControl w:val="0"/>
              <w:kinsoku/>
              <w:wordWrap/>
              <w:overflowPunct/>
              <w:topLinePunct w:val="0"/>
              <w:autoSpaceDE/>
              <w:autoSpaceDN/>
              <w:bidi w:val="0"/>
              <w:adjustRightInd/>
              <w:snapToGrid/>
              <w:spacing w:before="0" w:beforeLines="0" w:line="240" w:lineRule="auto"/>
              <w:textAlignment w:val="auto"/>
              <w:rPr>
                <w:rFonts w:hint="default" w:ascii="Times New Roman" w:hAnsi="Times New Roman"/>
                <w:color w:val="auto"/>
                <w:sz w:val="21"/>
                <w:highlight w:val="none"/>
                <w:lang w:val="en-US" w:eastAsia="zh-CN"/>
              </w:rPr>
            </w:pPr>
            <w:r>
              <w:rPr>
                <w:rFonts w:hint="default" w:ascii="Times New Roman" w:hAnsi="Times New Roman"/>
                <w:b/>
                <w:bCs/>
                <w:color w:val="auto"/>
                <w:sz w:val="21"/>
                <w:highlight w:val="none"/>
                <w:lang w:val="en-US" w:eastAsia="zh-CN"/>
              </w:rPr>
              <w:t>5、在过去4个星期里，您在工作或其他日常活动中，会不会由于身体原因使得您工作或其他活动时不如往常细心？</w:t>
            </w:r>
          </w:p>
        </w:tc>
      </w:tr>
      <w:tr w14:paraId="467FAE0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2828" w:type="pct"/>
            <w:gridSpan w:val="10"/>
            <w:tcBorders>
              <w:top w:val="nil"/>
              <w:bottom w:val="single" w:color="auto" w:sz="4" w:space="0"/>
            </w:tcBorders>
            <w:noWrap w:val="0"/>
            <w:vAlign w:val="top"/>
          </w:tcPr>
          <w:p w14:paraId="2B3098F4">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1 会</w:t>
            </w:r>
          </w:p>
        </w:tc>
        <w:tc>
          <w:tcPr>
            <w:tcW w:w="2171" w:type="pct"/>
            <w:gridSpan w:val="9"/>
            <w:tcBorders>
              <w:top w:val="nil"/>
              <w:bottom w:val="single" w:color="auto" w:sz="4" w:space="0"/>
            </w:tcBorders>
            <w:noWrap w:val="0"/>
            <w:vAlign w:val="top"/>
          </w:tcPr>
          <w:p w14:paraId="573C9AD4">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2 不会</w:t>
            </w:r>
          </w:p>
        </w:tc>
      </w:tr>
      <w:tr w14:paraId="265F73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5000" w:type="pct"/>
            <w:gridSpan w:val="19"/>
            <w:tcBorders>
              <w:top w:val="single" w:color="auto" w:sz="4" w:space="0"/>
              <w:bottom w:val="nil"/>
            </w:tcBorders>
            <w:noWrap w:val="0"/>
            <w:vAlign w:val="top"/>
          </w:tcPr>
          <w:p w14:paraId="7A3FD3B6">
            <w:pPr>
              <w:keepNext w:val="0"/>
              <w:keepLines w:val="0"/>
              <w:pageBreakBefore w:val="0"/>
              <w:widowControl w:val="0"/>
              <w:kinsoku/>
              <w:wordWrap/>
              <w:overflowPunct/>
              <w:topLinePunct w:val="0"/>
              <w:autoSpaceDE/>
              <w:autoSpaceDN/>
              <w:bidi w:val="0"/>
              <w:adjustRightInd/>
              <w:snapToGrid/>
              <w:spacing w:before="0" w:beforeLines="0" w:line="240" w:lineRule="auto"/>
              <w:textAlignment w:val="auto"/>
              <w:rPr>
                <w:rFonts w:hint="default" w:ascii="Times New Roman" w:hAnsi="Times New Roman"/>
                <w:color w:val="auto"/>
                <w:sz w:val="21"/>
                <w:highlight w:val="none"/>
                <w:lang w:val="en-US" w:eastAsia="zh-CN"/>
              </w:rPr>
            </w:pPr>
            <w:r>
              <w:rPr>
                <w:rFonts w:hint="default" w:ascii="Times New Roman" w:hAnsi="Times New Roman"/>
                <w:b/>
                <w:bCs/>
                <w:color w:val="auto"/>
                <w:sz w:val="21"/>
                <w:highlight w:val="none"/>
                <w:lang w:val="en-US" w:eastAsia="zh-CN"/>
              </w:rPr>
              <w:t>6、在过去4个星期里，您在工作或其他日常活动中，会不会因为情绪方面的原因（比如感到沮丧或焦虑）使得您完成的工作和日常活动减少？</w:t>
            </w:r>
          </w:p>
        </w:tc>
      </w:tr>
      <w:tr w14:paraId="00B3B91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2828" w:type="pct"/>
            <w:gridSpan w:val="10"/>
            <w:tcBorders>
              <w:top w:val="nil"/>
              <w:bottom w:val="single" w:color="auto" w:sz="4" w:space="0"/>
            </w:tcBorders>
            <w:noWrap w:val="0"/>
            <w:vAlign w:val="top"/>
          </w:tcPr>
          <w:p w14:paraId="16830206">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1 会</w:t>
            </w:r>
          </w:p>
        </w:tc>
        <w:tc>
          <w:tcPr>
            <w:tcW w:w="2171" w:type="pct"/>
            <w:gridSpan w:val="9"/>
            <w:tcBorders>
              <w:top w:val="nil"/>
              <w:bottom w:val="single" w:color="auto" w:sz="4" w:space="0"/>
            </w:tcBorders>
            <w:noWrap w:val="0"/>
            <w:vAlign w:val="top"/>
          </w:tcPr>
          <w:p w14:paraId="6C67F0B8">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2 不会</w:t>
            </w:r>
          </w:p>
        </w:tc>
      </w:tr>
      <w:tr w14:paraId="5A94830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5000" w:type="pct"/>
            <w:gridSpan w:val="19"/>
            <w:tcBorders>
              <w:top w:val="single" w:color="auto" w:sz="4" w:space="0"/>
              <w:bottom w:val="nil"/>
            </w:tcBorders>
            <w:noWrap w:val="0"/>
            <w:vAlign w:val="top"/>
          </w:tcPr>
          <w:p w14:paraId="216E4311">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b/>
                <w:bCs/>
                <w:color w:val="auto"/>
                <w:sz w:val="21"/>
                <w:highlight w:val="none"/>
                <w:lang w:val="en-US" w:eastAsia="zh-CN"/>
              </w:rPr>
              <w:t>7、在过去4个星期里，您在工作或其他日常活动中，会不会因为情绪方面的原因（比如感到沮丧或焦虑）使得您工作或其他活动时不如往常细心？</w:t>
            </w:r>
          </w:p>
        </w:tc>
      </w:tr>
      <w:tr w14:paraId="4FDF101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2828" w:type="pct"/>
            <w:gridSpan w:val="10"/>
            <w:tcBorders>
              <w:top w:val="nil"/>
              <w:bottom w:val="single" w:color="auto" w:sz="4" w:space="0"/>
            </w:tcBorders>
            <w:noWrap w:val="0"/>
            <w:vAlign w:val="top"/>
          </w:tcPr>
          <w:p w14:paraId="7AA35E25">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1 会</w:t>
            </w:r>
          </w:p>
        </w:tc>
        <w:tc>
          <w:tcPr>
            <w:tcW w:w="2171" w:type="pct"/>
            <w:gridSpan w:val="9"/>
            <w:tcBorders>
              <w:top w:val="nil"/>
              <w:bottom w:val="single" w:color="auto" w:sz="4" w:space="0"/>
            </w:tcBorders>
            <w:noWrap w:val="0"/>
            <w:vAlign w:val="top"/>
          </w:tcPr>
          <w:p w14:paraId="582AD2F4">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2 不会</w:t>
            </w:r>
          </w:p>
        </w:tc>
      </w:tr>
      <w:tr w14:paraId="319F181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5000" w:type="pct"/>
            <w:gridSpan w:val="19"/>
            <w:tcBorders>
              <w:top w:val="single" w:color="auto" w:sz="4" w:space="0"/>
              <w:bottom w:val="nil"/>
            </w:tcBorders>
            <w:noWrap w:val="0"/>
            <w:vAlign w:val="top"/>
          </w:tcPr>
          <w:p w14:paraId="62207562">
            <w:pPr>
              <w:keepNext w:val="0"/>
              <w:keepLines w:val="0"/>
              <w:pageBreakBefore w:val="0"/>
              <w:widowControl w:val="0"/>
              <w:kinsoku/>
              <w:wordWrap/>
              <w:overflowPunct/>
              <w:topLinePunct w:val="0"/>
              <w:autoSpaceDE/>
              <w:autoSpaceDN/>
              <w:bidi w:val="0"/>
              <w:adjustRightInd/>
              <w:snapToGrid/>
              <w:spacing w:before="0" w:beforeLines="0" w:line="240" w:lineRule="auto"/>
              <w:textAlignment w:val="auto"/>
              <w:rPr>
                <w:rFonts w:hint="default" w:ascii="Times New Roman" w:hAnsi="Times New Roman"/>
                <w:color w:val="auto"/>
                <w:sz w:val="21"/>
                <w:highlight w:val="none"/>
                <w:lang w:val="en-US" w:eastAsia="zh-CN"/>
              </w:rPr>
            </w:pPr>
            <w:r>
              <w:rPr>
                <w:rFonts w:hint="default" w:ascii="Times New Roman" w:hAnsi="Times New Roman"/>
                <w:b/>
                <w:bCs/>
                <w:color w:val="auto"/>
                <w:sz w:val="21"/>
                <w:highlight w:val="none"/>
                <w:lang w:val="en-US" w:eastAsia="zh-CN"/>
              </w:rPr>
              <w:t>8、在过去4个星期里，您身体上的疼痛对您的日常工作（包括上班和家务劳动）有多大影响？</w:t>
            </w:r>
          </w:p>
        </w:tc>
      </w:tr>
      <w:tr w14:paraId="4A50B78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660" w:type="pct"/>
            <w:gridSpan w:val="4"/>
            <w:tcBorders>
              <w:top w:val="nil"/>
              <w:bottom w:val="nil"/>
            </w:tcBorders>
            <w:noWrap w:val="0"/>
            <w:vAlign w:val="top"/>
          </w:tcPr>
          <w:p w14:paraId="71698CF3">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1 毫无影响</w:t>
            </w:r>
          </w:p>
        </w:tc>
        <w:tc>
          <w:tcPr>
            <w:tcW w:w="1663" w:type="pct"/>
            <w:gridSpan w:val="8"/>
            <w:tcBorders>
              <w:top w:val="nil"/>
              <w:bottom w:val="nil"/>
            </w:tcBorders>
            <w:noWrap w:val="0"/>
            <w:vAlign w:val="top"/>
          </w:tcPr>
          <w:p w14:paraId="7D75F5C2">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2 有很少影响</w:t>
            </w:r>
          </w:p>
        </w:tc>
        <w:tc>
          <w:tcPr>
            <w:tcW w:w="1676" w:type="pct"/>
            <w:gridSpan w:val="7"/>
            <w:tcBorders>
              <w:top w:val="nil"/>
              <w:bottom w:val="nil"/>
            </w:tcBorders>
            <w:noWrap w:val="0"/>
            <w:vAlign w:val="top"/>
          </w:tcPr>
          <w:p w14:paraId="598E9F99">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3 有一些影响</w:t>
            </w:r>
          </w:p>
        </w:tc>
      </w:tr>
      <w:tr w14:paraId="6ED236C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660" w:type="pct"/>
            <w:gridSpan w:val="4"/>
            <w:tcBorders>
              <w:top w:val="nil"/>
              <w:bottom w:val="single" w:color="auto" w:sz="4" w:space="0"/>
            </w:tcBorders>
            <w:noWrap w:val="0"/>
            <w:vAlign w:val="top"/>
          </w:tcPr>
          <w:p w14:paraId="0AF485CB">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4 有较大影响</w:t>
            </w:r>
          </w:p>
        </w:tc>
        <w:tc>
          <w:tcPr>
            <w:tcW w:w="1663" w:type="pct"/>
            <w:gridSpan w:val="8"/>
            <w:tcBorders>
              <w:top w:val="nil"/>
              <w:bottom w:val="single" w:color="auto" w:sz="4" w:space="0"/>
            </w:tcBorders>
            <w:noWrap w:val="0"/>
            <w:vAlign w:val="top"/>
          </w:tcPr>
          <w:p w14:paraId="44F2A045">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5 有很大影响</w:t>
            </w:r>
          </w:p>
        </w:tc>
        <w:tc>
          <w:tcPr>
            <w:tcW w:w="1676" w:type="pct"/>
            <w:gridSpan w:val="7"/>
            <w:tcBorders>
              <w:top w:val="nil"/>
              <w:bottom w:val="single" w:color="auto" w:sz="4" w:space="0"/>
            </w:tcBorders>
            <w:noWrap w:val="0"/>
            <w:vAlign w:val="top"/>
          </w:tcPr>
          <w:p w14:paraId="447B776E">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6 有极大的影响</w:t>
            </w:r>
          </w:p>
        </w:tc>
      </w:tr>
      <w:tr w14:paraId="6B7230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5000" w:type="pct"/>
            <w:gridSpan w:val="19"/>
            <w:tcBorders>
              <w:top w:val="single" w:color="auto" w:sz="4" w:space="0"/>
              <w:bottom w:val="nil"/>
            </w:tcBorders>
            <w:noWrap w:val="0"/>
            <w:vAlign w:val="top"/>
          </w:tcPr>
          <w:p w14:paraId="7B3A58C7">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b/>
                <w:bCs/>
                <w:color w:val="auto"/>
                <w:sz w:val="21"/>
                <w:highlight w:val="none"/>
                <w:lang w:val="en-US" w:eastAsia="zh-CN"/>
              </w:rPr>
              <w:t>9、在过去4个星期里，有多少时间您感到心平气和？</w:t>
            </w:r>
          </w:p>
        </w:tc>
      </w:tr>
      <w:tr w14:paraId="17DB742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806" w:type="pct"/>
            <w:tcBorders>
              <w:top w:val="nil"/>
              <w:bottom w:val="single" w:color="auto" w:sz="4" w:space="0"/>
            </w:tcBorders>
            <w:noWrap w:val="0"/>
            <w:vAlign w:val="top"/>
          </w:tcPr>
          <w:p w14:paraId="583F722E">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1 常常如此</w:t>
            </w:r>
          </w:p>
        </w:tc>
        <w:tc>
          <w:tcPr>
            <w:tcW w:w="924" w:type="pct"/>
            <w:gridSpan w:val="4"/>
            <w:tcBorders>
              <w:top w:val="nil"/>
              <w:bottom w:val="single" w:color="auto" w:sz="4" w:space="0"/>
            </w:tcBorders>
            <w:noWrap w:val="0"/>
            <w:vAlign w:val="top"/>
          </w:tcPr>
          <w:p w14:paraId="5EF595B2">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2 大部分时间</w:t>
            </w:r>
          </w:p>
        </w:tc>
        <w:tc>
          <w:tcPr>
            <w:tcW w:w="906" w:type="pct"/>
            <w:gridSpan w:val="4"/>
            <w:tcBorders>
              <w:top w:val="nil"/>
              <w:bottom w:val="single" w:color="auto" w:sz="4" w:space="0"/>
            </w:tcBorders>
            <w:noWrap w:val="0"/>
            <w:vAlign w:val="top"/>
          </w:tcPr>
          <w:p w14:paraId="4F32730C">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3 相当多时间</w:t>
            </w:r>
          </w:p>
        </w:tc>
        <w:tc>
          <w:tcPr>
            <w:tcW w:w="789" w:type="pct"/>
            <w:gridSpan w:val="5"/>
            <w:tcBorders>
              <w:top w:val="nil"/>
              <w:bottom w:val="single" w:color="auto" w:sz="4" w:space="0"/>
            </w:tcBorders>
            <w:noWrap w:val="0"/>
            <w:vAlign w:val="top"/>
          </w:tcPr>
          <w:p w14:paraId="4F8FFFFD">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4 有时</w:t>
            </w:r>
          </w:p>
        </w:tc>
        <w:tc>
          <w:tcPr>
            <w:tcW w:w="801" w:type="pct"/>
            <w:gridSpan w:val="3"/>
            <w:tcBorders>
              <w:top w:val="nil"/>
              <w:bottom w:val="single" w:color="auto" w:sz="4" w:space="0"/>
            </w:tcBorders>
            <w:noWrap w:val="0"/>
            <w:vAlign w:val="top"/>
          </w:tcPr>
          <w:p w14:paraId="5409AC5B">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5 偶尔</w:t>
            </w:r>
          </w:p>
        </w:tc>
        <w:tc>
          <w:tcPr>
            <w:tcW w:w="772" w:type="pct"/>
            <w:gridSpan w:val="2"/>
            <w:tcBorders>
              <w:top w:val="nil"/>
              <w:bottom w:val="single" w:color="auto" w:sz="4" w:space="0"/>
            </w:tcBorders>
            <w:noWrap w:val="0"/>
            <w:vAlign w:val="top"/>
          </w:tcPr>
          <w:p w14:paraId="1896E2CE">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6 从来没有</w:t>
            </w:r>
          </w:p>
        </w:tc>
      </w:tr>
      <w:tr w14:paraId="68ED4BD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5000" w:type="pct"/>
            <w:gridSpan w:val="19"/>
            <w:tcBorders>
              <w:top w:val="single" w:color="auto" w:sz="4" w:space="0"/>
              <w:bottom w:val="nil"/>
            </w:tcBorders>
            <w:noWrap w:val="0"/>
            <w:vAlign w:val="top"/>
          </w:tcPr>
          <w:p w14:paraId="2710D3A2">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b/>
                <w:bCs/>
                <w:color w:val="auto"/>
                <w:sz w:val="21"/>
                <w:highlight w:val="none"/>
                <w:lang w:val="en-US" w:eastAsia="zh-CN"/>
              </w:rPr>
              <w:t>10、在过去4个星期里，有多少时间您感到精力充沛？</w:t>
            </w:r>
          </w:p>
        </w:tc>
      </w:tr>
      <w:tr w14:paraId="1F39BA4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806" w:type="pct"/>
            <w:tcBorders>
              <w:top w:val="nil"/>
              <w:bottom w:val="single" w:color="auto" w:sz="4" w:space="0"/>
            </w:tcBorders>
            <w:noWrap w:val="0"/>
            <w:vAlign w:val="top"/>
          </w:tcPr>
          <w:p w14:paraId="7D9C1F4E">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1 常常如此</w:t>
            </w:r>
          </w:p>
        </w:tc>
        <w:tc>
          <w:tcPr>
            <w:tcW w:w="924" w:type="pct"/>
            <w:gridSpan w:val="4"/>
            <w:tcBorders>
              <w:top w:val="nil"/>
              <w:bottom w:val="single" w:color="auto" w:sz="4" w:space="0"/>
            </w:tcBorders>
            <w:noWrap w:val="0"/>
            <w:vAlign w:val="top"/>
          </w:tcPr>
          <w:p w14:paraId="2A43E518">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2 大部分时间</w:t>
            </w:r>
          </w:p>
        </w:tc>
        <w:tc>
          <w:tcPr>
            <w:tcW w:w="906" w:type="pct"/>
            <w:gridSpan w:val="4"/>
            <w:tcBorders>
              <w:top w:val="nil"/>
              <w:bottom w:val="single" w:color="auto" w:sz="4" w:space="0"/>
            </w:tcBorders>
            <w:noWrap w:val="0"/>
            <w:vAlign w:val="top"/>
          </w:tcPr>
          <w:p w14:paraId="56FF50EA">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3 相当多时间</w:t>
            </w:r>
          </w:p>
        </w:tc>
        <w:tc>
          <w:tcPr>
            <w:tcW w:w="789" w:type="pct"/>
            <w:gridSpan w:val="5"/>
            <w:tcBorders>
              <w:top w:val="nil"/>
              <w:bottom w:val="single" w:color="auto" w:sz="4" w:space="0"/>
            </w:tcBorders>
            <w:noWrap w:val="0"/>
            <w:vAlign w:val="top"/>
          </w:tcPr>
          <w:p w14:paraId="3F65E88B">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4 有时</w:t>
            </w:r>
          </w:p>
        </w:tc>
        <w:tc>
          <w:tcPr>
            <w:tcW w:w="801" w:type="pct"/>
            <w:gridSpan w:val="3"/>
            <w:tcBorders>
              <w:top w:val="nil"/>
              <w:bottom w:val="single" w:color="auto" w:sz="4" w:space="0"/>
            </w:tcBorders>
            <w:noWrap w:val="0"/>
            <w:vAlign w:val="top"/>
          </w:tcPr>
          <w:p w14:paraId="409FF425">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5 偶尔</w:t>
            </w:r>
          </w:p>
        </w:tc>
        <w:tc>
          <w:tcPr>
            <w:tcW w:w="772" w:type="pct"/>
            <w:gridSpan w:val="2"/>
            <w:tcBorders>
              <w:top w:val="nil"/>
              <w:bottom w:val="single" w:color="auto" w:sz="4" w:space="0"/>
            </w:tcBorders>
            <w:noWrap w:val="0"/>
            <w:vAlign w:val="top"/>
          </w:tcPr>
          <w:p w14:paraId="0AA14A38">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6 从来没有</w:t>
            </w:r>
          </w:p>
        </w:tc>
      </w:tr>
      <w:tr w14:paraId="5B96E8D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5000" w:type="pct"/>
            <w:gridSpan w:val="19"/>
            <w:tcBorders>
              <w:top w:val="single" w:color="auto" w:sz="4" w:space="0"/>
              <w:bottom w:val="nil"/>
            </w:tcBorders>
            <w:noWrap w:val="0"/>
            <w:vAlign w:val="top"/>
          </w:tcPr>
          <w:p w14:paraId="03105752">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b/>
                <w:bCs/>
                <w:color w:val="auto"/>
                <w:sz w:val="21"/>
                <w:highlight w:val="none"/>
                <w:lang w:val="en-US" w:eastAsia="zh-CN"/>
              </w:rPr>
              <w:t>11、在过去4个星期里，有多少时间您感到心情不好，闷闷不乐？</w:t>
            </w:r>
          </w:p>
        </w:tc>
      </w:tr>
      <w:tr w14:paraId="01B9C6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806" w:type="pct"/>
            <w:tcBorders>
              <w:top w:val="nil"/>
              <w:bottom w:val="single" w:color="auto" w:sz="4" w:space="0"/>
            </w:tcBorders>
            <w:noWrap w:val="0"/>
            <w:vAlign w:val="top"/>
          </w:tcPr>
          <w:p w14:paraId="1B91D6A1">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1 常常如此</w:t>
            </w:r>
          </w:p>
        </w:tc>
        <w:tc>
          <w:tcPr>
            <w:tcW w:w="924" w:type="pct"/>
            <w:gridSpan w:val="4"/>
            <w:tcBorders>
              <w:top w:val="nil"/>
              <w:bottom w:val="single" w:color="auto" w:sz="4" w:space="0"/>
            </w:tcBorders>
            <w:noWrap w:val="0"/>
            <w:vAlign w:val="top"/>
          </w:tcPr>
          <w:p w14:paraId="3405B967">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2 大部分时间</w:t>
            </w:r>
          </w:p>
        </w:tc>
        <w:tc>
          <w:tcPr>
            <w:tcW w:w="906" w:type="pct"/>
            <w:gridSpan w:val="4"/>
            <w:tcBorders>
              <w:top w:val="nil"/>
              <w:bottom w:val="single" w:color="auto" w:sz="4" w:space="0"/>
            </w:tcBorders>
            <w:noWrap w:val="0"/>
            <w:vAlign w:val="top"/>
          </w:tcPr>
          <w:p w14:paraId="168A139C">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3 相当多时间</w:t>
            </w:r>
          </w:p>
        </w:tc>
        <w:tc>
          <w:tcPr>
            <w:tcW w:w="789" w:type="pct"/>
            <w:gridSpan w:val="5"/>
            <w:tcBorders>
              <w:top w:val="nil"/>
              <w:bottom w:val="single" w:color="auto" w:sz="4" w:space="0"/>
            </w:tcBorders>
            <w:noWrap w:val="0"/>
            <w:vAlign w:val="top"/>
          </w:tcPr>
          <w:p w14:paraId="0822FF8C">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4 有时</w:t>
            </w:r>
          </w:p>
        </w:tc>
        <w:tc>
          <w:tcPr>
            <w:tcW w:w="801" w:type="pct"/>
            <w:gridSpan w:val="3"/>
            <w:tcBorders>
              <w:top w:val="nil"/>
              <w:bottom w:val="single" w:color="auto" w:sz="4" w:space="0"/>
            </w:tcBorders>
            <w:noWrap w:val="0"/>
            <w:vAlign w:val="top"/>
          </w:tcPr>
          <w:p w14:paraId="00D09BBF">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5 偶尔</w:t>
            </w:r>
          </w:p>
        </w:tc>
        <w:tc>
          <w:tcPr>
            <w:tcW w:w="772" w:type="pct"/>
            <w:gridSpan w:val="2"/>
            <w:tcBorders>
              <w:top w:val="nil"/>
              <w:bottom w:val="single" w:color="auto" w:sz="4" w:space="0"/>
            </w:tcBorders>
            <w:noWrap w:val="0"/>
            <w:vAlign w:val="top"/>
          </w:tcPr>
          <w:p w14:paraId="2F2B7B12">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6 从来没有</w:t>
            </w:r>
          </w:p>
        </w:tc>
      </w:tr>
      <w:tr w14:paraId="14D6DE3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5000" w:type="pct"/>
            <w:gridSpan w:val="19"/>
            <w:tcBorders>
              <w:top w:val="single" w:color="auto" w:sz="4" w:space="0"/>
              <w:bottom w:val="nil"/>
            </w:tcBorders>
            <w:noWrap w:val="0"/>
            <w:vAlign w:val="top"/>
          </w:tcPr>
          <w:p w14:paraId="4262307E">
            <w:pPr>
              <w:keepNext w:val="0"/>
              <w:keepLines w:val="0"/>
              <w:pageBreakBefore w:val="0"/>
              <w:widowControl w:val="0"/>
              <w:kinsoku/>
              <w:wordWrap/>
              <w:overflowPunct/>
              <w:topLinePunct w:val="0"/>
              <w:autoSpaceDE/>
              <w:autoSpaceDN/>
              <w:bidi w:val="0"/>
              <w:adjustRightInd/>
              <w:snapToGrid/>
              <w:spacing w:before="0" w:beforeLines="0" w:line="240" w:lineRule="auto"/>
              <w:textAlignment w:val="auto"/>
              <w:rPr>
                <w:rFonts w:hint="default" w:ascii="Times New Roman" w:hAnsi="Times New Roman"/>
                <w:color w:val="auto"/>
                <w:sz w:val="21"/>
                <w:highlight w:val="none"/>
                <w:lang w:val="en-US" w:eastAsia="zh-CN"/>
              </w:rPr>
            </w:pPr>
            <w:r>
              <w:rPr>
                <w:rFonts w:hint="default" w:ascii="Times New Roman" w:hAnsi="Times New Roman"/>
                <w:b/>
                <w:bCs/>
                <w:color w:val="auto"/>
                <w:sz w:val="21"/>
                <w:highlight w:val="none"/>
                <w:lang w:val="en-US" w:eastAsia="zh-CN"/>
              </w:rPr>
              <w:t>12、在过去4个星期里，有多少时间由于身体健康或情绪问题妨碍了您的社交活动（比如探亲、访友等）？</w:t>
            </w:r>
          </w:p>
        </w:tc>
      </w:tr>
      <w:tr w14:paraId="1A20A0C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908" w:type="pct"/>
            <w:gridSpan w:val="2"/>
            <w:tcBorders>
              <w:top w:val="nil"/>
            </w:tcBorders>
            <w:noWrap w:val="0"/>
            <w:vAlign w:val="top"/>
          </w:tcPr>
          <w:p w14:paraId="0BD50FAE">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1 常常有妨碍</w:t>
            </w:r>
          </w:p>
        </w:tc>
        <w:tc>
          <w:tcPr>
            <w:tcW w:w="1238" w:type="pct"/>
            <w:gridSpan w:val="5"/>
            <w:tcBorders>
              <w:top w:val="nil"/>
            </w:tcBorders>
            <w:noWrap w:val="0"/>
            <w:vAlign w:val="top"/>
          </w:tcPr>
          <w:p w14:paraId="3AF8591F">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2 大部分时间有妨碍</w:t>
            </w:r>
          </w:p>
        </w:tc>
        <w:tc>
          <w:tcPr>
            <w:tcW w:w="900" w:type="pct"/>
            <w:gridSpan w:val="4"/>
            <w:tcBorders>
              <w:top w:val="nil"/>
            </w:tcBorders>
            <w:noWrap w:val="0"/>
            <w:vAlign w:val="top"/>
          </w:tcPr>
          <w:p w14:paraId="25DE0D3F">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3 有时有妨碍</w:t>
            </w:r>
          </w:p>
        </w:tc>
        <w:tc>
          <w:tcPr>
            <w:tcW w:w="917" w:type="pct"/>
            <w:gridSpan w:val="5"/>
            <w:tcBorders>
              <w:top w:val="nil"/>
            </w:tcBorders>
            <w:noWrap w:val="0"/>
            <w:vAlign w:val="top"/>
          </w:tcPr>
          <w:p w14:paraId="252068B1">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4 偶尔有妨碍</w:t>
            </w:r>
          </w:p>
        </w:tc>
        <w:tc>
          <w:tcPr>
            <w:tcW w:w="1035" w:type="pct"/>
            <w:gridSpan w:val="3"/>
            <w:tcBorders>
              <w:top w:val="nil"/>
            </w:tcBorders>
            <w:noWrap w:val="0"/>
            <w:vAlign w:val="top"/>
          </w:tcPr>
          <w:p w14:paraId="724CE679">
            <w:pPr>
              <w:keepNext w:val="0"/>
              <w:keepLines w:val="0"/>
              <w:pageBreakBefore w:val="0"/>
              <w:widowControl w:val="0"/>
              <w:kinsoku/>
              <w:wordWrap/>
              <w:overflowPunct/>
              <w:topLinePunct w:val="0"/>
              <w:autoSpaceDE/>
              <w:autoSpaceDN/>
              <w:bidi w:val="0"/>
              <w:adjustRightInd/>
              <w:snapToGrid/>
              <w:spacing w:before="0" w:beforeLines="0" w:line="288" w:lineRule="auto"/>
              <w:textAlignment w:val="auto"/>
              <w:rPr>
                <w:rFonts w:hint="default" w:ascii="Times New Roman" w:hAnsi="Times New Roman"/>
                <w:color w:val="auto"/>
                <w:sz w:val="21"/>
                <w:highlight w:val="none"/>
                <w:lang w:val="en-US" w:eastAsia="zh-CN"/>
              </w:rPr>
            </w:pPr>
            <w:r>
              <w:rPr>
                <w:rFonts w:hint="default" w:ascii="Times New Roman" w:hAnsi="Times New Roman"/>
                <w:color w:val="auto"/>
                <w:sz w:val="21"/>
                <w:highlight w:val="none"/>
                <w:lang w:val="en-US" w:eastAsia="zh-CN"/>
              </w:rPr>
              <w:t>5 完全没有妨碍</w:t>
            </w:r>
          </w:p>
        </w:tc>
      </w:tr>
    </w:tbl>
    <w:p w14:paraId="60614826">
      <w:pPr>
        <w:rPr>
          <w:rFonts w:hint="eastAsia" w:ascii="Times New Roman" w:hAnsi="Times New Roman" w:eastAsia="黑体" w:cstheme="minorBidi"/>
          <w:b/>
          <w:bCs w:val="0"/>
          <w:color w:val="auto"/>
          <w:kern w:val="2"/>
          <w:sz w:val="24"/>
          <w:szCs w:val="32"/>
          <w:highlight w:val="none"/>
          <w:lang w:val="en-US" w:eastAsia="zh-CN" w:bidi="ar-SA"/>
        </w:rPr>
      </w:pPr>
      <w:r>
        <w:rPr>
          <w:rFonts w:hint="eastAsia" w:ascii="Times New Roman" w:hAnsi="Times New Roman" w:eastAsia="黑体" w:cstheme="minorBidi"/>
          <w:b/>
          <w:bCs w:val="0"/>
          <w:color w:val="auto"/>
          <w:kern w:val="2"/>
          <w:sz w:val="24"/>
          <w:szCs w:val="32"/>
          <w:highlight w:val="none"/>
          <w:lang w:val="en-US" w:eastAsia="zh-CN" w:bidi="ar-SA"/>
        </w:rPr>
        <w:br w:type="page"/>
      </w:r>
    </w:p>
    <w:p w14:paraId="24CF6420">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imes New Roman" w:hAnsi="Times New Roman" w:eastAsia="黑体" w:cstheme="minorBidi"/>
          <w:b/>
          <w:bCs w:val="0"/>
          <w:color w:val="auto"/>
          <w:kern w:val="2"/>
          <w:sz w:val="24"/>
          <w:szCs w:val="32"/>
          <w:highlight w:val="none"/>
          <w:lang w:val="en-US" w:eastAsia="zh-CN" w:bidi="ar-SA"/>
        </w:rPr>
      </w:pPr>
      <w:bookmarkStart w:id="222" w:name="_Toc846"/>
      <w:bookmarkStart w:id="223" w:name="_Toc12868"/>
      <w:bookmarkStart w:id="224" w:name="_Toc15145"/>
      <w:bookmarkStart w:id="225" w:name="_Toc29242"/>
      <w:bookmarkStart w:id="226" w:name="_Toc28996"/>
      <w:bookmarkStart w:id="227" w:name="_Toc16568"/>
      <w:bookmarkStart w:id="228" w:name="_Toc1025"/>
      <w:bookmarkStart w:id="229" w:name="_Toc25153"/>
      <w:bookmarkStart w:id="230" w:name="_Toc2669"/>
      <w:r>
        <w:rPr>
          <w:rFonts w:hint="eastAsia" w:ascii="Times New Roman" w:hAnsi="Times New Roman" w:eastAsia="黑体" w:cstheme="minorBidi"/>
          <w:b/>
          <w:bCs w:val="0"/>
          <w:color w:val="auto"/>
          <w:kern w:val="2"/>
          <w:sz w:val="24"/>
          <w:szCs w:val="32"/>
          <w:highlight w:val="none"/>
          <w:lang w:val="en-US" w:eastAsia="zh-CN" w:bidi="ar-SA"/>
        </w:rPr>
        <w:t>附</w:t>
      </w:r>
      <w:r>
        <w:rPr>
          <w:rFonts w:hint="eastAsia" w:ascii="Times New Roman" w:hAnsi="Times New Roman" w:cstheme="minorBidi"/>
          <w:b/>
          <w:bCs w:val="0"/>
          <w:color w:val="auto"/>
          <w:kern w:val="2"/>
          <w:sz w:val="24"/>
          <w:szCs w:val="32"/>
          <w:highlight w:val="none"/>
          <w:lang w:val="en-US" w:eastAsia="zh-CN" w:bidi="ar-SA"/>
        </w:rPr>
        <w:t>页2B</w:t>
      </w:r>
      <w:r>
        <w:rPr>
          <w:rFonts w:hint="eastAsia" w:ascii="Times New Roman" w:hAnsi="Times New Roman" w:eastAsia="黑体" w:cstheme="minorBidi"/>
          <w:b/>
          <w:bCs w:val="0"/>
          <w:color w:val="auto"/>
          <w:kern w:val="2"/>
          <w:sz w:val="24"/>
          <w:szCs w:val="32"/>
          <w:highlight w:val="none"/>
          <w:lang w:val="en-US" w:eastAsia="zh-CN" w:bidi="ar-SA"/>
        </w:rPr>
        <w:t xml:space="preserve"> 生活质量SF-12量表标准化分值</w:t>
      </w:r>
      <w:bookmarkEnd w:id="222"/>
      <w:bookmarkEnd w:id="223"/>
      <w:bookmarkEnd w:id="224"/>
      <w:bookmarkEnd w:id="225"/>
      <w:bookmarkEnd w:id="226"/>
      <w:bookmarkEnd w:id="227"/>
      <w:bookmarkEnd w:id="228"/>
      <w:bookmarkEnd w:id="229"/>
      <w:bookmarkEnd w:id="230"/>
    </w:p>
    <w:tbl>
      <w:tblPr>
        <w:tblStyle w:val="2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6"/>
        <w:gridCol w:w="3169"/>
        <w:gridCol w:w="1517"/>
        <w:gridCol w:w="1517"/>
        <w:gridCol w:w="1520"/>
      </w:tblGrid>
      <w:tr w14:paraId="060E3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noWrap w:val="0"/>
            <w:vAlign w:val="center"/>
          </w:tcPr>
          <w:p w14:paraId="166A9497">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r>
              <w:rPr>
                <w:rFonts w:hint="eastAsia" w:ascii="Times New Roman" w:hAnsi="Times New Roman" w:eastAsia="宋体" w:cs="Times New Roman"/>
                <w:b/>
                <w:bCs/>
                <w:color w:val="auto"/>
                <w:kern w:val="0"/>
                <w:sz w:val="21"/>
                <w:szCs w:val="21"/>
                <w:highlight w:val="none"/>
                <w:vertAlign w:val="baseline"/>
                <w:lang w:val="en-US" w:eastAsia="zh-CN" w:bidi="ar-SA"/>
              </w:rPr>
              <w:t>序号</w:t>
            </w:r>
          </w:p>
        </w:tc>
        <w:tc>
          <w:tcPr>
            <w:tcW w:w="1859" w:type="pct"/>
            <w:noWrap w:val="0"/>
            <w:vAlign w:val="center"/>
          </w:tcPr>
          <w:p w14:paraId="5F6E394E">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r>
              <w:rPr>
                <w:rFonts w:hint="eastAsia" w:ascii="Times New Roman" w:hAnsi="Times New Roman" w:eastAsia="宋体" w:cs="Times New Roman"/>
                <w:b/>
                <w:bCs/>
                <w:color w:val="auto"/>
                <w:kern w:val="0"/>
                <w:sz w:val="21"/>
                <w:szCs w:val="21"/>
                <w:highlight w:val="none"/>
                <w:vertAlign w:val="baseline"/>
                <w:lang w:val="en-US" w:eastAsia="zh-CN" w:bidi="ar-SA"/>
              </w:rPr>
              <w:t>条目</w:t>
            </w:r>
          </w:p>
        </w:tc>
        <w:tc>
          <w:tcPr>
            <w:tcW w:w="890" w:type="pct"/>
            <w:noWrap w:val="0"/>
            <w:vAlign w:val="center"/>
          </w:tcPr>
          <w:p w14:paraId="47962BD7">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r>
              <w:rPr>
                <w:rFonts w:hint="eastAsia" w:ascii="Times New Roman" w:hAnsi="Times New Roman" w:eastAsia="宋体" w:cs="Times New Roman"/>
                <w:b/>
                <w:bCs/>
                <w:color w:val="auto"/>
                <w:kern w:val="0"/>
                <w:sz w:val="21"/>
                <w:szCs w:val="21"/>
                <w:highlight w:val="none"/>
                <w:vertAlign w:val="baseline"/>
                <w:lang w:val="en-US" w:eastAsia="zh-CN" w:bidi="ar-SA"/>
              </w:rPr>
              <w:t>标准化分值</w:t>
            </w:r>
          </w:p>
        </w:tc>
        <w:tc>
          <w:tcPr>
            <w:tcW w:w="890" w:type="pct"/>
            <w:noWrap w:val="0"/>
            <w:vAlign w:val="center"/>
          </w:tcPr>
          <w:p w14:paraId="3E3C6275">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r>
              <w:rPr>
                <w:rFonts w:hint="eastAsia" w:ascii="Times New Roman" w:hAnsi="Times New Roman" w:eastAsia="宋体" w:cs="Times New Roman"/>
                <w:b/>
                <w:bCs/>
                <w:color w:val="auto"/>
                <w:kern w:val="0"/>
                <w:sz w:val="21"/>
                <w:szCs w:val="21"/>
                <w:highlight w:val="none"/>
                <w:lang w:val="en-US" w:eastAsia="zh-CN" w:bidi="ar-SA"/>
              </w:rPr>
              <w:t>生理分值</w:t>
            </w:r>
          </w:p>
        </w:tc>
        <w:tc>
          <w:tcPr>
            <w:tcW w:w="891" w:type="pct"/>
            <w:noWrap w:val="0"/>
            <w:vAlign w:val="center"/>
          </w:tcPr>
          <w:p w14:paraId="5E73BFFE">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r>
              <w:rPr>
                <w:rFonts w:hint="eastAsia" w:ascii="Times New Roman" w:hAnsi="Times New Roman" w:eastAsia="宋体" w:cs="Times New Roman"/>
                <w:b/>
                <w:bCs/>
                <w:color w:val="auto"/>
                <w:kern w:val="0"/>
                <w:sz w:val="21"/>
                <w:szCs w:val="21"/>
                <w:highlight w:val="none"/>
                <w:lang w:val="en-US" w:eastAsia="zh-CN" w:bidi="ar-SA"/>
              </w:rPr>
              <w:t>心理分值</w:t>
            </w:r>
          </w:p>
        </w:tc>
      </w:tr>
      <w:tr w14:paraId="2C135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restart"/>
            <w:noWrap w:val="0"/>
            <w:vAlign w:val="center"/>
          </w:tcPr>
          <w:p w14:paraId="2F4C2394">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r>
              <w:rPr>
                <w:rFonts w:hint="eastAsia" w:ascii="Times New Roman" w:hAnsi="Times New Roman" w:eastAsia="宋体" w:cs="Times New Roman"/>
                <w:b/>
                <w:bCs/>
                <w:color w:val="auto"/>
                <w:kern w:val="0"/>
                <w:sz w:val="21"/>
                <w:szCs w:val="21"/>
                <w:highlight w:val="none"/>
                <w:vertAlign w:val="baseline"/>
                <w:lang w:val="en-US" w:eastAsia="zh-CN" w:bidi="ar-SA"/>
              </w:rPr>
              <w:t>1</w:t>
            </w:r>
          </w:p>
        </w:tc>
        <w:tc>
          <w:tcPr>
            <w:tcW w:w="1859" w:type="pct"/>
            <w:vMerge w:val="restart"/>
            <w:noWrap w:val="0"/>
            <w:vAlign w:val="center"/>
          </w:tcPr>
          <w:p w14:paraId="1908522B">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default" w:ascii="Times New Roman" w:hAnsi="Times New Roman" w:eastAsia="宋体" w:cs="Times New Roman"/>
                <w:b/>
                <w:bCs/>
                <w:color w:val="auto"/>
                <w:kern w:val="0"/>
                <w:sz w:val="21"/>
                <w:szCs w:val="21"/>
                <w:highlight w:val="none"/>
                <w:vertAlign w:val="baseline"/>
                <w:lang w:val="en-US" w:eastAsia="zh-CN" w:bidi="ar-SA"/>
              </w:rPr>
              <w:t>健康状况</w:t>
            </w:r>
          </w:p>
        </w:tc>
        <w:tc>
          <w:tcPr>
            <w:tcW w:w="890" w:type="pct"/>
            <w:noWrap w:val="0"/>
            <w:vAlign w:val="center"/>
          </w:tcPr>
          <w:p w14:paraId="08C23EAC">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w:t>
            </w:r>
          </w:p>
        </w:tc>
        <w:tc>
          <w:tcPr>
            <w:tcW w:w="890" w:type="pct"/>
            <w:noWrap w:val="0"/>
            <w:vAlign w:val="center"/>
          </w:tcPr>
          <w:p w14:paraId="672B923A">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w:t>
            </w:r>
          </w:p>
        </w:tc>
        <w:tc>
          <w:tcPr>
            <w:tcW w:w="891" w:type="pct"/>
            <w:noWrap w:val="0"/>
            <w:vAlign w:val="center"/>
          </w:tcPr>
          <w:p w14:paraId="44375D47">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w:t>
            </w:r>
          </w:p>
        </w:tc>
      </w:tr>
      <w:tr w14:paraId="2AA1B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29C00C35">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p>
        </w:tc>
        <w:tc>
          <w:tcPr>
            <w:tcW w:w="1859" w:type="pct"/>
            <w:vMerge w:val="continue"/>
            <w:noWrap w:val="0"/>
            <w:vAlign w:val="center"/>
          </w:tcPr>
          <w:p w14:paraId="331A481B">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p>
        </w:tc>
        <w:tc>
          <w:tcPr>
            <w:tcW w:w="890" w:type="pct"/>
            <w:noWrap w:val="0"/>
            <w:vAlign w:val="center"/>
          </w:tcPr>
          <w:p w14:paraId="484ECE2B">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2</w:t>
            </w:r>
          </w:p>
        </w:tc>
        <w:tc>
          <w:tcPr>
            <w:tcW w:w="890" w:type="pct"/>
            <w:noWrap w:val="0"/>
            <w:vAlign w:val="center"/>
          </w:tcPr>
          <w:p w14:paraId="6356985A">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-1.31872</w:t>
            </w:r>
          </w:p>
        </w:tc>
        <w:tc>
          <w:tcPr>
            <w:tcW w:w="891" w:type="pct"/>
            <w:noWrap w:val="0"/>
            <w:vAlign w:val="center"/>
          </w:tcPr>
          <w:p w14:paraId="31071BA2">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-0.06064</w:t>
            </w:r>
          </w:p>
        </w:tc>
      </w:tr>
      <w:tr w14:paraId="71E6C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6D8EFA20">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p>
        </w:tc>
        <w:tc>
          <w:tcPr>
            <w:tcW w:w="1859" w:type="pct"/>
            <w:vMerge w:val="continue"/>
            <w:noWrap w:val="0"/>
            <w:vAlign w:val="center"/>
          </w:tcPr>
          <w:p w14:paraId="24AE8AD6">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p>
        </w:tc>
        <w:tc>
          <w:tcPr>
            <w:tcW w:w="890" w:type="pct"/>
            <w:noWrap w:val="0"/>
            <w:vAlign w:val="center"/>
          </w:tcPr>
          <w:p w14:paraId="7C9950B2">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3</w:t>
            </w:r>
          </w:p>
        </w:tc>
        <w:tc>
          <w:tcPr>
            <w:tcW w:w="890" w:type="pct"/>
            <w:noWrap w:val="0"/>
            <w:vAlign w:val="center"/>
          </w:tcPr>
          <w:p w14:paraId="2CAFB64C">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-3.02396</w:t>
            </w:r>
          </w:p>
        </w:tc>
        <w:tc>
          <w:tcPr>
            <w:tcW w:w="891" w:type="pct"/>
            <w:noWrap w:val="0"/>
            <w:vAlign w:val="center"/>
          </w:tcPr>
          <w:p w14:paraId="4B415FFF">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0.03482</w:t>
            </w:r>
          </w:p>
        </w:tc>
      </w:tr>
      <w:tr w14:paraId="17CC8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35A63C12">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p>
        </w:tc>
        <w:tc>
          <w:tcPr>
            <w:tcW w:w="1859" w:type="pct"/>
            <w:vMerge w:val="continue"/>
            <w:noWrap w:val="0"/>
            <w:vAlign w:val="center"/>
          </w:tcPr>
          <w:p w14:paraId="0142A002">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p>
        </w:tc>
        <w:tc>
          <w:tcPr>
            <w:tcW w:w="890" w:type="pct"/>
            <w:noWrap w:val="0"/>
            <w:vAlign w:val="center"/>
          </w:tcPr>
          <w:p w14:paraId="399BF8A9">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4</w:t>
            </w:r>
          </w:p>
        </w:tc>
        <w:tc>
          <w:tcPr>
            <w:tcW w:w="890" w:type="pct"/>
            <w:noWrap w:val="0"/>
            <w:vAlign w:val="center"/>
          </w:tcPr>
          <w:p w14:paraId="32C3382F">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-5.56461</w:t>
            </w:r>
          </w:p>
        </w:tc>
        <w:tc>
          <w:tcPr>
            <w:tcW w:w="891" w:type="pct"/>
            <w:noWrap w:val="0"/>
            <w:vAlign w:val="center"/>
          </w:tcPr>
          <w:p w14:paraId="6F3BFD1D">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-0.16891</w:t>
            </w:r>
          </w:p>
        </w:tc>
      </w:tr>
      <w:tr w14:paraId="1FD18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4D2202C2">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p>
        </w:tc>
        <w:tc>
          <w:tcPr>
            <w:tcW w:w="1859" w:type="pct"/>
            <w:vMerge w:val="continue"/>
            <w:noWrap w:val="0"/>
            <w:vAlign w:val="center"/>
          </w:tcPr>
          <w:p w14:paraId="4E0AD6BA">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p>
        </w:tc>
        <w:tc>
          <w:tcPr>
            <w:tcW w:w="890" w:type="pct"/>
            <w:noWrap w:val="0"/>
            <w:vAlign w:val="center"/>
          </w:tcPr>
          <w:p w14:paraId="49C3CD52">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5</w:t>
            </w:r>
          </w:p>
        </w:tc>
        <w:tc>
          <w:tcPr>
            <w:tcW w:w="890" w:type="pct"/>
            <w:noWrap w:val="0"/>
            <w:vAlign w:val="center"/>
          </w:tcPr>
          <w:p w14:paraId="5C32270E">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-8.37399</w:t>
            </w:r>
          </w:p>
        </w:tc>
        <w:tc>
          <w:tcPr>
            <w:tcW w:w="891" w:type="pct"/>
            <w:noWrap w:val="0"/>
            <w:vAlign w:val="center"/>
          </w:tcPr>
          <w:p w14:paraId="575DF53E">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-1.71175</w:t>
            </w:r>
          </w:p>
        </w:tc>
      </w:tr>
      <w:tr w14:paraId="13491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restart"/>
            <w:noWrap w:val="0"/>
            <w:vAlign w:val="center"/>
          </w:tcPr>
          <w:p w14:paraId="612BE51A">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r>
              <w:rPr>
                <w:rFonts w:hint="eastAsia" w:ascii="Times New Roman" w:hAnsi="Times New Roman" w:eastAsia="宋体" w:cs="Times New Roman"/>
                <w:b/>
                <w:bCs/>
                <w:color w:val="auto"/>
                <w:kern w:val="0"/>
                <w:sz w:val="21"/>
                <w:szCs w:val="21"/>
                <w:highlight w:val="none"/>
                <w:vertAlign w:val="baseline"/>
                <w:lang w:val="en-US" w:eastAsia="zh-CN" w:bidi="ar-SA"/>
              </w:rPr>
              <w:t>2</w:t>
            </w:r>
          </w:p>
        </w:tc>
        <w:tc>
          <w:tcPr>
            <w:tcW w:w="1859" w:type="pct"/>
            <w:vMerge w:val="restart"/>
            <w:noWrap w:val="0"/>
            <w:vAlign w:val="center"/>
          </w:tcPr>
          <w:p w14:paraId="02F0A2CA">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default" w:ascii="Times New Roman" w:hAnsi="Times New Roman" w:eastAsia="宋体" w:cs="Times New Roman"/>
                <w:b/>
                <w:bCs/>
                <w:color w:val="auto"/>
                <w:kern w:val="0"/>
                <w:sz w:val="21"/>
                <w:szCs w:val="21"/>
                <w:highlight w:val="none"/>
                <w:vertAlign w:val="baseline"/>
                <w:lang w:val="en-US" w:eastAsia="zh-CN" w:bidi="ar-SA"/>
              </w:rPr>
              <w:t>日常的活动</w:t>
            </w:r>
          </w:p>
        </w:tc>
        <w:tc>
          <w:tcPr>
            <w:tcW w:w="890" w:type="pct"/>
            <w:noWrap w:val="0"/>
            <w:vAlign w:val="center"/>
          </w:tcPr>
          <w:p w14:paraId="09BA93D2">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w:t>
            </w:r>
          </w:p>
        </w:tc>
        <w:tc>
          <w:tcPr>
            <w:tcW w:w="890" w:type="pct"/>
            <w:noWrap w:val="0"/>
            <w:vAlign w:val="center"/>
          </w:tcPr>
          <w:p w14:paraId="56C23677">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-7.23216</w:t>
            </w:r>
          </w:p>
        </w:tc>
        <w:tc>
          <w:tcPr>
            <w:tcW w:w="891" w:type="pct"/>
            <w:noWrap w:val="0"/>
            <w:vAlign w:val="center"/>
          </w:tcPr>
          <w:p w14:paraId="75A3BD23">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3.93115</w:t>
            </w:r>
          </w:p>
        </w:tc>
      </w:tr>
      <w:tr w14:paraId="352C3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42DB3473">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p>
        </w:tc>
        <w:tc>
          <w:tcPr>
            <w:tcW w:w="1859" w:type="pct"/>
            <w:vMerge w:val="continue"/>
            <w:noWrap w:val="0"/>
            <w:vAlign w:val="center"/>
          </w:tcPr>
          <w:p w14:paraId="7DE89571">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p>
        </w:tc>
        <w:tc>
          <w:tcPr>
            <w:tcW w:w="890" w:type="pct"/>
            <w:noWrap w:val="0"/>
            <w:vAlign w:val="center"/>
          </w:tcPr>
          <w:p w14:paraId="3B458B9D">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2</w:t>
            </w:r>
          </w:p>
        </w:tc>
        <w:tc>
          <w:tcPr>
            <w:tcW w:w="890" w:type="pct"/>
            <w:noWrap w:val="0"/>
            <w:vAlign w:val="center"/>
          </w:tcPr>
          <w:p w14:paraId="7788D8A9">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-3.45555</w:t>
            </w:r>
          </w:p>
        </w:tc>
        <w:tc>
          <w:tcPr>
            <w:tcW w:w="891" w:type="pct"/>
            <w:noWrap w:val="0"/>
            <w:vAlign w:val="center"/>
          </w:tcPr>
          <w:p w14:paraId="242D114C">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1.86840</w:t>
            </w:r>
          </w:p>
        </w:tc>
      </w:tr>
      <w:tr w14:paraId="6E48A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4806F909">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p>
        </w:tc>
        <w:tc>
          <w:tcPr>
            <w:tcW w:w="1859" w:type="pct"/>
            <w:vMerge w:val="continue"/>
            <w:noWrap w:val="0"/>
            <w:vAlign w:val="center"/>
          </w:tcPr>
          <w:p w14:paraId="4A8FE99C">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p>
        </w:tc>
        <w:tc>
          <w:tcPr>
            <w:tcW w:w="890" w:type="pct"/>
            <w:noWrap w:val="0"/>
            <w:vAlign w:val="center"/>
          </w:tcPr>
          <w:p w14:paraId="514331E7">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3</w:t>
            </w:r>
          </w:p>
        </w:tc>
        <w:tc>
          <w:tcPr>
            <w:tcW w:w="890" w:type="pct"/>
            <w:noWrap w:val="0"/>
            <w:vAlign w:val="center"/>
          </w:tcPr>
          <w:p w14:paraId="11154799">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w:t>
            </w:r>
          </w:p>
        </w:tc>
        <w:tc>
          <w:tcPr>
            <w:tcW w:w="891" w:type="pct"/>
            <w:noWrap w:val="0"/>
            <w:vAlign w:val="center"/>
          </w:tcPr>
          <w:p w14:paraId="40851360">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w:t>
            </w:r>
          </w:p>
        </w:tc>
      </w:tr>
      <w:tr w14:paraId="5D84A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restart"/>
            <w:noWrap w:val="0"/>
            <w:vAlign w:val="center"/>
          </w:tcPr>
          <w:p w14:paraId="798A80BA">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r>
              <w:rPr>
                <w:rFonts w:hint="eastAsia" w:ascii="Times New Roman" w:hAnsi="Times New Roman" w:eastAsia="宋体" w:cs="Times New Roman"/>
                <w:b/>
                <w:bCs/>
                <w:color w:val="auto"/>
                <w:kern w:val="0"/>
                <w:sz w:val="21"/>
                <w:szCs w:val="21"/>
                <w:highlight w:val="none"/>
                <w:vertAlign w:val="baseline"/>
                <w:lang w:val="en-US" w:eastAsia="zh-CN" w:bidi="ar-SA"/>
              </w:rPr>
              <w:t>3</w:t>
            </w:r>
          </w:p>
        </w:tc>
        <w:tc>
          <w:tcPr>
            <w:tcW w:w="1859" w:type="pct"/>
            <w:vMerge w:val="restart"/>
            <w:noWrap w:val="0"/>
            <w:vAlign w:val="center"/>
          </w:tcPr>
          <w:p w14:paraId="793E725D">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bCs/>
                <w:color w:val="auto"/>
                <w:kern w:val="0"/>
                <w:sz w:val="21"/>
                <w:szCs w:val="21"/>
                <w:highlight w:val="none"/>
                <w:vertAlign w:val="baseline"/>
                <w:lang w:val="en-US" w:eastAsia="zh-CN" w:bidi="ar-SA"/>
              </w:rPr>
              <w:t>爬楼梯</w:t>
            </w:r>
          </w:p>
        </w:tc>
        <w:tc>
          <w:tcPr>
            <w:tcW w:w="890" w:type="pct"/>
            <w:noWrap w:val="0"/>
            <w:vAlign w:val="center"/>
          </w:tcPr>
          <w:p w14:paraId="4B60A47D">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w:t>
            </w:r>
          </w:p>
        </w:tc>
        <w:tc>
          <w:tcPr>
            <w:tcW w:w="890" w:type="pct"/>
            <w:noWrap w:val="0"/>
            <w:vAlign w:val="center"/>
          </w:tcPr>
          <w:p w14:paraId="2C4A13FF">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-6.24397</w:t>
            </w:r>
          </w:p>
        </w:tc>
        <w:tc>
          <w:tcPr>
            <w:tcW w:w="891" w:type="pct"/>
            <w:noWrap w:val="0"/>
            <w:vAlign w:val="center"/>
          </w:tcPr>
          <w:p w14:paraId="46A5BB90">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2.68282</w:t>
            </w:r>
          </w:p>
        </w:tc>
      </w:tr>
      <w:tr w14:paraId="5864F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0011CAC1">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p>
        </w:tc>
        <w:tc>
          <w:tcPr>
            <w:tcW w:w="1859" w:type="pct"/>
            <w:vMerge w:val="continue"/>
            <w:noWrap w:val="0"/>
            <w:vAlign w:val="center"/>
          </w:tcPr>
          <w:p w14:paraId="3FD49960">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p>
        </w:tc>
        <w:tc>
          <w:tcPr>
            <w:tcW w:w="890" w:type="pct"/>
            <w:noWrap w:val="0"/>
            <w:vAlign w:val="center"/>
          </w:tcPr>
          <w:p w14:paraId="176DFD1F">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2</w:t>
            </w:r>
          </w:p>
        </w:tc>
        <w:tc>
          <w:tcPr>
            <w:tcW w:w="890" w:type="pct"/>
            <w:noWrap w:val="0"/>
            <w:vAlign w:val="center"/>
          </w:tcPr>
          <w:p w14:paraId="3FE8BC10">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-2.73557</w:t>
            </w:r>
          </w:p>
        </w:tc>
        <w:tc>
          <w:tcPr>
            <w:tcW w:w="891" w:type="pct"/>
            <w:noWrap w:val="0"/>
            <w:vAlign w:val="center"/>
          </w:tcPr>
          <w:p w14:paraId="66E5C8BD">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1.43103</w:t>
            </w:r>
          </w:p>
        </w:tc>
      </w:tr>
      <w:tr w14:paraId="4D77D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37527C24">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p>
        </w:tc>
        <w:tc>
          <w:tcPr>
            <w:tcW w:w="1859" w:type="pct"/>
            <w:vMerge w:val="continue"/>
            <w:noWrap w:val="0"/>
            <w:vAlign w:val="center"/>
          </w:tcPr>
          <w:p w14:paraId="5DB3B7D6">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p>
        </w:tc>
        <w:tc>
          <w:tcPr>
            <w:tcW w:w="890" w:type="pct"/>
            <w:noWrap w:val="0"/>
            <w:vAlign w:val="center"/>
          </w:tcPr>
          <w:p w14:paraId="0529F103">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3</w:t>
            </w:r>
          </w:p>
        </w:tc>
        <w:tc>
          <w:tcPr>
            <w:tcW w:w="890" w:type="pct"/>
            <w:noWrap w:val="0"/>
            <w:vAlign w:val="center"/>
          </w:tcPr>
          <w:p w14:paraId="0FBF678F">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w:t>
            </w:r>
          </w:p>
        </w:tc>
        <w:tc>
          <w:tcPr>
            <w:tcW w:w="891" w:type="pct"/>
            <w:noWrap w:val="0"/>
            <w:vAlign w:val="center"/>
          </w:tcPr>
          <w:p w14:paraId="502DDF42">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w:t>
            </w:r>
          </w:p>
        </w:tc>
      </w:tr>
      <w:tr w14:paraId="611C0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restart"/>
            <w:noWrap w:val="0"/>
            <w:vAlign w:val="center"/>
          </w:tcPr>
          <w:p w14:paraId="76D4F81D">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r>
              <w:rPr>
                <w:rFonts w:hint="eastAsia" w:ascii="Times New Roman" w:hAnsi="Times New Roman" w:eastAsia="宋体" w:cs="Times New Roman"/>
                <w:b/>
                <w:bCs/>
                <w:color w:val="auto"/>
                <w:kern w:val="0"/>
                <w:sz w:val="21"/>
                <w:szCs w:val="21"/>
                <w:highlight w:val="none"/>
                <w:vertAlign w:val="baseline"/>
                <w:lang w:val="en-US" w:eastAsia="zh-CN" w:bidi="ar-SA"/>
              </w:rPr>
              <w:t>4</w:t>
            </w:r>
          </w:p>
        </w:tc>
        <w:tc>
          <w:tcPr>
            <w:tcW w:w="1859" w:type="pct"/>
            <w:vMerge w:val="restart"/>
            <w:noWrap w:val="0"/>
            <w:vAlign w:val="center"/>
          </w:tcPr>
          <w:p w14:paraId="0855B338">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default" w:ascii="Times New Roman" w:hAnsi="Times New Roman" w:eastAsia="宋体" w:cs="Times New Roman"/>
                <w:b/>
                <w:bCs/>
                <w:color w:val="auto"/>
                <w:kern w:val="0"/>
                <w:sz w:val="21"/>
                <w:szCs w:val="21"/>
                <w:highlight w:val="none"/>
                <w:vertAlign w:val="baseline"/>
                <w:lang w:val="en-US" w:eastAsia="zh-CN" w:bidi="ar-SA"/>
              </w:rPr>
              <w:t>身体原因使工作或活动时间减少</w:t>
            </w:r>
          </w:p>
        </w:tc>
        <w:tc>
          <w:tcPr>
            <w:tcW w:w="890" w:type="pct"/>
            <w:noWrap w:val="0"/>
            <w:vAlign w:val="center"/>
          </w:tcPr>
          <w:p w14:paraId="5DA9B53C">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w:t>
            </w:r>
          </w:p>
        </w:tc>
        <w:tc>
          <w:tcPr>
            <w:tcW w:w="890" w:type="pct"/>
            <w:noWrap w:val="0"/>
            <w:vAlign w:val="center"/>
          </w:tcPr>
          <w:p w14:paraId="247E8371">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-4.61617</w:t>
            </w:r>
          </w:p>
        </w:tc>
        <w:tc>
          <w:tcPr>
            <w:tcW w:w="891" w:type="pct"/>
            <w:noWrap w:val="0"/>
            <w:vAlign w:val="center"/>
          </w:tcPr>
          <w:p w14:paraId="1B4D457B">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1.44060</w:t>
            </w:r>
          </w:p>
        </w:tc>
      </w:tr>
      <w:tr w14:paraId="511A1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2D7C1E7D">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p>
        </w:tc>
        <w:tc>
          <w:tcPr>
            <w:tcW w:w="1859" w:type="pct"/>
            <w:vMerge w:val="continue"/>
            <w:noWrap w:val="0"/>
            <w:vAlign w:val="center"/>
          </w:tcPr>
          <w:p w14:paraId="1039C97E">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p>
        </w:tc>
        <w:tc>
          <w:tcPr>
            <w:tcW w:w="890" w:type="pct"/>
            <w:noWrap w:val="0"/>
            <w:vAlign w:val="center"/>
          </w:tcPr>
          <w:p w14:paraId="63106AC8">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2</w:t>
            </w:r>
          </w:p>
        </w:tc>
        <w:tc>
          <w:tcPr>
            <w:tcW w:w="890" w:type="pct"/>
            <w:noWrap w:val="0"/>
            <w:vAlign w:val="center"/>
          </w:tcPr>
          <w:p w14:paraId="0FDE1D61">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w:t>
            </w:r>
          </w:p>
        </w:tc>
        <w:tc>
          <w:tcPr>
            <w:tcW w:w="891" w:type="pct"/>
            <w:noWrap w:val="0"/>
            <w:vAlign w:val="center"/>
          </w:tcPr>
          <w:p w14:paraId="3155F21C">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w:t>
            </w:r>
          </w:p>
        </w:tc>
      </w:tr>
      <w:tr w14:paraId="03E70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restart"/>
            <w:noWrap w:val="0"/>
            <w:vAlign w:val="center"/>
          </w:tcPr>
          <w:p w14:paraId="2BF936D9">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r>
              <w:rPr>
                <w:rFonts w:hint="eastAsia" w:ascii="Times New Roman" w:hAnsi="Times New Roman" w:eastAsia="宋体" w:cs="Times New Roman"/>
                <w:b/>
                <w:bCs/>
                <w:color w:val="auto"/>
                <w:kern w:val="0"/>
                <w:sz w:val="21"/>
                <w:szCs w:val="21"/>
                <w:highlight w:val="none"/>
                <w:vertAlign w:val="baseline"/>
                <w:lang w:val="en-US" w:eastAsia="zh-CN" w:bidi="ar-SA"/>
              </w:rPr>
              <w:t>5</w:t>
            </w:r>
          </w:p>
        </w:tc>
        <w:tc>
          <w:tcPr>
            <w:tcW w:w="1859" w:type="pct"/>
            <w:vMerge w:val="restart"/>
            <w:noWrap w:val="0"/>
            <w:vAlign w:val="center"/>
          </w:tcPr>
          <w:p w14:paraId="4051862C">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bCs/>
                <w:color w:val="auto"/>
                <w:kern w:val="0"/>
                <w:sz w:val="21"/>
                <w:szCs w:val="21"/>
                <w:highlight w:val="none"/>
                <w:vertAlign w:val="baseline"/>
                <w:lang w:val="en-US" w:eastAsia="zh-CN" w:bidi="ar-SA"/>
              </w:rPr>
              <w:t>身体原因使</w:t>
            </w:r>
            <w:r>
              <w:rPr>
                <w:rFonts w:hint="default" w:ascii="Times New Roman" w:hAnsi="Times New Roman" w:eastAsia="宋体" w:cs="Times New Roman"/>
                <w:b/>
                <w:bCs/>
                <w:color w:val="auto"/>
                <w:kern w:val="0"/>
                <w:sz w:val="21"/>
                <w:szCs w:val="21"/>
                <w:highlight w:val="none"/>
                <w:vertAlign w:val="baseline"/>
                <w:lang w:val="en-US" w:eastAsia="zh-CN" w:bidi="ar-SA"/>
              </w:rPr>
              <w:t>工作或活动时不细心</w:t>
            </w:r>
          </w:p>
        </w:tc>
        <w:tc>
          <w:tcPr>
            <w:tcW w:w="890" w:type="pct"/>
            <w:noWrap w:val="0"/>
            <w:vAlign w:val="center"/>
          </w:tcPr>
          <w:p w14:paraId="7F4839BC">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w:t>
            </w:r>
          </w:p>
        </w:tc>
        <w:tc>
          <w:tcPr>
            <w:tcW w:w="890" w:type="pct"/>
            <w:noWrap w:val="0"/>
            <w:vAlign w:val="center"/>
          </w:tcPr>
          <w:p w14:paraId="56902263">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-5.51747</w:t>
            </w:r>
          </w:p>
        </w:tc>
        <w:tc>
          <w:tcPr>
            <w:tcW w:w="891" w:type="pct"/>
            <w:noWrap w:val="0"/>
            <w:vAlign w:val="center"/>
          </w:tcPr>
          <w:p w14:paraId="37C8A6CF">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1.66968</w:t>
            </w:r>
          </w:p>
        </w:tc>
      </w:tr>
      <w:tr w14:paraId="24C38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3703B31E">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ascii="Times New Roman" w:hAnsi="Times New Roman" w:eastAsia="宋体" w:cs="宋体"/>
                <w:b/>
                <w:bCs/>
                <w:color w:val="auto"/>
                <w:kern w:val="0"/>
                <w:sz w:val="30"/>
                <w:szCs w:val="30"/>
                <w:highlight w:val="none"/>
                <w:lang w:val="en-US" w:eastAsia="zh-CN" w:bidi="ar-SA"/>
              </w:rPr>
            </w:pPr>
          </w:p>
        </w:tc>
        <w:tc>
          <w:tcPr>
            <w:tcW w:w="1859" w:type="pct"/>
            <w:vMerge w:val="continue"/>
            <w:noWrap w:val="0"/>
            <w:vAlign w:val="center"/>
          </w:tcPr>
          <w:p w14:paraId="7F04E29D">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ascii="Times New Roman" w:hAnsi="Times New Roman" w:eastAsia="宋体" w:cs="宋体"/>
                <w:color w:val="auto"/>
                <w:kern w:val="0"/>
                <w:sz w:val="21"/>
                <w:szCs w:val="21"/>
                <w:highlight w:val="none"/>
                <w:lang w:val="en-US" w:eastAsia="zh-CN" w:bidi="ar-SA"/>
              </w:rPr>
            </w:pPr>
          </w:p>
        </w:tc>
        <w:tc>
          <w:tcPr>
            <w:tcW w:w="890" w:type="pct"/>
            <w:noWrap w:val="0"/>
            <w:vAlign w:val="center"/>
          </w:tcPr>
          <w:p w14:paraId="1B7B0550">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2</w:t>
            </w:r>
          </w:p>
        </w:tc>
        <w:tc>
          <w:tcPr>
            <w:tcW w:w="890" w:type="pct"/>
            <w:noWrap w:val="0"/>
            <w:vAlign w:val="center"/>
          </w:tcPr>
          <w:p w14:paraId="349F18D2">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w:t>
            </w:r>
          </w:p>
        </w:tc>
        <w:tc>
          <w:tcPr>
            <w:tcW w:w="891" w:type="pct"/>
            <w:noWrap w:val="0"/>
            <w:vAlign w:val="center"/>
          </w:tcPr>
          <w:p w14:paraId="3B9A31D5">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w:t>
            </w:r>
          </w:p>
        </w:tc>
      </w:tr>
      <w:tr w14:paraId="1A170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restart"/>
            <w:noWrap w:val="0"/>
            <w:vAlign w:val="center"/>
          </w:tcPr>
          <w:p w14:paraId="201FEA56">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r>
              <w:rPr>
                <w:rFonts w:hint="eastAsia" w:ascii="Times New Roman" w:hAnsi="Times New Roman" w:eastAsia="宋体" w:cs="Times New Roman"/>
                <w:b/>
                <w:bCs/>
                <w:color w:val="auto"/>
                <w:kern w:val="0"/>
                <w:sz w:val="21"/>
                <w:szCs w:val="21"/>
                <w:highlight w:val="none"/>
                <w:vertAlign w:val="baseline"/>
                <w:lang w:val="en-US" w:eastAsia="zh-CN" w:bidi="ar-SA"/>
              </w:rPr>
              <w:t>6</w:t>
            </w:r>
          </w:p>
        </w:tc>
        <w:tc>
          <w:tcPr>
            <w:tcW w:w="1859" w:type="pct"/>
            <w:vMerge w:val="restart"/>
            <w:noWrap w:val="0"/>
            <w:vAlign w:val="center"/>
          </w:tcPr>
          <w:p w14:paraId="2606078A">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default" w:ascii="Times New Roman" w:hAnsi="Times New Roman" w:eastAsia="宋体" w:cs="Times New Roman"/>
                <w:b/>
                <w:bCs/>
                <w:color w:val="auto"/>
                <w:kern w:val="0"/>
                <w:sz w:val="21"/>
                <w:szCs w:val="21"/>
                <w:highlight w:val="none"/>
                <w:vertAlign w:val="baseline"/>
                <w:lang w:val="en-US" w:eastAsia="zh-CN" w:bidi="ar-SA"/>
              </w:rPr>
              <w:t>情绪</w:t>
            </w:r>
            <w:r>
              <w:rPr>
                <w:rFonts w:hint="eastAsia" w:ascii="Times New Roman" w:hAnsi="Times New Roman" w:eastAsia="宋体" w:cs="Times New Roman"/>
                <w:b/>
                <w:bCs/>
                <w:color w:val="auto"/>
                <w:kern w:val="0"/>
                <w:sz w:val="21"/>
                <w:szCs w:val="21"/>
                <w:highlight w:val="none"/>
                <w:vertAlign w:val="baseline"/>
                <w:lang w:val="en-US" w:eastAsia="zh-CN" w:bidi="ar-SA"/>
              </w:rPr>
              <w:t>原因</w:t>
            </w:r>
            <w:r>
              <w:rPr>
                <w:rFonts w:hint="default" w:ascii="Times New Roman" w:hAnsi="Times New Roman" w:eastAsia="宋体" w:cs="Times New Roman"/>
                <w:b/>
                <w:bCs/>
                <w:color w:val="auto"/>
                <w:kern w:val="0"/>
                <w:sz w:val="21"/>
                <w:szCs w:val="21"/>
                <w:highlight w:val="none"/>
                <w:vertAlign w:val="baseline"/>
                <w:lang w:val="en-US" w:eastAsia="zh-CN" w:bidi="ar-SA"/>
              </w:rPr>
              <w:t>使工作和日常活动减少</w:t>
            </w:r>
          </w:p>
        </w:tc>
        <w:tc>
          <w:tcPr>
            <w:tcW w:w="890" w:type="pct"/>
            <w:noWrap w:val="0"/>
            <w:vAlign w:val="center"/>
          </w:tcPr>
          <w:p w14:paraId="4E5AFF53">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w:t>
            </w:r>
          </w:p>
        </w:tc>
        <w:tc>
          <w:tcPr>
            <w:tcW w:w="890" w:type="pct"/>
            <w:noWrap w:val="0"/>
            <w:vAlign w:val="center"/>
          </w:tcPr>
          <w:p w14:paraId="1364D639">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3.04365</w:t>
            </w:r>
          </w:p>
        </w:tc>
        <w:tc>
          <w:tcPr>
            <w:tcW w:w="891" w:type="pct"/>
            <w:noWrap w:val="0"/>
            <w:vAlign w:val="center"/>
          </w:tcPr>
          <w:p w14:paraId="4C51A8B2">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-6.82672</w:t>
            </w:r>
          </w:p>
        </w:tc>
      </w:tr>
      <w:tr w14:paraId="195EF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4865B09A">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ascii="Times New Roman" w:hAnsi="Times New Roman" w:eastAsia="宋体" w:cs="宋体"/>
                <w:b/>
                <w:bCs/>
                <w:color w:val="auto"/>
                <w:kern w:val="0"/>
                <w:sz w:val="30"/>
                <w:szCs w:val="30"/>
                <w:highlight w:val="none"/>
                <w:lang w:val="en-US" w:eastAsia="zh-CN" w:bidi="ar-SA"/>
              </w:rPr>
            </w:pPr>
          </w:p>
        </w:tc>
        <w:tc>
          <w:tcPr>
            <w:tcW w:w="1859" w:type="pct"/>
            <w:vMerge w:val="continue"/>
            <w:noWrap w:val="0"/>
            <w:vAlign w:val="center"/>
          </w:tcPr>
          <w:p w14:paraId="593C5DC2">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ascii="Times New Roman" w:hAnsi="Times New Roman" w:eastAsia="宋体" w:cs="宋体"/>
                <w:color w:val="auto"/>
                <w:kern w:val="0"/>
                <w:sz w:val="21"/>
                <w:szCs w:val="21"/>
                <w:highlight w:val="none"/>
                <w:lang w:val="en-US" w:eastAsia="zh-CN" w:bidi="ar-SA"/>
              </w:rPr>
            </w:pPr>
          </w:p>
        </w:tc>
        <w:tc>
          <w:tcPr>
            <w:tcW w:w="890" w:type="pct"/>
            <w:noWrap w:val="0"/>
            <w:vAlign w:val="center"/>
          </w:tcPr>
          <w:p w14:paraId="18A0D2C5">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2</w:t>
            </w:r>
          </w:p>
        </w:tc>
        <w:tc>
          <w:tcPr>
            <w:tcW w:w="890" w:type="pct"/>
            <w:noWrap w:val="0"/>
            <w:vAlign w:val="center"/>
          </w:tcPr>
          <w:p w14:paraId="51D26584">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w:t>
            </w:r>
          </w:p>
        </w:tc>
        <w:tc>
          <w:tcPr>
            <w:tcW w:w="891" w:type="pct"/>
            <w:noWrap w:val="0"/>
            <w:vAlign w:val="center"/>
          </w:tcPr>
          <w:p w14:paraId="4BD53757">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w:t>
            </w:r>
          </w:p>
        </w:tc>
      </w:tr>
      <w:tr w14:paraId="58E55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restart"/>
            <w:noWrap w:val="0"/>
            <w:vAlign w:val="center"/>
          </w:tcPr>
          <w:p w14:paraId="1071164E">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r>
              <w:rPr>
                <w:rFonts w:hint="eastAsia" w:ascii="Times New Roman" w:hAnsi="Times New Roman" w:eastAsia="宋体" w:cs="Times New Roman"/>
                <w:b/>
                <w:bCs/>
                <w:color w:val="auto"/>
                <w:kern w:val="0"/>
                <w:sz w:val="21"/>
                <w:szCs w:val="21"/>
                <w:highlight w:val="none"/>
                <w:vertAlign w:val="baseline"/>
                <w:lang w:val="en-US" w:eastAsia="zh-CN" w:bidi="ar-SA"/>
              </w:rPr>
              <w:t>7</w:t>
            </w:r>
          </w:p>
        </w:tc>
        <w:tc>
          <w:tcPr>
            <w:tcW w:w="1859" w:type="pct"/>
            <w:vMerge w:val="restart"/>
            <w:noWrap w:val="0"/>
            <w:vAlign w:val="center"/>
          </w:tcPr>
          <w:p w14:paraId="38BFEB86">
            <w:pPr>
              <w:keepNext w:val="0"/>
              <w:keepLines w:val="0"/>
              <w:pageBreakBefore w:val="0"/>
              <w:widowControl w:val="0"/>
              <w:kinsoku/>
              <w:wordWrap/>
              <w:overflowPunct/>
              <w:topLinePunct w:val="0"/>
              <w:autoSpaceDE/>
              <w:autoSpaceDN/>
              <w:bidi w:val="0"/>
              <w:adjustRightInd/>
              <w:snapToGrid/>
              <w:spacing w:before="0" w:beforeLines="0" w:line="240" w:lineRule="auto"/>
              <w:jc w:val="center"/>
              <w:textAlignment w:val="auto"/>
              <w:rPr>
                <w:rFonts w:hint="eastAsia" w:ascii="Times New Roman" w:hAnsi="Times New Roman" w:eastAsia="宋体" w:cs="Times New Roman"/>
                <w:b w:val="0"/>
                <w:bCs w:val="0"/>
                <w:color w:val="auto"/>
                <w:sz w:val="21"/>
                <w:szCs w:val="21"/>
                <w:highlight w:val="none"/>
                <w:vertAlign w:val="baseline"/>
                <w:lang w:val="en-US" w:eastAsia="zh-CN"/>
              </w:rPr>
            </w:pPr>
            <w:r>
              <w:rPr>
                <w:rFonts w:hint="default" w:ascii="Times New Roman" w:hAnsi="Times New Roman" w:eastAsia="宋体" w:cs="Times New Roman"/>
                <w:b/>
                <w:bCs/>
                <w:color w:val="auto"/>
                <w:sz w:val="21"/>
                <w:szCs w:val="21"/>
                <w:highlight w:val="none"/>
                <w:vertAlign w:val="baseline"/>
                <w:lang w:val="en-US" w:eastAsia="zh-CN"/>
              </w:rPr>
              <w:t>情绪</w:t>
            </w:r>
            <w:r>
              <w:rPr>
                <w:rFonts w:hint="eastAsia" w:ascii="Times New Roman" w:hAnsi="Times New Roman" w:eastAsia="宋体" w:cs="Times New Roman"/>
                <w:b/>
                <w:bCs/>
                <w:color w:val="auto"/>
                <w:sz w:val="21"/>
                <w:szCs w:val="21"/>
                <w:highlight w:val="none"/>
                <w:vertAlign w:val="baseline"/>
                <w:lang w:val="en-US" w:eastAsia="zh-CN"/>
              </w:rPr>
              <w:t>原因</w:t>
            </w:r>
            <w:r>
              <w:rPr>
                <w:rFonts w:hint="default" w:ascii="Times New Roman" w:hAnsi="Times New Roman" w:eastAsia="宋体" w:cs="Times New Roman"/>
                <w:b/>
                <w:bCs/>
                <w:color w:val="auto"/>
                <w:sz w:val="21"/>
                <w:szCs w:val="21"/>
                <w:highlight w:val="none"/>
                <w:vertAlign w:val="baseline"/>
                <w:lang w:val="en-US" w:eastAsia="zh-CN"/>
              </w:rPr>
              <w:t>使工作或活动时不细心</w:t>
            </w:r>
          </w:p>
        </w:tc>
        <w:tc>
          <w:tcPr>
            <w:tcW w:w="890" w:type="pct"/>
            <w:noWrap w:val="0"/>
            <w:vAlign w:val="center"/>
          </w:tcPr>
          <w:p w14:paraId="53CA6920">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w:t>
            </w:r>
          </w:p>
        </w:tc>
        <w:tc>
          <w:tcPr>
            <w:tcW w:w="890" w:type="pct"/>
            <w:noWrap w:val="0"/>
            <w:vAlign w:val="center"/>
          </w:tcPr>
          <w:p w14:paraId="6FFB151B">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2.32091</w:t>
            </w:r>
          </w:p>
        </w:tc>
        <w:tc>
          <w:tcPr>
            <w:tcW w:w="891" w:type="pct"/>
            <w:noWrap w:val="0"/>
            <w:vAlign w:val="center"/>
          </w:tcPr>
          <w:p w14:paraId="16A57B1F">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-5.69921</w:t>
            </w:r>
          </w:p>
        </w:tc>
      </w:tr>
      <w:tr w14:paraId="217EA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45EF2880">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ascii="Times New Roman" w:hAnsi="Times New Roman" w:eastAsia="宋体" w:cs="宋体"/>
                <w:b/>
                <w:bCs/>
                <w:color w:val="auto"/>
                <w:kern w:val="0"/>
                <w:sz w:val="30"/>
                <w:szCs w:val="30"/>
                <w:highlight w:val="none"/>
                <w:lang w:val="en-US" w:eastAsia="zh-CN" w:bidi="ar-SA"/>
              </w:rPr>
            </w:pPr>
          </w:p>
        </w:tc>
        <w:tc>
          <w:tcPr>
            <w:tcW w:w="1859" w:type="pct"/>
            <w:vMerge w:val="continue"/>
            <w:noWrap w:val="0"/>
            <w:vAlign w:val="center"/>
          </w:tcPr>
          <w:p w14:paraId="09B9A1E2">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ascii="Times New Roman" w:hAnsi="Times New Roman" w:eastAsia="宋体" w:cs="宋体"/>
                <w:color w:val="auto"/>
                <w:kern w:val="0"/>
                <w:sz w:val="21"/>
                <w:szCs w:val="21"/>
                <w:highlight w:val="none"/>
                <w:lang w:val="en-US" w:eastAsia="zh-CN" w:bidi="ar-SA"/>
              </w:rPr>
            </w:pPr>
          </w:p>
        </w:tc>
        <w:tc>
          <w:tcPr>
            <w:tcW w:w="890" w:type="pct"/>
            <w:noWrap w:val="0"/>
            <w:vAlign w:val="center"/>
          </w:tcPr>
          <w:p w14:paraId="4C4F4034">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2</w:t>
            </w:r>
          </w:p>
        </w:tc>
        <w:tc>
          <w:tcPr>
            <w:tcW w:w="890" w:type="pct"/>
            <w:noWrap w:val="0"/>
            <w:vAlign w:val="center"/>
          </w:tcPr>
          <w:p w14:paraId="71984B7C">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w:t>
            </w:r>
          </w:p>
        </w:tc>
        <w:tc>
          <w:tcPr>
            <w:tcW w:w="891" w:type="pct"/>
            <w:noWrap w:val="0"/>
            <w:vAlign w:val="center"/>
          </w:tcPr>
          <w:p w14:paraId="436CA332">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w:t>
            </w:r>
          </w:p>
        </w:tc>
      </w:tr>
      <w:tr w14:paraId="24C48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restart"/>
            <w:noWrap w:val="0"/>
            <w:vAlign w:val="center"/>
          </w:tcPr>
          <w:p w14:paraId="72CDE940">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r>
              <w:rPr>
                <w:rFonts w:hint="eastAsia" w:ascii="Times New Roman" w:hAnsi="Times New Roman" w:eastAsia="宋体" w:cs="Times New Roman"/>
                <w:b/>
                <w:bCs/>
                <w:color w:val="auto"/>
                <w:kern w:val="0"/>
                <w:sz w:val="21"/>
                <w:szCs w:val="21"/>
                <w:highlight w:val="none"/>
                <w:vertAlign w:val="baseline"/>
                <w:lang w:val="en-US" w:eastAsia="zh-CN" w:bidi="ar-SA"/>
              </w:rPr>
              <w:t>8</w:t>
            </w:r>
          </w:p>
        </w:tc>
        <w:tc>
          <w:tcPr>
            <w:tcW w:w="1859" w:type="pct"/>
            <w:vMerge w:val="restart"/>
            <w:noWrap w:val="0"/>
            <w:vAlign w:val="center"/>
          </w:tcPr>
          <w:p w14:paraId="2AC89D1A">
            <w:pPr>
              <w:keepNext w:val="0"/>
              <w:keepLines w:val="0"/>
              <w:pageBreakBefore w:val="0"/>
              <w:widowControl w:val="0"/>
              <w:kinsoku/>
              <w:wordWrap/>
              <w:overflowPunct/>
              <w:topLinePunct w:val="0"/>
              <w:autoSpaceDE/>
              <w:autoSpaceDN/>
              <w:bidi w:val="0"/>
              <w:adjustRightInd/>
              <w:snapToGrid/>
              <w:spacing w:before="0" w:beforeLines="0" w:line="240" w:lineRule="auto"/>
              <w:jc w:val="center"/>
              <w:textAlignment w:val="auto"/>
              <w:rPr>
                <w:rFonts w:hint="eastAsia" w:ascii="Times New Roman" w:hAnsi="Times New Roman" w:eastAsia="宋体" w:cs="Times New Roman"/>
                <w:b w:val="0"/>
                <w:bCs w:val="0"/>
                <w:color w:val="auto"/>
                <w:sz w:val="21"/>
                <w:szCs w:val="21"/>
                <w:highlight w:val="none"/>
                <w:vertAlign w:val="baseline"/>
                <w:lang w:val="en-US" w:eastAsia="zh-CN"/>
              </w:rPr>
            </w:pPr>
            <w:r>
              <w:rPr>
                <w:rFonts w:hint="default" w:ascii="Times New Roman" w:hAnsi="Times New Roman" w:eastAsia="宋体" w:cs="Times New Roman"/>
                <w:b/>
                <w:bCs/>
                <w:color w:val="auto"/>
                <w:sz w:val="21"/>
                <w:szCs w:val="21"/>
                <w:highlight w:val="none"/>
                <w:vertAlign w:val="baseline"/>
                <w:lang w:val="en-US" w:eastAsia="zh-CN"/>
              </w:rPr>
              <w:t>疼痛</w:t>
            </w:r>
            <w:r>
              <w:rPr>
                <w:rFonts w:hint="eastAsia" w:ascii="Times New Roman" w:hAnsi="Times New Roman" w:eastAsia="宋体" w:cs="Times New Roman"/>
                <w:b/>
                <w:bCs/>
                <w:color w:val="auto"/>
                <w:sz w:val="21"/>
                <w:szCs w:val="21"/>
                <w:highlight w:val="none"/>
                <w:vertAlign w:val="baseline"/>
                <w:lang w:val="en-US" w:eastAsia="zh-CN"/>
              </w:rPr>
              <w:t>影响</w:t>
            </w:r>
            <w:r>
              <w:rPr>
                <w:rFonts w:hint="default" w:ascii="Times New Roman" w:hAnsi="Times New Roman" w:eastAsia="宋体" w:cs="Times New Roman"/>
                <w:b/>
                <w:bCs/>
                <w:color w:val="auto"/>
                <w:sz w:val="21"/>
                <w:szCs w:val="21"/>
                <w:highlight w:val="none"/>
                <w:vertAlign w:val="baseline"/>
                <w:lang w:val="en-US" w:eastAsia="zh-CN"/>
              </w:rPr>
              <w:t>日常工作</w:t>
            </w:r>
          </w:p>
        </w:tc>
        <w:tc>
          <w:tcPr>
            <w:tcW w:w="890" w:type="pct"/>
            <w:noWrap w:val="0"/>
            <w:vAlign w:val="center"/>
          </w:tcPr>
          <w:p w14:paraId="3B0F6901">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w:t>
            </w:r>
          </w:p>
        </w:tc>
        <w:tc>
          <w:tcPr>
            <w:tcW w:w="890" w:type="pct"/>
            <w:noWrap w:val="0"/>
            <w:vAlign w:val="center"/>
          </w:tcPr>
          <w:p w14:paraId="3C7F14C8">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w:t>
            </w:r>
          </w:p>
        </w:tc>
        <w:tc>
          <w:tcPr>
            <w:tcW w:w="891" w:type="pct"/>
            <w:noWrap w:val="0"/>
            <w:vAlign w:val="center"/>
          </w:tcPr>
          <w:p w14:paraId="0AB49BE0">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w:t>
            </w:r>
          </w:p>
        </w:tc>
      </w:tr>
      <w:tr w14:paraId="0A98B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16B53549">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ascii="Times New Roman" w:hAnsi="Times New Roman" w:eastAsia="宋体" w:cs="宋体"/>
                <w:b/>
                <w:bCs/>
                <w:color w:val="auto"/>
                <w:kern w:val="0"/>
                <w:sz w:val="30"/>
                <w:szCs w:val="30"/>
                <w:highlight w:val="none"/>
                <w:lang w:val="en-US" w:eastAsia="zh-CN" w:bidi="ar-SA"/>
              </w:rPr>
            </w:pPr>
          </w:p>
        </w:tc>
        <w:tc>
          <w:tcPr>
            <w:tcW w:w="1859" w:type="pct"/>
            <w:vMerge w:val="continue"/>
            <w:noWrap w:val="0"/>
            <w:vAlign w:val="center"/>
          </w:tcPr>
          <w:p w14:paraId="58305C06">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ascii="Times New Roman" w:hAnsi="Times New Roman" w:eastAsia="宋体" w:cs="宋体"/>
                <w:color w:val="auto"/>
                <w:kern w:val="0"/>
                <w:sz w:val="21"/>
                <w:szCs w:val="21"/>
                <w:highlight w:val="none"/>
                <w:lang w:val="en-US" w:eastAsia="zh-CN" w:bidi="ar-SA"/>
              </w:rPr>
            </w:pPr>
          </w:p>
        </w:tc>
        <w:tc>
          <w:tcPr>
            <w:tcW w:w="890" w:type="pct"/>
            <w:noWrap w:val="0"/>
            <w:vAlign w:val="center"/>
          </w:tcPr>
          <w:p w14:paraId="382FA9ED">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2</w:t>
            </w:r>
          </w:p>
        </w:tc>
        <w:tc>
          <w:tcPr>
            <w:tcW w:w="890" w:type="pct"/>
            <w:noWrap w:val="0"/>
            <w:vAlign w:val="center"/>
          </w:tcPr>
          <w:p w14:paraId="051C3334">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-0.42251</w:t>
            </w:r>
          </w:p>
        </w:tc>
        <w:tc>
          <w:tcPr>
            <w:tcW w:w="891" w:type="pct"/>
            <w:noWrap w:val="0"/>
            <w:vAlign w:val="center"/>
          </w:tcPr>
          <w:p w14:paraId="31F1EE40">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-0.92057</w:t>
            </w:r>
          </w:p>
        </w:tc>
      </w:tr>
      <w:tr w14:paraId="51886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264E7DF7">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p>
        </w:tc>
        <w:tc>
          <w:tcPr>
            <w:tcW w:w="1859" w:type="pct"/>
            <w:vMerge w:val="continue"/>
            <w:noWrap w:val="0"/>
            <w:vAlign w:val="center"/>
          </w:tcPr>
          <w:p w14:paraId="54DB6C5F">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p>
        </w:tc>
        <w:tc>
          <w:tcPr>
            <w:tcW w:w="890" w:type="pct"/>
            <w:noWrap w:val="0"/>
            <w:vAlign w:val="center"/>
          </w:tcPr>
          <w:p w14:paraId="783106A1">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3</w:t>
            </w:r>
          </w:p>
        </w:tc>
        <w:tc>
          <w:tcPr>
            <w:tcW w:w="890" w:type="pct"/>
            <w:noWrap w:val="0"/>
            <w:vAlign w:val="center"/>
          </w:tcPr>
          <w:p w14:paraId="523EAA09">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-1.14387</w:t>
            </w:r>
          </w:p>
        </w:tc>
        <w:tc>
          <w:tcPr>
            <w:tcW w:w="891" w:type="pct"/>
            <w:noWrap w:val="0"/>
            <w:vAlign w:val="center"/>
          </w:tcPr>
          <w:p w14:paraId="3FFB9372">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-1.65178</w:t>
            </w:r>
          </w:p>
        </w:tc>
      </w:tr>
      <w:tr w14:paraId="04CEB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703D68C9">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p>
        </w:tc>
        <w:tc>
          <w:tcPr>
            <w:tcW w:w="1859" w:type="pct"/>
            <w:vMerge w:val="continue"/>
            <w:noWrap w:val="0"/>
            <w:vAlign w:val="center"/>
          </w:tcPr>
          <w:p w14:paraId="1675D8F9">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p>
        </w:tc>
        <w:tc>
          <w:tcPr>
            <w:tcW w:w="890" w:type="pct"/>
            <w:noWrap w:val="0"/>
            <w:vAlign w:val="center"/>
          </w:tcPr>
          <w:p w14:paraId="62B71A7C">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4</w:t>
            </w:r>
          </w:p>
        </w:tc>
        <w:tc>
          <w:tcPr>
            <w:tcW w:w="890" w:type="pct"/>
            <w:noWrap w:val="0"/>
            <w:vAlign w:val="center"/>
          </w:tcPr>
          <w:p w14:paraId="30B224BA">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-1.61850</w:t>
            </w:r>
          </w:p>
        </w:tc>
        <w:tc>
          <w:tcPr>
            <w:tcW w:w="891" w:type="pct"/>
            <w:noWrap w:val="0"/>
            <w:vAlign w:val="center"/>
          </w:tcPr>
          <w:p w14:paraId="1EDDF29B">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-3.29805</w:t>
            </w:r>
          </w:p>
        </w:tc>
      </w:tr>
      <w:tr w14:paraId="72360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5B611C49">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p>
        </w:tc>
        <w:tc>
          <w:tcPr>
            <w:tcW w:w="1859" w:type="pct"/>
            <w:vMerge w:val="continue"/>
            <w:noWrap w:val="0"/>
            <w:vAlign w:val="center"/>
          </w:tcPr>
          <w:p w14:paraId="2A0A7577">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p>
        </w:tc>
        <w:tc>
          <w:tcPr>
            <w:tcW w:w="890" w:type="pct"/>
            <w:noWrap w:val="0"/>
            <w:vAlign w:val="center"/>
          </w:tcPr>
          <w:p w14:paraId="62E27970">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5</w:t>
            </w:r>
          </w:p>
        </w:tc>
        <w:tc>
          <w:tcPr>
            <w:tcW w:w="890" w:type="pct"/>
            <w:noWrap w:val="0"/>
            <w:vAlign w:val="center"/>
          </w:tcPr>
          <w:p w14:paraId="7C07E5D4">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-2.02168</w:t>
            </w:r>
          </w:p>
        </w:tc>
        <w:tc>
          <w:tcPr>
            <w:tcW w:w="891" w:type="pct"/>
            <w:noWrap w:val="0"/>
            <w:vAlign w:val="center"/>
          </w:tcPr>
          <w:p w14:paraId="264D5931">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-4.88962</w:t>
            </w:r>
          </w:p>
        </w:tc>
      </w:tr>
      <w:tr w14:paraId="6E3EF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1DDA0FAF">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p>
        </w:tc>
        <w:tc>
          <w:tcPr>
            <w:tcW w:w="1859" w:type="pct"/>
            <w:vMerge w:val="continue"/>
            <w:noWrap w:val="0"/>
            <w:vAlign w:val="center"/>
          </w:tcPr>
          <w:p w14:paraId="75B9966F">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p>
        </w:tc>
        <w:tc>
          <w:tcPr>
            <w:tcW w:w="890" w:type="pct"/>
            <w:noWrap w:val="0"/>
            <w:vAlign w:val="center"/>
          </w:tcPr>
          <w:p w14:paraId="4A5C7462">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6</w:t>
            </w:r>
          </w:p>
        </w:tc>
        <w:tc>
          <w:tcPr>
            <w:tcW w:w="890" w:type="pct"/>
            <w:noWrap w:val="0"/>
            <w:vAlign w:val="center"/>
          </w:tcPr>
          <w:p w14:paraId="575479B9">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-2.44706</w:t>
            </w:r>
          </w:p>
        </w:tc>
        <w:tc>
          <w:tcPr>
            <w:tcW w:w="891" w:type="pct"/>
            <w:noWrap w:val="0"/>
            <w:vAlign w:val="center"/>
          </w:tcPr>
          <w:p w14:paraId="10EDD9B9">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-6.02409</w:t>
            </w:r>
          </w:p>
        </w:tc>
      </w:tr>
      <w:tr w14:paraId="06879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restart"/>
            <w:noWrap w:val="0"/>
            <w:vAlign w:val="center"/>
          </w:tcPr>
          <w:p w14:paraId="2ACB7F7A">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r>
              <w:rPr>
                <w:rFonts w:hint="eastAsia" w:ascii="Times New Roman" w:hAnsi="Times New Roman" w:eastAsia="宋体" w:cs="Times New Roman"/>
                <w:b/>
                <w:bCs/>
                <w:color w:val="auto"/>
                <w:kern w:val="0"/>
                <w:sz w:val="21"/>
                <w:szCs w:val="21"/>
                <w:highlight w:val="none"/>
                <w:vertAlign w:val="baseline"/>
                <w:lang w:val="en-US" w:eastAsia="zh-CN" w:bidi="ar-SA"/>
              </w:rPr>
              <w:t>9</w:t>
            </w:r>
          </w:p>
        </w:tc>
        <w:tc>
          <w:tcPr>
            <w:tcW w:w="1859" w:type="pct"/>
            <w:vMerge w:val="restart"/>
            <w:noWrap w:val="0"/>
            <w:vAlign w:val="center"/>
          </w:tcPr>
          <w:p w14:paraId="47C4DCE4">
            <w:pPr>
              <w:keepNext w:val="0"/>
              <w:keepLines w:val="0"/>
              <w:pageBreakBefore w:val="0"/>
              <w:widowControl w:val="0"/>
              <w:kinsoku/>
              <w:wordWrap/>
              <w:overflowPunct/>
              <w:topLinePunct w:val="0"/>
              <w:autoSpaceDE/>
              <w:autoSpaceDN/>
              <w:bidi w:val="0"/>
              <w:adjustRightInd/>
              <w:snapToGrid/>
              <w:spacing w:before="0" w:beforeLines="0" w:line="240" w:lineRule="auto"/>
              <w:jc w:val="center"/>
              <w:textAlignment w:val="auto"/>
              <w:rPr>
                <w:rFonts w:hint="eastAsia" w:ascii="Times New Roman" w:hAnsi="Times New Roman" w:eastAsia="宋体" w:cs="Times New Roman"/>
                <w:b w:val="0"/>
                <w:bCs w:val="0"/>
                <w:color w:val="auto"/>
                <w:sz w:val="21"/>
                <w:szCs w:val="21"/>
                <w:highlight w:val="none"/>
                <w:vertAlign w:val="baseline"/>
                <w:lang w:val="en-US" w:eastAsia="zh-CN"/>
              </w:rPr>
            </w:pPr>
            <w:r>
              <w:rPr>
                <w:rFonts w:hint="default" w:ascii="Times New Roman" w:hAnsi="Times New Roman" w:eastAsia="宋体" w:cs="Times New Roman"/>
                <w:b/>
                <w:bCs/>
                <w:color w:val="auto"/>
                <w:sz w:val="21"/>
                <w:szCs w:val="21"/>
                <w:highlight w:val="none"/>
                <w:vertAlign w:val="baseline"/>
                <w:lang w:val="en-US" w:eastAsia="zh-CN"/>
              </w:rPr>
              <w:t>感到心平气和</w:t>
            </w:r>
          </w:p>
        </w:tc>
        <w:tc>
          <w:tcPr>
            <w:tcW w:w="890" w:type="pct"/>
            <w:noWrap w:val="0"/>
            <w:vAlign w:val="center"/>
          </w:tcPr>
          <w:p w14:paraId="46DF9A60">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w:t>
            </w:r>
          </w:p>
        </w:tc>
        <w:tc>
          <w:tcPr>
            <w:tcW w:w="890" w:type="pct"/>
            <w:noWrap w:val="0"/>
            <w:vAlign w:val="center"/>
          </w:tcPr>
          <w:p w14:paraId="7D9A8155">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w:t>
            </w:r>
          </w:p>
        </w:tc>
        <w:tc>
          <w:tcPr>
            <w:tcW w:w="891" w:type="pct"/>
            <w:noWrap w:val="0"/>
            <w:vAlign w:val="center"/>
          </w:tcPr>
          <w:p w14:paraId="778071A6">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w:t>
            </w:r>
          </w:p>
        </w:tc>
      </w:tr>
      <w:tr w14:paraId="4B6B5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228DC3A1">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ascii="Times New Roman" w:hAnsi="Times New Roman" w:eastAsia="宋体" w:cs="宋体"/>
                <w:b/>
                <w:bCs/>
                <w:color w:val="auto"/>
                <w:kern w:val="0"/>
                <w:sz w:val="30"/>
                <w:szCs w:val="30"/>
                <w:highlight w:val="none"/>
                <w:lang w:val="en-US" w:eastAsia="zh-CN" w:bidi="ar-SA"/>
              </w:rPr>
            </w:pPr>
          </w:p>
        </w:tc>
        <w:tc>
          <w:tcPr>
            <w:tcW w:w="1859" w:type="pct"/>
            <w:vMerge w:val="continue"/>
            <w:noWrap w:val="0"/>
            <w:vAlign w:val="center"/>
          </w:tcPr>
          <w:p w14:paraId="705FF01E">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ascii="Times New Roman" w:hAnsi="Times New Roman" w:eastAsia="宋体" w:cs="宋体"/>
                <w:color w:val="auto"/>
                <w:kern w:val="0"/>
                <w:sz w:val="21"/>
                <w:szCs w:val="21"/>
                <w:highlight w:val="none"/>
                <w:lang w:val="en-US" w:eastAsia="zh-CN" w:bidi="ar-SA"/>
              </w:rPr>
            </w:pPr>
          </w:p>
        </w:tc>
        <w:tc>
          <w:tcPr>
            <w:tcW w:w="890" w:type="pct"/>
            <w:noWrap w:val="0"/>
            <w:vAlign w:val="center"/>
          </w:tcPr>
          <w:p w14:paraId="672FC11B">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2</w:t>
            </w:r>
          </w:p>
        </w:tc>
        <w:tc>
          <w:tcPr>
            <w:tcW w:w="890" w:type="pct"/>
            <w:noWrap w:val="0"/>
            <w:vAlign w:val="center"/>
          </w:tcPr>
          <w:p w14:paraId="3B890FC8">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0.66514</w:t>
            </w:r>
          </w:p>
        </w:tc>
        <w:tc>
          <w:tcPr>
            <w:tcW w:w="891" w:type="pct"/>
            <w:noWrap w:val="0"/>
            <w:vAlign w:val="center"/>
          </w:tcPr>
          <w:p w14:paraId="016454AB">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-1.94949</w:t>
            </w:r>
          </w:p>
        </w:tc>
      </w:tr>
      <w:tr w14:paraId="40AE1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164D5A58">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p>
        </w:tc>
        <w:tc>
          <w:tcPr>
            <w:tcW w:w="1859" w:type="pct"/>
            <w:vMerge w:val="continue"/>
            <w:noWrap w:val="0"/>
            <w:vAlign w:val="center"/>
          </w:tcPr>
          <w:p w14:paraId="580AF264">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p>
        </w:tc>
        <w:tc>
          <w:tcPr>
            <w:tcW w:w="890" w:type="pct"/>
            <w:noWrap w:val="0"/>
            <w:vAlign w:val="center"/>
          </w:tcPr>
          <w:p w14:paraId="4F5CFFBE">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3</w:t>
            </w:r>
          </w:p>
        </w:tc>
        <w:tc>
          <w:tcPr>
            <w:tcW w:w="890" w:type="pct"/>
            <w:noWrap w:val="0"/>
            <w:vAlign w:val="center"/>
          </w:tcPr>
          <w:p w14:paraId="3820768E">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1.36689</w:t>
            </w:r>
          </w:p>
        </w:tc>
        <w:tc>
          <w:tcPr>
            <w:tcW w:w="891" w:type="pct"/>
            <w:noWrap w:val="0"/>
            <w:vAlign w:val="center"/>
          </w:tcPr>
          <w:p w14:paraId="6D812BD8">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-4.09842</w:t>
            </w:r>
          </w:p>
        </w:tc>
      </w:tr>
      <w:tr w14:paraId="2FDB0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30799FF1">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p>
        </w:tc>
        <w:tc>
          <w:tcPr>
            <w:tcW w:w="1859" w:type="pct"/>
            <w:vMerge w:val="continue"/>
            <w:noWrap w:val="0"/>
            <w:vAlign w:val="center"/>
          </w:tcPr>
          <w:p w14:paraId="76F6C869">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p>
        </w:tc>
        <w:tc>
          <w:tcPr>
            <w:tcW w:w="890" w:type="pct"/>
            <w:noWrap w:val="0"/>
            <w:vAlign w:val="center"/>
          </w:tcPr>
          <w:p w14:paraId="317C4AEF">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4</w:t>
            </w:r>
          </w:p>
        </w:tc>
        <w:tc>
          <w:tcPr>
            <w:tcW w:w="890" w:type="pct"/>
            <w:noWrap w:val="0"/>
            <w:vAlign w:val="center"/>
          </w:tcPr>
          <w:p w14:paraId="19E0B834">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2.37241</w:t>
            </w:r>
          </w:p>
        </w:tc>
        <w:tc>
          <w:tcPr>
            <w:tcW w:w="891" w:type="pct"/>
            <w:noWrap w:val="0"/>
            <w:vAlign w:val="center"/>
          </w:tcPr>
          <w:p w14:paraId="3BF3C08F">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-6.31121</w:t>
            </w:r>
          </w:p>
        </w:tc>
      </w:tr>
      <w:tr w14:paraId="25E2B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73CADD8F">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p>
        </w:tc>
        <w:tc>
          <w:tcPr>
            <w:tcW w:w="1859" w:type="pct"/>
            <w:vMerge w:val="continue"/>
            <w:noWrap w:val="0"/>
            <w:vAlign w:val="center"/>
          </w:tcPr>
          <w:p w14:paraId="29C4B261">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p>
        </w:tc>
        <w:tc>
          <w:tcPr>
            <w:tcW w:w="890" w:type="pct"/>
            <w:noWrap w:val="0"/>
            <w:vAlign w:val="center"/>
          </w:tcPr>
          <w:p w14:paraId="299BCBD4">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5</w:t>
            </w:r>
          </w:p>
        </w:tc>
        <w:tc>
          <w:tcPr>
            <w:tcW w:w="890" w:type="pct"/>
            <w:noWrap w:val="0"/>
            <w:vAlign w:val="center"/>
          </w:tcPr>
          <w:p w14:paraId="2E722D71">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2.90426</w:t>
            </w:r>
          </w:p>
        </w:tc>
        <w:tc>
          <w:tcPr>
            <w:tcW w:w="891" w:type="pct"/>
            <w:noWrap w:val="0"/>
            <w:vAlign w:val="center"/>
          </w:tcPr>
          <w:p w14:paraId="376EE7DA">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-7.92717</w:t>
            </w:r>
          </w:p>
        </w:tc>
      </w:tr>
      <w:tr w14:paraId="4D2DC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65E7C2AD">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p>
        </w:tc>
        <w:tc>
          <w:tcPr>
            <w:tcW w:w="1859" w:type="pct"/>
            <w:vMerge w:val="continue"/>
            <w:noWrap w:val="0"/>
            <w:vAlign w:val="center"/>
          </w:tcPr>
          <w:p w14:paraId="46EA4CBF">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p>
        </w:tc>
        <w:tc>
          <w:tcPr>
            <w:tcW w:w="890" w:type="pct"/>
            <w:noWrap w:val="0"/>
            <w:vAlign w:val="center"/>
          </w:tcPr>
          <w:p w14:paraId="6BA30D18">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6</w:t>
            </w:r>
          </w:p>
        </w:tc>
        <w:tc>
          <w:tcPr>
            <w:tcW w:w="890" w:type="pct"/>
            <w:noWrap w:val="0"/>
            <w:vAlign w:val="center"/>
          </w:tcPr>
          <w:p w14:paraId="6219A978">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3.46638</w:t>
            </w:r>
          </w:p>
        </w:tc>
        <w:tc>
          <w:tcPr>
            <w:tcW w:w="891" w:type="pct"/>
            <w:noWrap w:val="0"/>
            <w:vAlign w:val="center"/>
          </w:tcPr>
          <w:p w14:paraId="30BDCFBB">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-10.19085</w:t>
            </w:r>
          </w:p>
        </w:tc>
      </w:tr>
      <w:tr w14:paraId="16A98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restart"/>
            <w:noWrap w:val="0"/>
            <w:vAlign w:val="center"/>
          </w:tcPr>
          <w:p w14:paraId="5CD28BEB">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r>
              <w:rPr>
                <w:rFonts w:hint="eastAsia" w:ascii="Times New Roman" w:hAnsi="Times New Roman" w:eastAsia="宋体" w:cs="Times New Roman"/>
                <w:b/>
                <w:bCs/>
                <w:color w:val="auto"/>
                <w:kern w:val="0"/>
                <w:sz w:val="21"/>
                <w:szCs w:val="21"/>
                <w:highlight w:val="none"/>
                <w:vertAlign w:val="baseline"/>
                <w:lang w:val="en-US" w:eastAsia="zh-CN" w:bidi="ar-SA"/>
              </w:rPr>
              <w:t>10</w:t>
            </w:r>
          </w:p>
        </w:tc>
        <w:tc>
          <w:tcPr>
            <w:tcW w:w="1859" w:type="pct"/>
            <w:vMerge w:val="restart"/>
            <w:noWrap w:val="0"/>
            <w:vAlign w:val="center"/>
          </w:tcPr>
          <w:p w14:paraId="76ECC945">
            <w:pPr>
              <w:keepNext w:val="0"/>
              <w:keepLines w:val="0"/>
              <w:pageBreakBefore w:val="0"/>
              <w:widowControl w:val="0"/>
              <w:kinsoku/>
              <w:wordWrap/>
              <w:overflowPunct/>
              <w:topLinePunct w:val="0"/>
              <w:autoSpaceDE/>
              <w:autoSpaceDN/>
              <w:bidi w:val="0"/>
              <w:adjustRightInd/>
              <w:snapToGrid/>
              <w:spacing w:before="0" w:beforeLines="0" w:line="240" w:lineRule="auto"/>
              <w:jc w:val="center"/>
              <w:textAlignment w:val="auto"/>
              <w:rPr>
                <w:rFonts w:hint="eastAsia" w:ascii="Times New Roman" w:hAnsi="Times New Roman" w:eastAsia="宋体" w:cs="Times New Roman"/>
                <w:b w:val="0"/>
                <w:bCs w:val="0"/>
                <w:color w:val="auto"/>
                <w:sz w:val="21"/>
                <w:szCs w:val="21"/>
                <w:highlight w:val="none"/>
                <w:vertAlign w:val="baseline"/>
                <w:lang w:val="en-US" w:eastAsia="zh-CN"/>
              </w:rPr>
            </w:pPr>
            <w:r>
              <w:rPr>
                <w:rFonts w:hint="default" w:ascii="Times New Roman" w:hAnsi="Times New Roman" w:eastAsia="宋体" w:cs="Times New Roman"/>
                <w:b/>
                <w:bCs/>
                <w:color w:val="auto"/>
                <w:sz w:val="21"/>
                <w:szCs w:val="21"/>
                <w:highlight w:val="none"/>
                <w:vertAlign w:val="baseline"/>
                <w:lang w:val="en-US" w:eastAsia="zh-CN"/>
              </w:rPr>
              <w:t>感到精力充沛</w:t>
            </w:r>
          </w:p>
        </w:tc>
        <w:tc>
          <w:tcPr>
            <w:tcW w:w="890" w:type="pct"/>
            <w:noWrap w:val="0"/>
            <w:vAlign w:val="center"/>
          </w:tcPr>
          <w:p w14:paraId="365F0BE0">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w:t>
            </w:r>
          </w:p>
        </w:tc>
        <w:tc>
          <w:tcPr>
            <w:tcW w:w="890" w:type="pct"/>
            <w:noWrap w:val="0"/>
            <w:vAlign w:val="center"/>
          </w:tcPr>
          <w:p w14:paraId="0BA50D55">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w:t>
            </w:r>
          </w:p>
        </w:tc>
        <w:tc>
          <w:tcPr>
            <w:tcW w:w="891" w:type="pct"/>
            <w:noWrap w:val="0"/>
            <w:vAlign w:val="center"/>
          </w:tcPr>
          <w:p w14:paraId="6EB472D3">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w:t>
            </w:r>
          </w:p>
        </w:tc>
      </w:tr>
      <w:tr w14:paraId="7DC86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196EA5EC">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ascii="Times New Roman" w:hAnsi="Times New Roman" w:eastAsia="宋体" w:cs="宋体"/>
                <w:b/>
                <w:bCs/>
                <w:color w:val="auto"/>
                <w:kern w:val="0"/>
                <w:sz w:val="30"/>
                <w:szCs w:val="30"/>
                <w:highlight w:val="none"/>
                <w:lang w:val="en-US" w:eastAsia="zh-CN" w:bidi="ar-SA"/>
              </w:rPr>
            </w:pPr>
          </w:p>
        </w:tc>
        <w:tc>
          <w:tcPr>
            <w:tcW w:w="1859" w:type="pct"/>
            <w:vMerge w:val="continue"/>
            <w:noWrap w:val="0"/>
            <w:vAlign w:val="center"/>
          </w:tcPr>
          <w:p w14:paraId="755E4998">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ascii="Times New Roman" w:hAnsi="Times New Roman" w:eastAsia="宋体" w:cs="宋体"/>
                <w:color w:val="auto"/>
                <w:kern w:val="0"/>
                <w:sz w:val="21"/>
                <w:szCs w:val="21"/>
                <w:highlight w:val="none"/>
                <w:lang w:val="en-US" w:eastAsia="zh-CN" w:bidi="ar-SA"/>
              </w:rPr>
            </w:pPr>
          </w:p>
        </w:tc>
        <w:tc>
          <w:tcPr>
            <w:tcW w:w="890" w:type="pct"/>
            <w:noWrap w:val="0"/>
            <w:vAlign w:val="center"/>
          </w:tcPr>
          <w:p w14:paraId="14A74069">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2</w:t>
            </w:r>
          </w:p>
        </w:tc>
        <w:tc>
          <w:tcPr>
            <w:tcW w:w="890" w:type="pct"/>
            <w:noWrap w:val="0"/>
            <w:vAlign w:val="center"/>
          </w:tcPr>
          <w:p w14:paraId="37C0D144">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-0.42251</w:t>
            </w:r>
          </w:p>
        </w:tc>
        <w:tc>
          <w:tcPr>
            <w:tcW w:w="891" w:type="pct"/>
            <w:noWrap w:val="0"/>
            <w:vAlign w:val="center"/>
          </w:tcPr>
          <w:p w14:paraId="63010C1E">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-0.92057</w:t>
            </w:r>
          </w:p>
        </w:tc>
      </w:tr>
      <w:tr w14:paraId="71857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65BFFF55">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p>
        </w:tc>
        <w:tc>
          <w:tcPr>
            <w:tcW w:w="1859" w:type="pct"/>
            <w:vMerge w:val="continue"/>
            <w:noWrap w:val="0"/>
            <w:vAlign w:val="center"/>
          </w:tcPr>
          <w:p w14:paraId="387B26F4">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p>
        </w:tc>
        <w:tc>
          <w:tcPr>
            <w:tcW w:w="890" w:type="pct"/>
            <w:noWrap w:val="0"/>
            <w:vAlign w:val="center"/>
          </w:tcPr>
          <w:p w14:paraId="39148046">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3</w:t>
            </w:r>
          </w:p>
        </w:tc>
        <w:tc>
          <w:tcPr>
            <w:tcW w:w="890" w:type="pct"/>
            <w:noWrap w:val="0"/>
            <w:vAlign w:val="center"/>
          </w:tcPr>
          <w:p w14:paraId="1FC31BE4">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-1.14387</w:t>
            </w:r>
          </w:p>
        </w:tc>
        <w:tc>
          <w:tcPr>
            <w:tcW w:w="891" w:type="pct"/>
            <w:noWrap w:val="0"/>
            <w:vAlign w:val="center"/>
          </w:tcPr>
          <w:p w14:paraId="11F6178E">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-1.65178</w:t>
            </w:r>
          </w:p>
        </w:tc>
      </w:tr>
      <w:tr w14:paraId="1FBC9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6B6B607C">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p>
        </w:tc>
        <w:tc>
          <w:tcPr>
            <w:tcW w:w="1859" w:type="pct"/>
            <w:vMerge w:val="continue"/>
            <w:noWrap w:val="0"/>
            <w:vAlign w:val="center"/>
          </w:tcPr>
          <w:p w14:paraId="2DDADE27">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p>
        </w:tc>
        <w:tc>
          <w:tcPr>
            <w:tcW w:w="890" w:type="pct"/>
            <w:noWrap w:val="0"/>
            <w:vAlign w:val="center"/>
          </w:tcPr>
          <w:p w14:paraId="50CD9CC7">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4</w:t>
            </w:r>
          </w:p>
        </w:tc>
        <w:tc>
          <w:tcPr>
            <w:tcW w:w="890" w:type="pct"/>
            <w:noWrap w:val="0"/>
            <w:vAlign w:val="center"/>
          </w:tcPr>
          <w:p w14:paraId="567D251C">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-1.61850</w:t>
            </w:r>
          </w:p>
        </w:tc>
        <w:tc>
          <w:tcPr>
            <w:tcW w:w="891" w:type="pct"/>
            <w:noWrap w:val="0"/>
            <w:vAlign w:val="center"/>
          </w:tcPr>
          <w:p w14:paraId="3C3AAF05">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-3.29805</w:t>
            </w:r>
          </w:p>
        </w:tc>
      </w:tr>
      <w:tr w14:paraId="06B7B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31B79BF3">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p>
        </w:tc>
        <w:tc>
          <w:tcPr>
            <w:tcW w:w="1859" w:type="pct"/>
            <w:vMerge w:val="continue"/>
            <w:noWrap w:val="0"/>
            <w:vAlign w:val="center"/>
          </w:tcPr>
          <w:p w14:paraId="793494CB">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p>
        </w:tc>
        <w:tc>
          <w:tcPr>
            <w:tcW w:w="890" w:type="pct"/>
            <w:noWrap w:val="0"/>
            <w:vAlign w:val="center"/>
          </w:tcPr>
          <w:p w14:paraId="753C8F00">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5</w:t>
            </w:r>
          </w:p>
        </w:tc>
        <w:tc>
          <w:tcPr>
            <w:tcW w:w="890" w:type="pct"/>
            <w:noWrap w:val="0"/>
            <w:vAlign w:val="center"/>
          </w:tcPr>
          <w:p w14:paraId="1FB17427">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-2.02168</w:t>
            </w:r>
          </w:p>
        </w:tc>
        <w:tc>
          <w:tcPr>
            <w:tcW w:w="891" w:type="pct"/>
            <w:noWrap w:val="0"/>
            <w:vAlign w:val="center"/>
          </w:tcPr>
          <w:p w14:paraId="71F83A35">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-4.88962</w:t>
            </w:r>
          </w:p>
        </w:tc>
      </w:tr>
      <w:tr w14:paraId="40078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12E31D10">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p>
        </w:tc>
        <w:tc>
          <w:tcPr>
            <w:tcW w:w="1859" w:type="pct"/>
            <w:vMerge w:val="continue"/>
            <w:noWrap w:val="0"/>
            <w:vAlign w:val="center"/>
          </w:tcPr>
          <w:p w14:paraId="18B35D41">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p>
        </w:tc>
        <w:tc>
          <w:tcPr>
            <w:tcW w:w="890" w:type="pct"/>
            <w:noWrap w:val="0"/>
            <w:vAlign w:val="center"/>
          </w:tcPr>
          <w:p w14:paraId="003C155C">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6</w:t>
            </w:r>
          </w:p>
        </w:tc>
        <w:tc>
          <w:tcPr>
            <w:tcW w:w="890" w:type="pct"/>
            <w:noWrap w:val="0"/>
            <w:vAlign w:val="center"/>
          </w:tcPr>
          <w:p w14:paraId="39475CE0">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-2.44706</w:t>
            </w:r>
          </w:p>
        </w:tc>
        <w:tc>
          <w:tcPr>
            <w:tcW w:w="891" w:type="pct"/>
            <w:noWrap w:val="0"/>
            <w:vAlign w:val="center"/>
          </w:tcPr>
          <w:p w14:paraId="749BD7C6">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-6.02409</w:t>
            </w:r>
          </w:p>
        </w:tc>
      </w:tr>
      <w:tr w14:paraId="145AD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restart"/>
            <w:noWrap w:val="0"/>
            <w:vAlign w:val="center"/>
          </w:tcPr>
          <w:p w14:paraId="5AEDAC25">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r>
              <w:rPr>
                <w:rFonts w:hint="eastAsia" w:ascii="Times New Roman" w:hAnsi="Times New Roman" w:eastAsia="宋体" w:cs="Times New Roman"/>
                <w:b/>
                <w:bCs/>
                <w:color w:val="auto"/>
                <w:kern w:val="0"/>
                <w:sz w:val="21"/>
                <w:szCs w:val="21"/>
                <w:highlight w:val="none"/>
                <w:vertAlign w:val="baseline"/>
                <w:lang w:val="en-US" w:eastAsia="zh-CN" w:bidi="ar-SA"/>
              </w:rPr>
              <w:t>11</w:t>
            </w:r>
          </w:p>
        </w:tc>
        <w:tc>
          <w:tcPr>
            <w:tcW w:w="1859" w:type="pct"/>
            <w:vMerge w:val="restart"/>
            <w:noWrap w:val="0"/>
            <w:vAlign w:val="center"/>
          </w:tcPr>
          <w:p w14:paraId="00F66CD1">
            <w:pPr>
              <w:keepNext w:val="0"/>
              <w:keepLines w:val="0"/>
              <w:pageBreakBefore w:val="0"/>
              <w:widowControl w:val="0"/>
              <w:kinsoku/>
              <w:wordWrap/>
              <w:overflowPunct/>
              <w:topLinePunct w:val="0"/>
              <w:autoSpaceDE/>
              <w:autoSpaceDN/>
              <w:bidi w:val="0"/>
              <w:adjustRightInd/>
              <w:snapToGrid/>
              <w:spacing w:before="0" w:beforeLines="0" w:line="240" w:lineRule="auto"/>
              <w:jc w:val="center"/>
              <w:textAlignment w:val="auto"/>
              <w:rPr>
                <w:rFonts w:hint="eastAsia" w:ascii="Times New Roman" w:hAnsi="Times New Roman" w:eastAsia="宋体" w:cs="Times New Roman"/>
                <w:b w:val="0"/>
                <w:bCs w:val="0"/>
                <w:color w:val="auto"/>
                <w:sz w:val="21"/>
                <w:szCs w:val="21"/>
                <w:highlight w:val="none"/>
                <w:vertAlign w:val="baseline"/>
                <w:lang w:val="en-US" w:eastAsia="zh-CN"/>
              </w:rPr>
            </w:pPr>
            <w:r>
              <w:rPr>
                <w:rFonts w:hint="default" w:ascii="Times New Roman" w:hAnsi="Times New Roman" w:eastAsia="宋体" w:cs="Times New Roman"/>
                <w:b/>
                <w:bCs/>
                <w:color w:val="auto"/>
                <w:sz w:val="21"/>
                <w:szCs w:val="21"/>
                <w:highlight w:val="none"/>
                <w:vertAlign w:val="baseline"/>
                <w:lang w:val="en-US" w:eastAsia="zh-CN"/>
              </w:rPr>
              <w:t>感到心情不好，闷闷不乐</w:t>
            </w:r>
          </w:p>
        </w:tc>
        <w:tc>
          <w:tcPr>
            <w:tcW w:w="890" w:type="pct"/>
            <w:noWrap w:val="0"/>
            <w:vAlign w:val="center"/>
          </w:tcPr>
          <w:p w14:paraId="5ED2D8F2">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w:t>
            </w:r>
          </w:p>
        </w:tc>
        <w:tc>
          <w:tcPr>
            <w:tcW w:w="890" w:type="pct"/>
            <w:noWrap w:val="0"/>
            <w:vAlign w:val="center"/>
          </w:tcPr>
          <w:p w14:paraId="4A630EAE">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4.61446</w:t>
            </w:r>
          </w:p>
        </w:tc>
        <w:tc>
          <w:tcPr>
            <w:tcW w:w="891" w:type="pct"/>
            <w:noWrap w:val="0"/>
            <w:vAlign w:val="center"/>
          </w:tcPr>
          <w:p w14:paraId="2450F3AD">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-16.15395</w:t>
            </w:r>
          </w:p>
        </w:tc>
      </w:tr>
      <w:tr w14:paraId="2C480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76F94EA5">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ascii="Times New Roman" w:hAnsi="Times New Roman" w:eastAsia="宋体" w:cs="宋体"/>
                <w:b/>
                <w:bCs/>
                <w:color w:val="auto"/>
                <w:kern w:val="0"/>
                <w:sz w:val="30"/>
                <w:szCs w:val="30"/>
                <w:highlight w:val="none"/>
                <w:lang w:val="en-US" w:eastAsia="zh-CN" w:bidi="ar-SA"/>
              </w:rPr>
            </w:pPr>
          </w:p>
        </w:tc>
        <w:tc>
          <w:tcPr>
            <w:tcW w:w="1859" w:type="pct"/>
            <w:vMerge w:val="continue"/>
            <w:noWrap w:val="0"/>
            <w:vAlign w:val="center"/>
          </w:tcPr>
          <w:p w14:paraId="3248F468">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ascii="Times New Roman" w:hAnsi="Times New Roman" w:eastAsia="宋体" w:cs="宋体"/>
                <w:color w:val="auto"/>
                <w:kern w:val="0"/>
                <w:sz w:val="21"/>
                <w:szCs w:val="21"/>
                <w:highlight w:val="none"/>
                <w:lang w:val="en-US" w:eastAsia="zh-CN" w:bidi="ar-SA"/>
              </w:rPr>
            </w:pPr>
          </w:p>
        </w:tc>
        <w:tc>
          <w:tcPr>
            <w:tcW w:w="890" w:type="pct"/>
            <w:noWrap w:val="0"/>
            <w:vAlign w:val="center"/>
          </w:tcPr>
          <w:p w14:paraId="67781310">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2</w:t>
            </w:r>
          </w:p>
        </w:tc>
        <w:tc>
          <w:tcPr>
            <w:tcW w:w="890" w:type="pct"/>
            <w:noWrap w:val="0"/>
            <w:vAlign w:val="center"/>
          </w:tcPr>
          <w:p w14:paraId="49E04864">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3.41593</w:t>
            </w:r>
          </w:p>
        </w:tc>
        <w:tc>
          <w:tcPr>
            <w:tcW w:w="891" w:type="pct"/>
            <w:noWrap w:val="0"/>
            <w:vAlign w:val="center"/>
          </w:tcPr>
          <w:p w14:paraId="31F74186">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-10.77911</w:t>
            </w:r>
          </w:p>
        </w:tc>
      </w:tr>
      <w:tr w14:paraId="1974D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32DEE446">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p>
        </w:tc>
        <w:tc>
          <w:tcPr>
            <w:tcW w:w="1859" w:type="pct"/>
            <w:vMerge w:val="continue"/>
            <w:noWrap w:val="0"/>
            <w:vAlign w:val="center"/>
          </w:tcPr>
          <w:p w14:paraId="3DF46F53">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p>
        </w:tc>
        <w:tc>
          <w:tcPr>
            <w:tcW w:w="890" w:type="pct"/>
            <w:noWrap w:val="0"/>
            <w:vAlign w:val="center"/>
          </w:tcPr>
          <w:p w14:paraId="0788E9D3">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3</w:t>
            </w:r>
          </w:p>
        </w:tc>
        <w:tc>
          <w:tcPr>
            <w:tcW w:w="890" w:type="pct"/>
            <w:noWrap w:val="0"/>
            <w:vAlign w:val="center"/>
          </w:tcPr>
          <w:p w14:paraId="24FE7345">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2.34247</w:t>
            </w:r>
          </w:p>
        </w:tc>
        <w:tc>
          <w:tcPr>
            <w:tcW w:w="891" w:type="pct"/>
            <w:noWrap w:val="0"/>
            <w:vAlign w:val="center"/>
          </w:tcPr>
          <w:p w14:paraId="681D4512">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-8.09914</w:t>
            </w:r>
          </w:p>
        </w:tc>
      </w:tr>
      <w:tr w14:paraId="5E24C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748B0918">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p>
        </w:tc>
        <w:tc>
          <w:tcPr>
            <w:tcW w:w="1859" w:type="pct"/>
            <w:vMerge w:val="continue"/>
            <w:noWrap w:val="0"/>
            <w:vAlign w:val="center"/>
          </w:tcPr>
          <w:p w14:paraId="78351B40">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p>
        </w:tc>
        <w:tc>
          <w:tcPr>
            <w:tcW w:w="890" w:type="pct"/>
            <w:noWrap w:val="0"/>
            <w:vAlign w:val="center"/>
          </w:tcPr>
          <w:p w14:paraId="11A1756D">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4</w:t>
            </w:r>
          </w:p>
        </w:tc>
        <w:tc>
          <w:tcPr>
            <w:tcW w:w="890" w:type="pct"/>
            <w:noWrap w:val="0"/>
            <w:vAlign w:val="center"/>
          </w:tcPr>
          <w:p w14:paraId="64F36E70">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1.28044</w:t>
            </w:r>
          </w:p>
        </w:tc>
        <w:tc>
          <w:tcPr>
            <w:tcW w:w="891" w:type="pct"/>
            <w:noWrap w:val="0"/>
            <w:vAlign w:val="center"/>
          </w:tcPr>
          <w:p w14:paraId="7632A7EA">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-4.59055</w:t>
            </w:r>
          </w:p>
        </w:tc>
      </w:tr>
      <w:tr w14:paraId="3477E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174CA5D2">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p>
        </w:tc>
        <w:tc>
          <w:tcPr>
            <w:tcW w:w="1859" w:type="pct"/>
            <w:vMerge w:val="continue"/>
            <w:noWrap w:val="0"/>
            <w:vAlign w:val="center"/>
          </w:tcPr>
          <w:p w14:paraId="1D1280D8">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p>
        </w:tc>
        <w:tc>
          <w:tcPr>
            <w:tcW w:w="890" w:type="pct"/>
            <w:noWrap w:val="0"/>
            <w:vAlign w:val="center"/>
          </w:tcPr>
          <w:p w14:paraId="447959DA">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5</w:t>
            </w:r>
          </w:p>
        </w:tc>
        <w:tc>
          <w:tcPr>
            <w:tcW w:w="890" w:type="pct"/>
            <w:noWrap w:val="0"/>
            <w:vAlign w:val="center"/>
          </w:tcPr>
          <w:p w14:paraId="533FA5F6">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0.41188</w:t>
            </w:r>
          </w:p>
        </w:tc>
        <w:tc>
          <w:tcPr>
            <w:tcW w:w="891" w:type="pct"/>
            <w:noWrap w:val="0"/>
            <w:vAlign w:val="center"/>
          </w:tcPr>
          <w:p w14:paraId="2CF69155">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-1.95934</w:t>
            </w:r>
          </w:p>
        </w:tc>
      </w:tr>
      <w:tr w14:paraId="1B4F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0BD8A669">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p>
        </w:tc>
        <w:tc>
          <w:tcPr>
            <w:tcW w:w="1859" w:type="pct"/>
            <w:vMerge w:val="continue"/>
            <w:noWrap w:val="0"/>
            <w:vAlign w:val="center"/>
          </w:tcPr>
          <w:p w14:paraId="719DF4B7">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p>
        </w:tc>
        <w:tc>
          <w:tcPr>
            <w:tcW w:w="890" w:type="pct"/>
            <w:noWrap w:val="0"/>
            <w:vAlign w:val="center"/>
          </w:tcPr>
          <w:p w14:paraId="7F7E9687">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6</w:t>
            </w:r>
          </w:p>
        </w:tc>
        <w:tc>
          <w:tcPr>
            <w:tcW w:w="890" w:type="pct"/>
            <w:noWrap w:val="0"/>
            <w:vAlign w:val="center"/>
          </w:tcPr>
          <w:p w14:paraId="398B6AF3">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w:t>
            </w:r>
          </w:p>
        </w:tc>
        <w:tc>
          <w:tcPr>
            <w:tcW w:w="891" w:type="pct"/>
            <w:noWrap w:val="0"/>
            <w:vAlign w:val="center"/>
          </w:tcPr>
          <w:p w14:paraId="150CAAA4">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w:t>
            </w:r>
          </w:p>
        </w:tc>
      </w:tr>
      <w:tr w14:paraId="023A3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restart"/>
            <w:noWrap w:val="0"/>
            <w:vAlign w:val="center"/>
          </w:tcPr>
          <w:p w14:paraId="4A0D056D">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r>
              <w:rPr>
                <w:rFonts w:hint="eastAsia" w:ascii="Times New Roman" w:hAnsi="Times New Roman" w:eastAsia="宋体" w:cs="Times New Roman"/>
                <w:b/>
                <w:bCs/>
                <w:color w:val="auto"/>
                <w:kern w:val="0"/>
                <w:sz w:val="21"/>
                <w:szCs w:val="21"/>
                <w:highlight w:val="none"/>
                <w:vertAlign w:val="baseline"/>
                <w:lang w:val="en-US" w:eastAsia="zh-CN" w:bidi="ar-SA"/>
              </w:rPr>
              <w:t>12</w:t>
            </w:r>
          </w:p>
        </w:tc>
        <w:tc>
          <w:tcPr>
            <w:tcW w:w="1859" w:type="pct"/>
            <w:vMerge w:val="restart"/>
            <w:noWrap w:val="0"/>
            <w:vAlign w:val="center"/>
          </w:tcPr>
          <w:p w14:paraId="311D7E6D">
            <w:pPr>
              <w:keepNext w:val="0"/>
              <w:keepLines w:val="0"/>
              <w:pageBreakBefore w:val="0"/>
              <w:widowControl w:val="0"/>
              <w:kinsoku/>
              <w:wordWrap/>
              <w:overflowPunct/>
              <w:topLinePunct w:val="0"/>
              <w:autoSpaceDE/>
              <w:autoSpaceDN/>
              <w:bidi w:val="0"/>
              <w:adjustRightInd/>
              <w:snapToGrid/>
              <w:spacing w:before="0" w:beforeLines="0" w:line="240" w:lineRule="auto"/>
              <w:jc w:val="center"/>
              <w:textAlignment w:val="auto"/>
              <w:rPr>
                <w:rFonts w:hint="eastAsia" w:ascii="Times New Roman" w:hAnsi="Times New Roman" w:eastAsia="宋体" w:cs="Times New Roman"/>
                <w:b w:val="0"/>
                <w:bCs w:val="0"/>
                <w:color w:val="auto"/>
                <w:sz w:val="21"/>
                <w:szCs w:val="21"/>
                <w:highlight w:val="none"/>
                <w:vertAlign w:val="baseline"/>
                <w:lang w:val="en-US" w:eastAsia="zh-CN"/>
              </w:rPr>
            </w:pPr>
            <w:r>
              <w:rPr>
                <w:rFonts w:hint="default" w:ascii="Times New Roman" w:hAnsi="Times New Roman" w:eastAsia="宋体" w:cs="Times New Roman"/>
                <w:b/>
                <w:bCs/>
                <w:color w:val="auto"/>
                <w:sz w:val="21"/>
                <w:szCs w:val="21"/>
                <w:highlight w:val="none"/>
                <w:vertAlign w:val="baseline"/>
                <w:lang w:val="en-US" w:eastAsia="zh-CN"/>
              </w:rPr>
              <w:t>妨碍社交活动</w:t>
            </w:r>
          </w:p>
        </w:tc>
        <w:tc>
          <w:tcPr>
            <w:tcW w:w="890" w:type="pct"/>
            <w:noWrap w:val="0"/>
            <w:vAlign w:val="center"/>
          </w:tcPr>
          <w:p w14:paraId="6C9CC4F1">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1</w:t>
            </w:r>
          </w:p>
        </w:tc>
        <w:tc>
          <w:tcPr>
            <w:tcW w:w="890" w:type="pct"/>
            <w:noWrap w:val="0"/>
            <w:vAlign w:val="center"/>
          </w:tcPr>
          <w:p w14:paraId="443CB26B">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-0.33682</w:t>
            </w:r>
          </w:p>
        </w:tc>
        <w:tc>
          <w:tcPr>
            <w:tcW w:w="891" w:type="pct"/>
            <w:noWrap w:val="0"/>
            <w:vAlign w:val="center"/>
          </w:tcPr>
          <w:p w14:paraId="7EC90F21">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-6.29724</w:t>
            </w:r>
          </w:p>
        </w:tc>
      </w:tr>
      <w:tr w14:paraId="3AB56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51B1D164">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ascii="Times New Roman" w:hAnsi="Times New Roman" w:eastAsia="宋体" w:cs="宋体"/>
                <w:b/>
                <w:bCs/>
                <w:color w:val="auto"/>
                <w:kern w:val="0"/>
                <w:sz w:val="30"/>
                <w:szCs w:val="30"/>
                <w:highlight w:val="none"/>
                <w:lang w:val="en-US" w:eastAsia="zh-CN" w:bidi="ar-SA"/>
              </w:rPr>
            </w:pPr>
          </w:p>
        </w:tc>
        <w:tc>
          <w:tcPr>
            <w:tcW w:w="1859" w:type="pct"/>
            <w:vMerge w:val="continue"/>
            <w:noWrap w:val="0"/>
            <w:vAlign w:val="center"/>
          </w:tcPr>
          <w:p w14:paraId="4B542E4C">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ascii="Times New Roman" w:hAnsi="Times New Roman" w:eastAsia="宋体" w:cs="宋体"/>
                <w:color w:val="auto"/>
                <w:kern w:val="0"/>
                <w:sz w:val="30"/>
                <w:szCs w:val="30"/>
                <w:highlight w:val="none"/>
                <w:lang w:val="en-US" w:eastAsia="zh-CN" w:bidi="ar-SA"/>
              </w:rPr>
            </w:pPr>
          </w:p>
        </w:tc>
        <w:tc>
          <w:tcPr>
            <w:tcW w:w="890" w:type="pct"/>
            <w:noWrap w:val="0"/>
            <w:vAlign w:val="center"/>
          </w:tcPr>
          <w:p w14:paraId="2AAC5261">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2</w:t>
            </w:r>
          </w:p>
        </w:tc>
        <w:tc>
          <w:tcPr>
            <w:tcW w:w="890" w:type="pct"/>
            <w:noWrap w:val="0"/>
            <w:vAlign w:val="center"/>
          </w:tcPr>
          <w:p w14:paraId="78A99FAF">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-0.94342</w:t>
            </w:r>
          </w:p>
        </w:tc>
        <w:tc>
          <w:tcPr>
            <w:tcW w:w="891" w:type="pct"/>
            <w:noWrap w:val="0"/>
            <w:vAlign w:val="center"/>
          </w:tcPr>
          <w:p w14:paraId="5352E4A4">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-8.26066</w:t>
            </w:r>
          </w:p>
        </w:tc>
      </w:tr>
      <w:tr w14:paraId="4F3B8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7DDE65D2">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p>
        </w:tc>
        <w:tc>
          <w:tcPr>
            <w:tcW w:w="1859" w:type="pct"/>
            <w:vMerge w:val="continue"/>
            <w:noWrap w:val="0"/>
            <w:vAlign w:val="center"/>
          </w:tcPr>
          <w:p w14:paraId="3376F960">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p>
        </w:tc>
        <w:tc>
          <w:tcPr>
            <w:tcW w:w="890" w:type="pct"/>
            <w:noWrap w:val="0"/>
            <w:vAlign w:val="center"/>
          </w:tcPr>
          <w:p w14:paraId="6615726D">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3</w:t>
            </w:r>
          </w:p>
        </w:tc>
        <w:tc>
          <w:tcPr>
            <w:tcW w:w="890" w:type="pct"/>
            <w:noWrap w:val="0"/>
            <w:vAlign w:val="center"/>
          </w:tcPr>
          <w:p w14:paraId="784066EC">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-0.18043</w:t>
            </w:r>
          </w:p>
        </w:tc>
        <w:tc>
          <w:tcPr>
            <w:tcW w:w="891" w:type="pct"/>
            <w:noWrap w:val="0"/>
            <w:vAlign w:val="center"/>
          </w:tcPr>
          <w:p w14:paraId="4D8A2B53">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-5.63286</w:t>
            </w:r>
          </w:p>
        </w:tc>
      </w:tr>
      <w:tr w14:paraId="31524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14ABA5F3">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p>
        </w:tc>
        <w:tc>
          <w:tcPr>
            <w:tcW w:w="1859" w:type="pct"/>
            <w:vMerge w:val="continue"/>
            <w:noWrap w:val="0"/>
            <w:vAlign w:val="center"/>
          </w:tcPr>
          <w:p w14:paraId="09D5BD93">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p>
        </w:tc>
        <w:tc>
          <w:tcPr>
            <w:tcW w:w="890" w:type="pct"/>
            <w:noWrap w:val="0"/>
            <w:vAlign w:val="center"/>
          </w:tcPr>
          <w:p w14:paraId="48CC5CD8">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4</w:t>
            </w:r>
          </w:p>
        </w:tc>
        <w:tc>
          <w:tcPr>
            <w:tcW w:w="890" w:type="pct"/>
            <w:noWrap w:val="0"/>
            <w:vAlign w:val="center"/>
          </w:tcPr>
          <w:p w14:paraId="3C2B7F95">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0.11038</w:t>
            </w:r>
          </w:p>
        </w:tc>
        <w:tc>
          <w:tcPr>
            <w:tcW w:w="891" w:type="pct"/>
            <w:noWrap w:val="0"/>
            <w:vAlign w:val="center"/>
          </w:tcPr>
          <w:p w14:paraId="5E89FA75">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-3.13896</w:t>
            </w:r>
          </w:p>
        </w:tc>
      </w:tr>
      <w:tr w14:paraId="4331F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67" w:type="pct"/>
            <w:vMerge w:val="continue"/>
            <w:noWrap w:val="0"/>
            <w:vAlign w:val="center"/>
          </w:tcPr>
          <w:p w14:paraId="5304DCBE">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bCs/>
                <w:color w:val="auto"/>
                <w:kern w:val="0"/>
                <w:sz w:val="21"/>
                <w:szCs w:val="21"/>
                <w:highlight w:val="none"/>
                <w:vertAlign w:val="baseline"/>
                <w:lang w:val="en-US" w:eastAsia="zh-CN" w:bidi="ar-SA"/>
              </w:rPr>
            </w:pPr>
          </w:p>
        </w:tc>
        <w:tc>
          <w:tcPr>
            <w:tcW w:w="1859" w:type="pct"/>
            <w:vMerge w:val="continue"/>
            <w:noWrap w:val="0"/>
            <w:vAlign w:val="center"/>
          </w:tcPr>
          <w:p w14:paraId="5A633CC9">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p>
        </w:tc>
        <w:tc>
          <w:tcPr>
            <w:tcW w:w="890" w:type="pct"/>
            <w:noWrap w:val="0"/>
            <w:vAlign w:val="center"/>
          </w:tcPr>
          <w:p w14:paraId="46A6B680">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5</w:t>
            </w:r>
          </w:p>
        </w:tc>
        <w:tc>
          <w:tcPr>
            <w:tcW w:w="890" w:type="pct"/>
            <w:noWrap w:val="0"/>
            <w:vAlign w:val="center"/>
          </w:tcPr>
          <w:p w14:paraId="4EC7FC20">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w:t>
            </w:r>
          </w:p>
        </w:tc>
        <w:tc>
          <w:tcPr>
            <w:tcW w:w="891" w:type="pct"/>
            <w:noWrap w:val="0"/>
            <w:vAlign w:val="center"/>
          </w:tcPr>
          <w:p w14:paraId="21D19FBE">
            <w:pPr>
              <w:keepNext w:val="0"/>
              <w:keepLines w:val="0"/>
              <w:pageBreakBefore w:val="0"/>
              <w:widowControl w:val="0"/>
              <w:kinsoku/>
              <w:wordWrap/>
              <w:overflowPunct/>
              <w:topLinePunct w:val="0"/>
              <w:autoSpaceDE/>
              <w:autoSpaceDN/>
              <w:bidi w:val="0"/>
              <w:adjustRightInd/>
              <w:snapToGrid/>
              <w:spacing w:before="0" w:beforeLines="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kern w:val="0"/>
                <w:sz w:val="21"/>
                <w:szCs w:val="21"/>
                <w:highlight w:val="none"/>
                <w:vertAlign w:val="baseline"/>
                <w:lang w:val="en-US" w:eastAsia="zh-CN" w:bidi="ar-SA"/>
              </w:rPr>
            </w:pPr>
            <w:r>
              <w:rPr>
                <w:rFonts w:hint="eastAsia" w:ascii="Times New Roman" w:hAnsi="Times New Roman" w:eastAsia="宋体" w:cs="Times New Roman"/>
                <w:b w:val="0"/>
                <w:bCs w:val="0"/>
                <w:color w:val="auto"/>
                <w:kern w:val="0"/>
                <w:sz w:val="21"/>
                <w:szCs w:val="21"/>
                <w:highlight w:val="none"/>
                <w:vertAlign w:val="baseline"/>
                <w:lang w:val="en-US" w:eastAsia="zh-CN" w:bidi="ar-SA"/>
              </w:rPr>
              <w:t>0</w:t>
            </w:r>
          </w:p>
        </w:tc>
      </w:tr>
    </w:tbl>
    <w:p w14:paraId="3AAA9281">
      <w:pPr>
        <w:keepNext w:val="0"/>
        <w:keepLines w:val="0"/>
        <w:pageBreakBefore w:val="0"/>
        <w:widowControl w:val="0"/>
        <w:kinsoku/>
        <w:wordWrap/>
        <w:overflowPunct/>
        <w:topLinePunct w:val="0"/>
        <w:autoSpaceDE/>
        <w:autoSpaceDN/>
        <w:bidi w:val="0"/>
        <w:adjustRightInd/>
        <w:snapToGrid/>
        <w:spacing w:before="157" w:beforeLines="50" w:line="360" w:lineRule="auto"/>
        <w:ind w:firstLine="422" w:firstLineChars="200"/>
        <w:textAlignment w:val="auto"/>
        <w:rPr>
          <w:rFonts w:hint="default" w:ascii="Times New Roman" w:hAnsi="Times New Roman"/>
          <w:color w:val="auto"/>
          <w:highlight w:val="none"/>
          <w:lang w:val="en-US" w:eastAsia="zh-CN"/>
        </w:rPr>
      </w:pPr>
      <w:r>
        <w:rPr>
          <w:rFonts w:hint="default" w:ascii="Times New Roman" w:hAnsi="Times New Roman" w:eastAsia="宋体" w:cs="宋体"/>
          <w:b/>
          <w:bCs/>
          <w:color w:val="auto"/>
          <w:kern w:val="0"/>
          <w:sz w:val="21"/>
          <w:szCs w:val="21"/>
          <w:highlight w:val="none"/>
          <w:lang w:val="en-US" w:eastAsia="zh-CN" w:bidi="ar-SA"/>
        </w:rPr>
        <w:t>记分方法：</w:t>
      </w:r>
      <w:r>
        <w:rPr>
          <w:rFonts w:hint="default" w:ascii="Times New Roman" w:hAnsi="Times New Roman" w:eastAsia="宋体" w:cs="宋体"/>
          <w:color w:val="auto"/>
          <w:kern w:val="0"/>
          <w:sz w:val="21"/>
          <w:szCs w:val="21"/>
          <w:highlight w:val="none"/>
          <w:lang w:val="en-US" w:eastAsia="zh-CN" w:bidi="ar-SA"/>
        </w:rPr>
        <w:t>根据每个条目的标准化分值，对照表格转化为生理分值和心理分值。把12项生理分值相加，并加上56.57706即得到生理总分(physical component summary, PCS)。把12项心理分值相加，并加上60.75781心理总分(mental component summary, MCS)。</w:t>
      </w:r>
      <w:r>
        <w:rPr>
          <w:rFonts w:hint="default" w:ascii="Times New Roman" w:hAnsi="Times New Roman"/>
          <w:color w:val="auto"/>
          <w:highlight w:val="none"/>
          <w:lang w:val="en-US" w:eastAsia="zh-CN"/>
        </w:rPr>
        <w:br w:type="page"/>
      </w:r>
    </w:p>
    <w:p w14:paraId="14131476">
      <w:pPr>
        <w:pStyle w:val="3"/>
        <w:jc w:val="center"/>
        <w:rPr>
          <w:rFonts w:hint="default" w:ascii="Times New Roman" w:hAnsi="Times New Roman" w:cs="Times New Roman"/>
          <w:color w:val="auto"/>
          <w:highlight w:val="none"/>
        </w:rPr>
      </w:pPr>
      <w:bookmarkStart w:id="231" w:name="_Toc22447"/>
      <w:r>
        <w:rPr>
          <w:rFonts w:hint="default" w:ascii="Times New Roman" w:hAnsi="Times New Roman" w:cs="黑体"/>
          <w:b/>
          <w:bCs/>
          <w:color w:val="auto"/>
          <w:szCs w:val="28"/>
          <w:highlight w:val="none"/>
          <w:lang w:eastAsia="zh-CN"/>
        </w:rPr>
        <w:t>声明</w:t>
      </w:r>
      <w:bookmarkEnd w:id="231"/>
    </w:p>
    <w:p w14:paraId="54DE9E68">
      <w:pPr>
        <w:pStyle w:val="5"/>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我同意：</w:t>
      </w:r>
    </w:p>
    <w:p w14:paraId="575700B3">
      <w:pPr>
        <w:pStyle w:val="5"/>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宋体"/>
          <w:color w:val="auto"/>
          <w:highlight w:val="none"/>
        </w:rPr>
      </w:pPr>
      <w:r>
        <w:rPr>
          <w:rFonts w:hint="default" w:ascii="Times New Roman" w:hAnsi="Times New Roman" w:cs="宋体"/>
          <w:color w:val="auto"/>
          <w:highlight w:val="none"/>
          <w:lang w:val="en-US" w:eastAsia="zh-CN"/>
        </w:rPr>
        <w:t xml:space="preserve">(1) </w:t>
      </w:r>
      <w:r>
        <w:rPr>
          <w:rFonts w:hint="default" w:ascii="Times New Roman" w:hAnsi="Times New Roman" w:cs="宋体"/>
          <w:color w:val="auto"/>
          <w:highlight w:val="none"/>
        </w:rPr>
        <w:t>严格按照赫尔辛基宣言、中国现行法规、以及试验方案的要求进行本次临床试验。</w:t>
      </w:r>
    </w:p>
    <w:p w14:paraId="03DAB290">
      <w:pPr>
        <w:pStyle w:val="5"/>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宋体"/>
          <w:color w:val="auto"/>
          <w:highlight w:val="none"/>
        </w:rPr>
      </w:pPr>
      <w:r>
        <w:rPr>
          <w:rFonts w:hint="default" w:ascii="Times New Roman" w:hAnsi="Times New Roman" w:cs="宋体"/>
          <w:color w:val="auto"/>
          <w:highlight w:val="none"/>
          <w:lang w:val="en-US" w:eastAsia="zh-CN"/>
        </w:rPr>
        <w:t xml:space="preserve">(2) </w:t>
      </w:r>
      <w:r>
        <w:rPr>
          <w:rFonts w:hint="default" w:ascii="Times New Roman" w:hAnsi="Times New Roman" w:cs="宋体"/>
          <w:color w:val="auto"/>
          <w:highlight w:val="none"/>
        </w:rPr>
        <w:t>将所要求的全部数据准确记录于病例报告表中，按时完成临床试验报告。</w:t>
      </w:r>
    </w:p>
    <w:p w14:paraId="49506A24">
      <w:pPr>
        <w:pStyle w:val="5"/>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宋体"/>
          <w:color w:val="auto"/>
          <w:highlight w:val="none"/>
        </w:rPr>
      </w:pPr>
      <w:r>
        <w:rPr>
          <w:rFonts w:hint="default" w:ascii="Times New Roman" w:hAnsi="Times New Roman" w:cs="宋体"/>
          <w:color w:val="auto"/>
          <w:highlight w:val="none"/>
          <w:lang w:val="en-US" w:eastAsia="zh-CN"/>
        </w:rPr>
        <w:t xml:space="preserve">(3) </w:t>
      </w:r>
      <w:r>
        <w:rPr>
          <w:rFonts w:hint="default" w:ascii="Times New Roman" w:hAnsi="Times New Roman" w:cs="宋体"/>
          <w:color w:val="auto"/>
          <w:highlight w:val="none"/>
        </w:rPr>
        <w:t>试验用</w:t>
      </w:r>
      <w:r>
        <w:rPr>
          <w:rFonts w:hint="eastAsia" w:ascii="Times New Roman" w:hAnsi="Times New Roman" w:cs="宋体"/>
          <w:color w:val="auto"/>
          <w:highlight w:val="none"/>
          <w:lang w:val="en-US" w:eastAsia="zh-CN"/>
        </w:rPr>
        <w:t>产品</w:t>
      </w:r>
      <w:r>
        <w:rPr>
          <w:rFonts w:hint="default" w:ascii="Times New Roman" w:hAnsi="Times New Roman" w:cs="宋体"/>
          <w:color w:val="auto"/>
          <w:highlight w:val="none"/>
        </w:rPr>
        <w:t>仅用于本次临床试验。</w:t>
      </w:r>
    </w:p>
    <w:p w14:paraId="0D43A7DC">
      <w:pPr>
        <w:pStyle w:val="5"/>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宋体"/>
          <w:color w:val="auto"/>
          <w:highlight w:val="none"/>
        </w:rPr>
      </w:pPr>
      <w:r>
        <w:rPr>
          <w:rFonts w:hint="default" w:ascii="Times New Roman" w:hAnsi="Times New Roman" w:cs="宋体"/>
          <w:color w:val="auto"/>
          <w:highlight w:val="none"/>
          <w:lang w:val="en-US" w:eastAsia="zh-CN"/>
        </w:rPr>
        <w:t xml:space="preserve">(4) </w:t>
      </w:r>
      <w:r>
        <w:rPr>
          <w:rFonts w:hint="default" w:ascii="Times New Roman" w:hAnsi="Times New Roman" w:cs="宋体"/>
          <w:color w:val="auto"/>
          <w:highlight w:val="none"/>
        </w:rPr>
        <w:t>允许申办者授权或派遣的监查员、核查员和监管部门对该项临床试验进行监查、核查和检查。</w:t>
      </w:r>
    </w:p>
    <w:p w14:paraId="58B6A9FE">
      <w:pPr>
        <w:pStyle w:val="5"/>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宋体"/>
          <w:color w:val="auto"/>
          <w:highlight w:val="none"/>
        </w:rPr>
      </w:pPr>
      <w:r>
        <w:rPr>
          <w:rFonts w:hint="default" w:ascii="Times New Roman" w:hAnsi="Times New Roman" w:cs="宋体"/>
          <w:color w:val="auto"/>
          <w:highlight w:val="none"/>
          <w:lang w:val="en-US" w:eastAsia="zh-CN"/>
        </w:rPr>
        <w:t xml:space="preserve">(5) </w:t>
      </w:r>
      <w:r>
        <w:rPr>
          <w:rFonts w:hint="default" w:ascii="Times New Roman" w:hAnsi="Times New Roman" w:cs="宋体"/>
          <w:color w:val="auto"/>
          <w:highlight w:val="none"/>
        </w:rPr>
        <w:t>严格履行各方签署的临床试验合同/协议条款。</w:t>
      </w:r>
    </w:p>
    <w:p w14:paraId="754A89CB">
      <w:pPr>
        <w:pStyle w:val="5"/>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color w:val="auto"/>
          <w:sz w:val="21"/>
          <w:szCs w:val="21"/>
          <w:highlight w:val="none"/>
        </w:rPr>
      </w:pPr>
      <w:r>
        <w:rPr>
          <w:rFonts w:hint="default" w:ascii="Times New Roman" w:hAnsi="Times New Roman" w:cs="宋体"/>
          <w:color w:val="auto"/>
          <w:highlight w:val="none"/>
        </w:rPr>
        <w:t>我已全部阅读了临床试验方案，包括以上的声明，我同意以上全部内容。</w:t>
      </w:r>
    </w:p>
    <w:tbl>
      <w:tblPr>
        <w:tblStyle w:val="28"/>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20"/>
      </w:tblGrid>
      <w:tr w14:paraId="31209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9" w:hRule="atLeast"/>
        </w:trPr>
        <w:tc>
          <w:tcPr>
            <w:tcW w:w="7920" w:type="dxa"/>
            <w:noWrap w:val="0"/>
            <w:vAlign w:val="top"/>
          </w:tcPr>
          <w:p w14:paraId="28771F75">
            <w:pPr>
              <w:keepNext w:val="0"/>
              <w:keepLines w:val="0"/>
              <w:pageBreakBefore w:val="0"/>
              <w:widowControl w:val="0"/>
              <w:kinsoku/>
              <w:wordWrap/>
              <w:overflowPunct/>
              <w:topLinePunct w:val="0"/>
              <w:autoSpaceDE/>
              <w:autoSpaceDN/>
              <w:bidi w:val="0"/>
              <w:adjustRightInd/>
              <w:snapToGrid/>
              <w:spacing w:before="0" w:beforeLines="-2147483648" w:line="360" w:lineRule="auto"/>
              <w:ind w:left="0" w:leftChars="0" w:right="0" w:rightChars="0"/>
              <w:textAlignment w:val="auto"/>
              <w:outlineLvl w:val="9"/>
              <w:rPr>
                <w:rFonts w:hint="default" w:ascii="Times New Roman" w:hAnsi="Times New Roman" w:eastAsia="黑体" w:cs="Times New Roman"/>
                <w:color w:val="auto"/>
                <w:sz w:val="21"/>
                <w:szCs w:val="21"/>
                <w:highlight w:val="none"/>
              </w:rPr>
            </w:pPr>
            <w:r>
              <w:rPr>
                <w:rFonts w:hint="default" w:ascii="Times New Roman" w:hAnsi="Times New Roman" w:eastAsia="黑体" w:cs="Times New Roman"/>
                <w:color w:val="auto"/>
                <w:sz w:val="21"/>
                <w:szCs w:val="21"/>
                <w:highlight w:val="none"/>
              </w:rPr>
              <w:t>研究者意见</w:t>
            </w:r>
          </w:p>
          <w:p w14:paraId="40722132">
            <w:pPr>
              <w:pStyle w:val="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宋体"/>
                <w:color w:val="auto"/>
                <w:highlight w:val="none"/>
              </w:rPr>
            </w:pPr>
          </w:p>
          <w:p w14:paraId="7CEC9CA8">
            <w:pPr>
              <w:pStyle w:val="2"/>
              <w:keepNext w:val="0"/>
              <w:keepLines w:val="0"/>
              <w:pageBreakBefore w:val="0"/>
              <w:widowControl w:val="0"/>
              <w:kinsoku/>
              <w:wordWrap/>
              <w:overflowPunct/>
              <w:topLinePunct w:val="0"/>
              <w:bidi w:val="0"/>
              <w:snapToGrid/>
              <w:spacing w:line="240" w:lineRule="auto"/>
              <w:textAlignment w:val="auto"/>
              <w:rPr>
                <w:rFonts w:hint="default" w:ascii="Times New Roman" w:hAnsi="Times New Roman"/>
                <w:color w:val="auto"/>
                <w:highlight w:val="none"/>
              </w:rPr>
            </w:pPr>
          </w:p>
          <w:p w14:paraId="01811D3D">
            <w:pPr>
              <w:keepNext w:val="0"/>
              <w:keepLines w:val="0"/>
              <w:pageBreakBefore w:val="0"/>
              <w:widowControl w:val="0"/>
              <w:kinsoku/>
              <w:wordWrap/>
              <w:overflowPunct/>
              <w:topLinePunct w:val="0"/>
              <w:autoSpaceDE/>
              <w:autoSpaceDN/>
              <w:bidi w:val="0"/>
              <w:adjustRightInd/>
              <w:snapToGrid/>
              <w:spacing w:before="0" w:beforeLines="-2147483648" w:line="360" w:lineRule="auto"/>
              <w:ind w:left="0" w:leftChars="0" w:right="0" w:rightChars="0"/>
              <w:jc w:val="left"/>
              <w:textAlignment w:val="auto"/>
              <w:outlineLvl w:val="9"/>
              <w:rPr>
                <w:rFonts w:hint="default" w:ascii="Times New Roman" w:hAnsi="Times New Roman" w:cs="Times New Roman"/>
                <w:color w:val="auto"/>
                <w:sz w:val="21"/>
                <w:szCs w:val="21"/>
                <w:highlight w:val="none"/>
              </w:rPr>
            </w:pPr>
          </w:p>
          <w:p w14:paraId="4252A18E">
            <w:pPr>
              <w:keepNext w:val="0"/>
              <w:keepLines w:val="0"/>
              <w:pageBreakBefore w:val="0"/>
              <w:widowControl w:val="0"/>
              <w:kinsoku/>
              <w:wordWrap/>
              <w:overflowPunct/>
              <w:topLinePunct w:val="0"/>
              <w:autoSpaceDE/>
              <w:autoSpaceDN/>
              <w:bidi w:val="0"/>
              <w:adjustRightInd/>
              <w:snapToGrid/>
              <w:spacing w:before="0" w:beforeLines="-2147483648" w:line="360" w:lineRule="auto"/>
              <w:ind w:left="0" w:leftChars="0" w:right="0" w:rightChars="0"/>
              <w:jc w:val="left"/>
              <w:textAlignment w:val="auto"/>
              <w:outlineLvl w:val="9"/>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lang w:val="en-US" w:eastAsia="zh-CN"/>
              </w:rPr>
              <w:t xml:space="preserve">                                                    </w:t>
            </w:r>
            <w:r>
              <w:rPr>
                <w:rFonts w:hint="default" w:ascii="Times New Roman" w:hAnsi="Times New Roman" w:cs="Times New Roman"/>
                <w:color w:val="auto"/>
                <w:sz w:val="21"/>
                <w:szCs w:val="21"/>
                <w:highlight w:val="none"/>
              </w:rPr>
              <w:t>签名</w:t>
            </w:r>
          </w:p>
          <w:p w14:paraId="7E99C818">
            <w:pPr>
              <w:keepNext w:val="0"/>
              <w:keepLines w:val="0"/>
              <w:pageBreakBefore w:val="0"/>
              <w:widowControl w:val="0"/>
              <w:kinsoku/>
              <w:wordWrap/>
              <w:overflowPunct/>
              <w:topLinePunct w:val="0"/>
              <w:autoSpaceDE/>
              <w:autoSpaceDN/>
              <w:bidi w:val="0"/>
              <w:adjustRightInd/>
              <w:snapToGrid/>
              <w:spacing w:before="0" w:beforeLines="-2147483648" w:line="360" w:lineRule="auto"/>
              <w:ind w:left="0" w:leftChars="0" w:right="0" w:rightChars="0"/>
              <w:jc w:val="left"/>
              <w:textAlignment w:val="auto"/>
              <w:outlineLvl w:val="9"/>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lang w:val="en-US" w:eastAsia="zh-CN"/>
              </w:rPr>
              <w:t xml:space="preserve">                                               </w:t>
            </w:r>
            <w:r>
              <w:rPr>
                <w:rFonts w:hint="default" w:ascii="Times New Roman" w:hAnsi="Times New Roman" w:cs="Times New Roman"/>
                <w:color w:val="auto"/>
                <w:sz w:val="21"/>
                <w:szCs w:val="21"/>
                <w:highlight w:val="none"/>
              </w:rPr>
              <w:t>年　　月　　日</w:t>
            </w:r>
          </w:p>
        </w:tc>
      </w:tr>
    </w:tbl>
    <w:p w14:paraId="7B40D6F5">
      <w:pPr>
        <w:pStyle w:val="5"/>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color w:val="auto"/>
          <w:sz w:val="21"/>
          <w:szCs w:val="21"/>
          <w:highlight w:val="none"/>
        </w:rPr>
      </w:pPr>
    </w:p>
    <w:tbl>
      <w:tblPr>
        <w:tblStyle w:val="28"/>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32"/>
      </w:tblGrid>
      <w:tr w14:paraId="17106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0" w:hRule="atLeast"/>
        </w:trPr>
        <w:tc>
          <w:tcPr>
            <w:tcW w:w="7932" w:type="dxa"/>
            <w:noWrap w:val="0"/>
            <w:vAlign w:val="top"/>
          </w:tcPr>
          <w:p w14:paraId="60213003">
            <w:pPr>
              <w:keepNext w:val="0"/>
              <w:keepLines w:val="0"/>
              <w:pageBreakBefore w:val="0"/>
              <w:widowControl w:val="0"/>
              <w:kinsoku/>
              <w:wordWrap/>
              <w:overflowPunct/>
              <w:topLinePunct w:val="0"/>
              <w:autoSpaceDE/>
              <w:autoSpaceDN/>
              <w:bidi w:val="0"/>
              <w:adjustRightInd/>
              <w:snapToGrid/>
              <w:spacing w:before="0" w:beforeLines="-2147483648" w:line="360" w:lineRule="auto"/>
              <w:ind w:left="0" w:leftChars="0" w:right="0" w:rightChars="0"/>
              <w:textAlignment w:val="auto"/>
              <w:outlineLvl w:val="9"/>
              <w:rPr>
                <w:rFonts w:hint="default" w:ascii="Times New Roman" w:hAnsi="Times New Roman" w:cs="Times New Roman"/>
                <w:color w:val="auto"/>
                <w:sz w:val="21"/>
                <w:szCs w:val="21"/>
                <w:highlight w:val="none"/>
              </w:rPr>
            </w:pPr>
            <w:r>
              <w:rPr>
                <w:rFonts w:hint="default" w:ascii="Times New Roman" w:hAnsi="Times New Roman" w:eastAsia="黑体" w:cs="Times New Roman"/>
                <w:color w:val="auto"/>
                <w:sz w:val="21"/>
                <w:szCs w:val="21"/>
                <w:highlight w:val="none"/>
              </w:rPr>
              <w:t>临床试验机构意见</w:t>
            </w:r>
            <w:r>
              <w:rPr>
                <w:rFonts w:hint="default" w:ascii="Times New Roman" w:hAnsi="Times New Roman" w:cs="Times New Roman"/>
                <w:color w:val="auto"/>
                <w:sz w:val="21"/>
                <w:szCs w:val="21"/>
                <w:highlight w:val="none"/>
              </w:rPr>
              <w:t>　　　　　　　　　　　　　　　　　　　　　　　　　　　　　　</w:t>
            </w:r>
          </w:p>
          <w:p w14:paraId="7BC16A74">
            <w:pPr>
              <w:keepNext w:val="0"/>
              <w:keepLines w:val="0"/>
              <w:pageBreakBefore w:val="0"/>
              <w:widowControl w:val="0"/>
              <w:kinsoku/>
              <w:wordWrap/>
              <w:overflowPunct/>
              <w:topLinePunct w:val="0"/>
              <w:autoSpaceDE/>
              <w:autoSpaceDN/>
              <w:bidi w:val="0"/>
              <w:adjustRightInd/>
              <w:snapToGrid/>
              <w:spacing w:before="0" w:beforeLines="-2147483648" w:line="240" w:lineRule="auto"/>
              <w:ind w:left="0" w:leftChars="0" w:right="0" w:rightChars="0"/>
              <w:jc w:val="left"/>
              <w:textAlignment w:val="auto"/>
              <w:outlineLvl w:val="9"/>
              <w:rPr>
                <w:rFonts w:hint="default" w:ascii="Times New Roman" w:hAnsi="Times New Roman" w:cs="Times New Roman"/>
                <w:color w:val="auto"/>
                <w:sz w:val="21"/>
                <w:szCs w:val="21"/>
                <w:highlight w:val="none"/>
                <w:lang w:val="en-US" w:eastAsia="zh-CN"/>
              </w:rPr>
            </w:pPr>
            <w:r>
              <w:rPr>
                <w:rFonts w:hint="default" w:ascii="Times New Roman" w:hAnsi="Times New Roman" w:cs="Times New Roman"/>
                <w:color w:val="auto"/>
                <w:sz w:val="21"/>
                <w:szCs w:val="21"/>
                <w:highlight w:val="none"/>
                <w:lang w:val="en-US" w:eastAsia="zh-CN"/>
              </w:rPr>
              <w:t xml:space="preserve">                 </w:t>
            </w:r>
          </w:p>
          <w:p w14:paraId="3614168B">
            <w:pPr>
              <w:keepNext w:val="0"/>
              <w:keepLines w:val="0"/>
              <w:pageBreakBefore w:val="0"/>
              <w:widowControl w:val="0"/>
              <w:kinsoku/>
              <w:wordWrap/>
              <w:overflowPunct/>
              <w:topLinePunct w:val="0"/>
              <w:autoSpaceDE/>
              <w:autoSpaceDN/>
              <w:bidi w:val="0"/>
              <w:adjustRightInd/>
              <w:snapToGrid/>
              <w:spacing w:before="0" w:beforeLines="-2147483648" w:line="360" w:lineRule="auto"/>
              <w:ind w:left="0" w:leftChars="0" w:right="0" w:rightChars="0"/>
              <w:jc w:val="left"/>
              <w:textAlignment w:val="auto"/>
              <w:outlineLvl w:val="9"/>
              <w:rPr>
                <w:rFonts w:hint="default" w:ascii="Times New Roman" w:hAnsi="Times New Roman" w:cs="Times New Roman"/>
                <w:color w:val="auto"/>
                <w:sz w:val="21"/>
                <w:szCs w:val="21"/>
                <w:highlight w:val="none"/>
                <w:lang w:val="en-US" w:eastAsia="zh-CN"/>
              </w:rPr>
            </w:pPr>
            <w:r>
              <w:rPr>
                <w:rFonts w:hint="default" w:ascii="Times New Roman" w:hAnsi="Times New Roman" w:cs="Times New Roman"/>
                <w:color w:val="auto"/>
                <w:sz w:val="21"/>
                <w:szCs w:val="21"/>
                <w:highlight w:val="none"/>
                <w:lang w:val="en-US" w:eastAsia="zh-CN"/>
              </w:rPr>
              <w:t xml:space="preserve">  </w:t>
            </w:r>
          </w:p>
          <w:p w14:paraId="5D57C7CA">
            <w:pPr>
              <w:pStyle w:val="2"/>
              <w:rPr>
                <w:rFonts w:hint="default" w:ascii="Times New Roman" w:hAnsi="Times New Roman"/>
                <w:color w:val="auto"/>
                <w:highlight w:val="none"/>
                <w:lang w:val="en-US" w:eastAsia="zh-CN"/>
              </w:rPr>
            </w:pPr>
          </w:p>
          <w:p w14:paraId="22D970E5">
            <w:pPr>
              <w:pStyle w:val="2"/>
              <w:rPr>
                <w:rFonts w:hint="default" w:ascii="Times New Roman" w:hAnsi="Times New Roman"/>
                <w:color w:val="auto"/>
                <w:highlight w:val="none"/>
                <w:lang w:val="en-US" w:eastAsia="zh-CN"/>
              </w:rPr>
            </w:pPr>
          </w:p>
          <w:p w14:paraId="19A5AEDC">
            <w:pPr>
              <w:keepNext w:val="0"/>
              <w:keepLines w:val="0"/>
              <w:pageBreakBefore w:val="0"/>
              <w:widowControl w:val="0"/>
              <w:kinsoku/>
              <w:wordWrap/>
              <w:overflowPunct/>
              <w:topLinePunct w:val="0"/>
              <w:autoSpaceDE/>
              <w:autoSpaceDN/>
              <w:bidi w:val="0"/>
              <w:adjustRightInd/>
              <w:snapToGrid/>
              <w:spacing w:before="0" w:beforeLines="-2147483648" w:line="360" w:lineRule="auto"/>
              <w:ind w:left="0" w:leftChars="0" w:right="0" w:rightChars="0"/>
              <w:jc w:val="left"/>
              <w:textAlignment w:val="auto"/>
              <w:outlineLvl w:val="9"/>
              <w:rPr>
                <w:rFonts w:hint="default" w:ascii="Times New Roman" w:hAnsi="Times New Roman" w:cs="Times New Roman"/>
                <w:color w:val="auto"/>
                <w:sz w:val="21"/>
                <w:szCs w:val="21"/>
                <w:highlight w:val="none"/>
                <w:lang w:val="en-US" w:eastAsia="zh-CN"/>
              </w:rPr>
            </w:pPr>
            <w:r>
              <w:rPr>
                <w:rFonts w:hint="default" w:ascii="Times New Roman" w:hAnsi="Times New Roman" w:cs="Times New Roman"/>
                <w:color w:val="auto"/>
                <w:sz w:val="21"/>
                <w:szCs w:val="21"/>
                <w:highlight w:val="none"/>
                <w:lang w:val="en-US" w:eastAsia="zh-CN"/>
              </w:rPr>
              <w:t xml:space="preserve">                              </w:t>
            </w:r>
            <w:r>
              <w:rPr>
                <w:rFonts w:hint="eastAsia" w:ascii="Times New Roman" w:hAnsi="Times New Roman" w:cs="Times New Roman"/>
                <w:color w:val="auto"/>
                <w:sz w:val="21"/>
                <w:szCs w:val="21"/>
                <w:highlight w:val="none"/>
                <w:lang w:val="en-US" w:eastAsia="zh-CN"/>
              </w:rPr>
              <w:t xml:space="preserve">                  </w:t>
            </w:r>
            <w:r>
              <w:rPr>
                <w:rFonts w:hint="default" w:ascii="Times New Roman" w:hAnsi="Times New Roman" w:cs="Times New Roman"/>
                <w:color w:val="auto"/>
                <w:sz w:val="21"/>
                <w:szCs w:val="21"/>
                <w:highlight w:val="none"/>
                <w:lang w:val="en-US" w:eastAsia="zh-CN"/>
              </w:rPr>
              <w:t>签名（盖章）</w:t>
            </w:r>
          </w:p>
          <w:p w14:paraId="67308947">
            <w:pPr>
              <w:keepNext w:val="0"/>
              <w:keepLines w:val="0"/>
              <w:pageBreakBefore w:val="0"/>
              <w:widowControl w:val="0"/>
              <w:kinsoku/>
              <w:wordWrap/>
              <w:overflowPunct/>
              <w:topLinePunct w:val="0"/>
              <w:autoSpaceDE/>
              <w:autoSpaceDN/>
              <w:bidi w:val="0"/>
              <w:adjustRightInd/>
              <w:snapToGrid/>
              <w:spacing w:before="0" w:beforeLines="-2147483648" w:line="360" w:lineRule="auto"/>
              <w:ind w:left="0" w:leftChars="0" w:right="0" w:rightChars="0"/>
              <w:jc w:val="left"/>
              <w:textAlignment w:val="auto"/>
              <w:outlineLvl w:val="9"/>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lang w:val="en-US" w:eastAsia="zh-CN"/>
              </w:rPr>
              <w:t xml:space="preserve">                                               年　　月　　日</w:t>
            </w:r>
          </w:p>
        </w:tc>
      </w:tr>
    </w:tbl>
    <w:p w14:paraId="56BD2A26">
      <w:pPr>
        <w:pStyle w:val="5"/>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olor w:val="auto"/>
          <w:highlight w:val="none"/>
        </w:rPr>
      </w:pPr>
    </w:p>
    <w:tbl>
      <w:tblPr>
        <w:tblStyle w:val="28"/>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20"/>
      </w:tblGrid>
      <w:tr w14:paraId="788B1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0" w:hRule="atLeast"/>
        </w:trPr>
        <w:tc>
          <w:tcPr>
            <w:tcW w:w="7920" w:type="dxa"/>
            <w:tcBorders>
              <w:top w:val="single" w:color="auto" w:sz="4" w:space="0"/>
              <w:left w:val="single" w:color="auto" w:sz="4" w:space="0"/>
              <w:bottom w:val="single" w:color="auto" w:sz="4" w:space="0"/>
              <w:right w:val="single" w:color="auto" w:sz="4" w:space="0"/>
            </w:tcBorders>
            <w:noWrap w:val="0"/>
            <w:vAlign w:val="top"/>
          </w:tcPr>
          <w:p w14:paraId="74EA1EEE">
            <w:pPr>
              <w:keepNext w:val="0"/>
              <w:keepLines w:val="0"/>
              <w:pageBreakBefore w:val="0"/>
              <w:widowControl w:val="0"/>
              <w:kinsoku/>
              <w:wordWrap/>
              <w:overflowPunct/>
              <w:topLinePunct w:val="0"/>
              <w:autoSpaceDE/>
              <w:autoSpaceDN/>
              <w:bidi w:val="0"/>
              <w:adjustRightInd/>
              <w:snapToGrid/>
              <w:spacing w:before="0" w:beforeLines="-2147483648" w:line="240" w:lineRule="auto"/>
              <w:ind w:left="0" w:leftChars="0" w:right="0" w:rightChars="0"/>
              <w:textAlignment w:val="auto"/>
              <w:outlineLvl w:val="9"/>
              <w:rPr>
                <w:rFonts w:hint="default" w:ascii="Times New Roman" w:hAnsi="Times New Roman" w:cs="Times New Roman"/>
                <w:color w:val="auto"/>
                <w:sz w:val="21"/>
                <w:szCs w:val="21"/>
                <w:highlight w:val="none"/>
              </w:rPr>
            </w:pPr>
            <w:r>
              <w:rPr>
                <w:rFonts w:hint="default" w:ascii="Times New Roman" w:hAnsi="Times New Roman" w:eastAsia="黑体" w:cs="Times New Roman"/>
                <w:color w:val="auto"/>
                <w:sz w:val="21"/>
                <w:szCs w:val="21"/>
                <w:highlight w:val="none"/>
              </w:rPr>
              <w:t>申办者意见</w:t>
            </w:r>
            <w:r>
              <w:rPr>
                <w:rFonts w:hint="default" w:ascii="Times New Roman" w:hAnsi="Times New Roman" w:cs="Times New Roman"/>
                <w:color w:val="auto"/>
                <w:sz w:val="21"/>
                <w:szCs w:val="21"/>
                <w:highlight w:val="none"/>
              </w:rPr>
              <w:t xml:space="preserve">  </w:t>
            </w:r>
          </w:p>
          <w:p w14:paraId="1C4A89C7">
            <w:pPr>
              <w:pStyle w:val="2"/>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default" w:ascii="Times New Roman" w:hAnsi="Times New Roman"/>
                <w:color w:val="auto"/>
                <w:highlight w:val="none"/>
              </w:rPr>
            </w:pPr>
          </w:p>
          <w:p w14:paraId="5F1D6638">
            <w:pPr>
              <w:keepNext w:val="0"/>
              <w:keepLines w:val="0"/>
              <w:pageBreakBefore w:val="0"/>
              <w:widowControl w:val="0"/>
              <w:kinsoku/>
              <w:wordWrap/>
              <w:overflowPunct/>
              <w:topLinePunct w:val="0"/>
              <w:autoSpaceDE/>
              <w:autoSpaceDN/>
              <w:bidi w:val="0"/>
              <w:adjustRightInd/>
              <w:snapToGrid/>
              <w:spacing w:before="0" w:beforeLines="-2147483648" w:line="360" w:lineRule="auto"/>
              <w:ind w:left="0" w:leftChars="0" w:right="0" w:rightChars="0" w:firstLine="0" w:firstLineChars="0"/>
              <w:jc w:val="both"/>
              <w:textAlignment w:val="auto"/>
              <w:outlineLvl w:val="9"/>
              <w:rPr>
                <w:rFonts w:hint="default" w:ascii="Times New Roman" w:hAnsi="Times New Roman" w:eastAsia="宋体" w:cs="Times New Roman"/>
                <w:b w:val="0"/>
                <w:bCs/>
                <w:color w:val="auto"/>
                <w:sz w:val="21"/>
                <w:szCs w:val="21"/>
                <w:highlight w:val="none"/>
                <w:shd w:val="clear" w:color="auto" w:fill="auto"/>
              </w:rPr>
            </w:pPr>
            <w:r>
              <w:rPr>
                <w:rFonts w:hint="default" w:ascii="Times New Roman" w:hAnsi="Times New Roman" w:cs="Times New Roman"/>
                <w:b/>
                <w:color w:val="auto"/>
                <w:sz w:val="21"/>
                <w:szCs w:val="21"/>
                <w:highlight w:val="none"/>
                <w:shd w:val="clear" w:color="auto" w:fill="auto"/>
                <w:lang w:val="en-US" w:eastAsia="zh-CN"/>
              </w:rPr>
              <w:t xml:space="preserve">          </w:t>
            </w:r>
            <w:r>
              <w:rPr>
                <w:rFonts w:hint="default" w:ascii="Times New Roman" w:hAnsi="Times New Roman" w:eastAsia="宋体" w:cs="Times New Roman"/>
                <w:b/>
                <w:color w:val="auto"/>
                <w:sz w:val="21"/>
                <w:szCs w:val="21"/>
                <w:highlight w:val="none"/>
                <w:shd w:val="clear" w:color="auto" w:fill="auto"/>
                <w:lang w:val="en-US" w:eastAsia="zh-CN"/>
              </w:rPr>
              <w:t xml:space="preserve"> </w:t>
            </w:r>
            <w:r>
              <w:rPr>
                <w:rFonts w:hint="default" w:ascii="Times New Roman" w:hAnsi="Times New Roman" w:eastAsia="宋体" w:cs="Times New Roman"/>
                <w:b w:val="0"/>
                <w:bCs/>
                <w:color w:val="auto"/>
                <w:sz w:val="21"/>
                <w:szCs w:val="21"/>
                <w:highlight w:val="none"/>
                <w:shd w:val="clear" w:color="auto" w:fill="auto"/>
              </w:rPr>
              <w:t>同意按此方案实施</w:t>
            </w:r>
          </w:p>
          <w:p w14:paraId="7A96199C">
            <w:pPr>
              <w:pStyle w:val="2"/>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default" w:ascii="Times New Roman" w:hAnsi="Times New Roman"/>
                <w:color w:val="auto"/>
                <w:highlight w:val="none"/>
              </w:rPr>
            </w:pPr>
          </w:p>
          <w:p w14:paraId="74A92811">
            <w:pPr>
              <w:keepNext w:val="0"/>
              <w:keepLines w:val="0"/>
              <w:pageBreakBefore w:val="0"/>
              <w:widowControl w:val="0"/>
              <w:kinsoku/>
              <w:wordWrap/>
              <w:overflowPunct/>
              <w:topLinePunct w:val="0"/>
              <w:autoSpaceDE/>
              <w:autoSpaceDN/>
              <w:bidi w:val="0"/>
              <w:adjustRightInd/>
              <w:snapToGrid/>
              <w:spacing w:before="0" w:beforeLines="-2147483648" w:line="360" w:lineRule="auto"/>
              <w:ind w:left="0" w:leftChars="0" w:right="0" w:rightChars="0"/>
              <w:jc w:val="left"/>
              <w:textAlignment w:val="auto"/>
              <w:outlineLvl w:val="9"/>
              <w:rPr>
                <w:rFonts w:hint="default" w:ascii="Times New Roman" w:hAnsi="Times New Roman" w:cs="Times New Roman"/>
                <w:color w:val="auto"/>
                <w:sz w:val="21"/>
                <w:szCs w:val="21"/>
                <w:highlight w:val="none"/>
                <w:lang w:val="en-US" w:eastAsia="zh-CN"/>
              </w:rPr>
            </w:pPr>
            <w:r>
              <w:rPr>
                <w:rFonts w:hint="default" w:ascii="Times New Roman" w:hAnsi="Times New Roman" w:cs="Times New Roman"/>
                <w:color w:val="auto"/>
                <w:sz w:val="21"/>
                <w:szCs w:val="21"/>
                <w:highlight w:val="none"/>
                <w:lang w:val="en-US" w:eastAsia="zh-CN"/>
              </w:rPr>
              <w:t xml:space="preserve">                                                签名（盖章）</w:t>
            </w:r>
          </w:p>
          <w:p w14:paraId="673D598E">
            <w:pPr>
              <w:keepNext w:val="0"/>
              <w:keepLines w:val="0"/>
              <w:pageBreakBefore w:val="0"/>
              <w:widowControl w:val="0"/>
              <w:kinsoku/>
              <w:wordWrap/>
              <w:overflowPunct/>
              <w:topLinePunct w:val="0"/>
              <w:autoSpaceDE/>
              <w:autoSpaceDN/>
              <w:bidi w:val="0"/>
              <w:adjustRightInd/>
              <w:snapToGrid/>
              <w:spacing w:before="0" w:beforeLines="-2147483648" w:line="360" w:lineRule="auto"/>
              <w:ind w:left="0" w:leftChars="0" w:right="0" w:rightChars="0"/>
              <w:jc w:val="left"/>
              <w:textAlignment w:val="auto"/>
              <w:outlineLvl w:val="9"/>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lang w:val="en-US" w:eastAsia="zh-CN"/>
              </w:rPr>
              <w:t xml:space="preserve">                                               年　　月　　日</w:t>
            </w:r>
          </w:p>
        </w:tc>
      </w:tr>
    </w:tbl>
    <w:p w14:paraId="2EBF0ABF">
      <w:pPr>
        <w:pStyle w:val="2"/>
        <w:rPr>
          <w:rFonts w:hint="default" w:ascii="Times New Roman" w:hAnsi="Times New Roman"/>
          <w:color w:val="auto"/>
          <w:highlight w:val="none"/>
          <w:lang w:val="en-US" w:eastAsia="zh-CN"/>
        </w:rPr>
      </w:pPr>
    </w:p>
    <w:sectPr>
      <w:footerReference r:id="rId11" w:type="default"/>
      <w:pgSz w:w="11906" w:h="16838"/>
      <w:pgMar w:top="1440" w:right="1800" w:bottom="1440" w:left="1800" w:header="680"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C2015">
    <w:pPr>
      <w:pStyle w:val="18"/>
      <w:spacing w:befor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146F0">
    <w:pPr>
      <w:pStyle w:val="18"/>
      <w:spacing w:befor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598DF">
    <w:pPr>
      <w:pStyle w:val="18"/>
      <w:spacing w:befor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EE3B9">
    <w:pPr>
      <w:pStyle w:val="18"/>
      <w:spacing w:before="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C1B34C">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FC1B34C">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9E92F">
    <w:pPr>
      <w:pStyle w:val="18"/>
      <w:spacing w:before="360"/>
      <w:jc w:val="center"/>
    </w:pPr>
    <w:r>
      <w:rPr>
        <w:rFonts w:hint="eastAsia"/>
        <w:lang w:val="en-US" w:eastAsia="zh-CN"/>
      </w:rPr>
      <w:t>附页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56458">
    <w:pPr>
      <w:pStyle w:val="19"/>
      <w:keepNext w:val="0"/>
      <w:keepLines w:val="0"/>
      <w:pageBreakBefore w:val="0"/>
      <w:widowControl w:val="0"/>
      <w:pBdr>
        <w:bottom w:val="single" w:color="auto" w:sz="4" w:space="1"/>
      </w:pBdr>
      <w:kinsoku/>
      <w:wordWrap/>
      <w:overflowPunct/>
      <w:topLinePunct w:val="0"/>
      <w:autoSpaceDE/>
      <w:autoSpaceDN/>
      <w:bidi w:val="0"/>
      <w:adjustRightInd/>
      <w:snapToGrid w:val="0"/>
      <w:spacing w:before="360"/>
      <w:ind w:firstLine="180" w:firstLineChars="100"/>
      <w:jc w:val="distribute"/>
      <w:textAlignment w:val="auto"/>
      <w:rPr>
        <w:rFonts w:hint="default" w:eastAsia="宋体"/>
        <w:color w:val="auto"/>
        <w:highlight w:val="none"/>
        <w:lang w:val="en-US" w:eastAsia="zh-CN"/>
      </w:rPr>
    </w:pPr>
    <w:r>
      <w:rPr>
        <w:rFonts w:hint="eastAsia" w:ascii="Times New Roman" w:hAnsi="Times New Roman" w:cs="宋体"/>
        <w:color w:val="auto"/>
        <w:szCs w:val="18"/>
        <w:highlight w:val="none"/>
        <w:lang w:bidi="ar"/>
      </w:rPr>
      <w:t>广东君悦营养医学有限公司</w:t>
    </w:r>
    <w:r>
      <w:rPr>
        <w:rFonts w:ascii="Times New Roman" w:hAnsi="Times New Roman" w:cs="Times New Roman"/>
        <w:color w:val="auto"/>
        <w:szCs w:val="18"/>
        <w:highlight w:val="none"/>
      </w:rPr>
      <w:t xml:space="preserve">   </w:t>
    </w:r>
    <w:r>
      <w:rPr>
        <w:rFonts w:hint="eastAsia" w:ascii="Times New Roman" w:hAnsi="Times New Roman" w:cs="Times New Roman"/>
        <w:color w:val="auto"/>
        <w:szCs w:val="18"/>
        <w:highlight w:val="none"/>
      </w:rPr>
      <w:t xml:space="preserve"> </w:t>
    </w:r>
    <w:r>
      <w:rPr>
        <w:rFonts w:ascii="Times New Roman" w:hAnsi="Times New Roman" w:cs="Times New Roman"/>
        <w:color w:val="auto"/>
        <w:szCs w:val="18"/>
        <w:highlight w:val="none"/>
      </w:rPr>
      <w:t xml:space="preserve">  </w:t>
    </w:r>
    <w:r>
      <w:rPr>
        <w:rFonts w:hint="eastAsia" w:ascii="Times New Roman" w:hAnsi="Times New Roman" w:cs="Times New Roman"/>
        <w:color w:val="auto"/>
        <w:szCs w:val="18"/>
        <w:highlight w:val="none"/>
      </w:rPr>
      <w:t xml:space="preserve">   君蓓</w:t>
    </w:r>
    <w:r>
      <w:rPr>
        <w:rFonts w:hint="eastAsia" w:ascii="Times New Roman" w:hAnsi="Times New Roman" w:cs="Times New Roman"/>
        <w:color w:val="auto"/>
        <w:szCs w:val="18"/>
        <w:highlight w:val="none"/>
        <w:lang w:val="en-US" w:eastAsia="zh-CN"/>
      </w:rPr>
      <w:t>力</w:t>
    </w:r>
    <w:r>
      <w:rPr>
        <w:rFonts w:ascii="Times New Roman" w:hAnsi="Times New Roman" w:cs="Times New Roman"/>
        <w:color w:val="auto"/>
        <w:szCs w:val="18"/>
        <w:highlight w:val="none"/>
      </w:rPr>
      <w:t xml:space="preserve">          </w:t>
    </w:r>
    <w:r>
      <w:rPr>
        <w:rFonts w:ascii="Times New Roman" w:hAnsi="Times New Roman" w:cs="Times New Roman"/>
        <w:color w:val="0000FF"/>
        <w:szCs w:val="18"/>
        <w:highlight w:val="yellow"/>
      </w:rPr>
      <w:t>版本号：v</w:t>
    </w:r>
    <w:r>
      <w:rPr>
        <w:rFonts w:hint="eastAsia" w:ascii="Times New Roman" w:hAnsi="Times New Roman" w:cs="Times New Roman"/>
        <w:color w:val="0000FF"/>
        <w:szCs w:val="18"/>
        <w:highlight w:val="yellow"/>
        <w:lang w:val="en-US" w:eastAsia="zh-CN"/>
      </w:rPr>
      <w:t>4</w:t>
    </w:r>
    <w:r>
      <w:rPr>
        <w:rFonts w:ascii="Times New Roman" w:hAnsi="Times New Roman" w:cs="Times New Roman"/>
        <w:color w:val="0000FF"/>
        <w:szCs w:val="18"/>
        <w:highlight w:val="yellow"/>
      </w:rPr>
      <w:t xml:space="preserve">.0   </w:t>
    </w:r>
    <w:r>
      <w:rPr>
        <w:rFonts w:hint="eastAsia" w:ascii="Times New Roman" w:hAnsi="Times New Roman" w:cs="Times New Roman"/>
        <w:color w:val="0000FF"/>
        <w:szCs w:val="18"/>
        <w:highlight w:val="yellow"/>
      </w:rPr>
      <w:t xml:space="preserve">  </w:t>
    </w:r>
    <w:r>
      <w:rPr>
        <w:rFonts w:ascii="Times New Roman" w:hAnsi="Times New Roman" w:cs="Times New Roman"/>
        <w:color w:val="0000FF"/>
        <w:szCs w:val="18"/>
        <w:highlight w:val="yellow"/>
      </w:rPr>
      <w:t xml:space="preserve">   </w:t>
    </w:r>
    <w:r>
      <w:rPr>
        <w:rFonts w:hint="eastAsia" w:ascii="Times New Roman" w:hAnsi="Times New Roman" w:cs="Times New Roman"/>
        <w:color w:val="0000FF"/>
        <w:szCs w:val="18"/>
        <w:highlight w:val="yellow"/>
      </w:rPr>
      <w:t xml:space="preserve"> </w:t>
    </w:r>
    <w:r>
      <w:rPr>
        <w:rFonts w:ascii="Times New Roman" w:hAnsi="Times New Roman" w:cs="Times New Roman"/>
        <w:color w:val="0000FF"/>
        <w:szCs w:val="18"/>
        <w:highlight w:val="yellow"/>
      </w:rPr>
      <w:t>版本日期：20</w:t>
    </w:r>
    <w:r>
      <w:rPr>
        <w:rFonts w:hint="eastAsia" w:ascii="Times New Roman" w:hAnsi="Times New Roman" w:cs="Times New Roman"/>
        <w:color w:val="0000FF"/>
        <w:szCs w:val="18"/>
        <w:highlight w:val="yellow"/>
      </w:rPr>
      <w:t>2</w:t>
    </w:r>
    <w:r>
      <w:rPr>
        <w:rFonts w:hint="eastAsia" w:ascii="Times New Roman" w:hAnsi="Times New Roman" w:cs="Times New Roman"/>
        <w:color w:val="0000FF"/>
        <w:szCs w:val="18"/>
        <w:highlight w:val="yellow"/>
        <w:lang w:val="en-US" w:eastAsia="zh-CN"/>
      </w:rPr>
      <w:t>3-05-23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414C4">
    <w:pPr>
      <w:pStyle w:val="19"/>
      <w:spacing w:befor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538FD">
    <w:pPr>
      <w:pStyle w:val="19"/>
      <w:spacing w:befor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108AE1"/>
    <w:multiLevelType w:val="multilevel"/>
    <w:tmpl w:val="9A108AE1"/>
    <w:lvl w:ilvl="0" w:tentative="0">
      <w:start w:val="1"/>
      <w:numFmt w:val="decimal"/>
      <w:lvlText w:val="(%1)"/>
      <w:lvlJc w:val="left"/>
      <w:pPr>
        <w:tabs>
          <w:tab w:val="left" w:pos="420"/>
        </w:tabs>
        <w:ind w:left="425" w:hanging="425"/>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D8367431"/>
    <w:multiLevelType w:val="multilevel"/>
    <w:tmpl w:val="D8367431"/>
    <w:lvl w:ilvl="0" w:tentative="0">
      <w:start w:val="1"/>
      <w:numFmt w:val="bullet"/>
      <w:lvlText w:val=""/>
      <w:lvlJc w:val="left"/>
      <w:pPr>
        <w:ind w:left="420" w:hanging="420"/>
      </w:pPr>
      <w:rPr>
        <w:rFonts w:hint="default" w:ascii="Wingdings" w:hAnsi="Wingdings" w:cs="Wingdings"/>
        <w:color w:val="auto"/>
      </w:rPr>
    </w:lvl>
    <w:lvl w:ilvl="1" w:tentative="0">
      <w:start w:val="1"/>
      <w:numFmt w:val="bullet"/>
      <w:lvlText w:val=""/>
      <w:lvlJc w:val="left"/>
      <w:pPr>
        <w:ind w:left="840" w:hanging="420"/>
      </w:pPr>
      <w:rPr>
        <w:rFonts w:hint="default" w:ascii="Wingdings" w:hAnsi="Wingdings" w:cs="Wingdings"/>
      </w:rPr>
    </w:lvl>
    <w:lvl w:ilvl="2" w:tentative="0">
      <w:start w:val="1"/>
      <w:numFmt w:val="bullet"/>
      <w:lvlText w:val=""/>
      <w:lvlJc w:val="left"/>
      <w:pPr>
        <w:ind w:left="1260" w:hanging="420"/>
      </w:pPr>
      <w:rPr>
        <w:rFonts w:hint="default" w:ascii="Wingdings" w:hAnsi="Wingdings" w:cs="Wingdings"/>
      </w:rPr>
    </w:lvl>
    <w:lvl w:ilvl="3" w:tentative="0">
      <w:start w:val="1"/>
      <w:numFmt w:val="bullet"/>
      <w:lvlText w:val=""/>
      <w:lvlJc w:val="left"/>
      <w:pPr>
        <w:ind w:left="1680" w:hanging="420"/>
      </w:pPr>
      <w:rPr>
        <w:rFonts w:hint="default" w:ascii="Wingdings" w:hAnsi="Wingdings" w:cs="Wingdings"/>
      </w:rPr>
    </w:lvl>
    <w:lvl w:ilvl="4" w:tentative="0">
      <w:start w:val="1"/>
      <w:numFmt w:val="bullet"/>
      <w:lvlText w:val=""/>
      <w:lvlJc w:val="left"/>
      <w:pPr>
        <w:ind w:left="2100" w:hanging="420"/>
      </w:pPr>
      <w:rPr>
        <w:rFonts w:hint="default" w:ascii="Wingdings" w:hAnsi="Wingdings" w:cs="Wingdings"/>
      </w:rPr>
    </w:lvl>
    <w:lvl w:ilvl="5" w:tentative="0">
      <w:start w:val="1"/>
      <w:numFmt w:val="bullet"/>
      <w:lvlText w:val=""/>
      <w:lvlJc w:val="left"/>
      <w:pPr>
        <w:ind w:left="2520" w:hanging="420"/>
      </w:pPr>
      <w:rPr>
        <w:rFonts w:hint="default" w:ascii="Wingdings" w:hAnsi="Wingdings" w:cs="Wingdings"/>
      </w:rPr>
    </w:lvl>
    <w:lvl w:ilvl="6" w:tentative="0">
      <w:start w:val="1"/>
      <w:numFmt w:val="bullet"/>
      <w:lvlText w:val=""/>
      <w:lvlJc w:val="left"/>
      <w:pPr>
        <w:ind w:left="2940" w:hanging="420"/>
      </w:pPr>
      <w:rPr>
        <w:rFonts w:hint="default" w:ascii="Wingdings" w:hAnsi="Wingdings" w:cs="Wingdings"/>
      </w:rPr>
    </w:lvl>
    <w:lvl w:ilvl="7" w:tentative="0">
      <w:start w:val="1"/>
      <w:numFmt w:val="bullet"/>
      <w:lvlText w:val=""/>
      <w:lvlJc w:val="left"/>
      <w:pPr>
        <w:ind w:left="3360" w:hanging="420"/>
      </w:pPr>
      <w:rPr>
        <w:rFonts w:hint="default" w:ascii="Wingdings" w:hAnsi="Wingdings" w:cs="Wingdings"/>
      </w:rPr>
    </w:lvl>
    <w:lvl w:ilvl="8" w:tentative="0">
      <w:start w:val="1"/>
      <w:numFmt w:val="bullet"/>
      <w:lvlText w:val=""/>
      <w:lvlJc w:val="left"/>
      <w:pPr>
        <w:ind w:left="3780" w:hanging="420"/>
      </w:pPr>
      <w:rPr>
        <w:rFonts w:hint="default" w:ascii="Wingdings" w:hAnsi="Wingdings" w:cs="Wingdings"/>
      </w:rPr>
    </w:lvl>
  </w:abstractNum>
  <w:abstractNum w:abstractNumId="2">
    <w:nsid w:val="E336EDE4"/>
    <w:multiLevelType w:val="multilevel"/>
    <w:tmpl w:val="E336EDE4"/>
    <w:lvl w:ilvl="0" w:tentative="0">
      <w:start w:val="1"/>
      <w:numFmt w:val="decimal"/>
      <w:lvlText w:val="(%1)"/>
      <w:lvlJc w:val="left"/>
      <w:pPr>
        <w:tabs>
          <w:tab w:val="left" w:pos="420"/>
        </w:tabs>
        <w:ind w:left="425" w:hanging="425"/>
      </w:pPr>
      <w:rPr>
        <w:rFonts w:hint="default" w:ascii="Times New Roman" w:hAnsi="Times New Roman" w:cs="Times New Roman"/>
        <w:i w:val="0"/>
        <w:iCs w:val="0"/>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C2003D0"/>
    <w:multiLevelType w:val="singleLevel"/>
    <w:tmpl w:val="0C2003D0"/>
    <w:lvl w:ilvl="0" w:tentative="0">
      <w:start w:val="2"/>
      <w:numFmt w:val="decimal"/>
      <w:suff w:val="space"/>
      <w:lvlText w:val="%1."/>
      <w:lvlJc w:val="left"/>
    </w:lvl>
  </w:abstractNum>
  <w:abstractNum w:abstractNumId="4">
    <w:nsid w:val="453E1039"/>
    <w:multiLevelType w:val="multilevel"/>
    <w:tmpl w:val="453E1039"/>
    <w:lvl w:ilvl="0" w:tentative="0">
      <w:start w:val="1"/>
      <w:numFmt w:val="decimal"/>
      <w:lvlText w:val="%1"/>
      <w:lvlJc w:val="left"/>
      <w:pPr>
        <w:ind w:left="425" w:hanging="425"/>
      </w:pPr>
      <w:rPr>
        <w:rFonts w:hint="default" w:ascii="Times New Roman" w:hAnsi="Times New Roman" w:eastAsia="黑体" w:cs="黑体"/>
        <w:b/>
        <w:bCs/>
        <w:sz w:val="28"/>
        <w:szCs w:val="28"/>
      </w:rPr>
    </w:lvl>
    <w:lvl w:ilvl="1" w:tentative="0">
      <w:start w:val="1"/>
      <w:numFmt w:val="decimal"/>
      <w:lvlText w:val="%1.%2"/>
      <w:lvlJc w:val="left"/>
      <w:pPr>
        <w:ind w:left="567" w:hanging="567"/>
      </w:pPr>
      <w:rPr>
        <w:rFonts w:hint="default" w:ascii="Times New Roman" w:hAnsi="Times New Roman" w:eastAsia="黑体" w:cs="黑体"/>
        <w:b/>
        <w:bCs/>
        <w:sz w:val="24"/>
      </w:rPr>
    </w:lvl>
    <w:lvl w:ilvl="2" w:tentative="0">
      <w:start w:val="1"/>
      <w:numFmt w:val="decimal"/>
      <w:lvlText w:val="%1.%2.%3"/>
      <w:lvlJc w:val="left"/>
      <w:pPr>
        <w:ind w:left="709" w:hanging="709"/>
      </w:pPr>
      <w:rPr>
        <w:rFonts w:hint="default" w:ascii="Times New Roman" w:hAnsi="Times New Roman" w:eastAsia="黑体" w:cs="黑体"/>
        <w:b/>
        <w:bCs/>
      </w:rPr>
    </w:lvl>
    <w:lvl w:ilvl="3" w:tentative="0">
      <w:start w:val="1"/>
      <w:numFmt w:val="decimal"/>
      <w:lvlText w:val="%1.%2.%3.%4"/>
      <w:lvlJc w:val="left"/>
      <w:pPr>
        <w:ind w:left="850" w:hanging="850"/>
      </w:pPr>
      <w:rPr>
        <w:rFonts w:hint="default" w:ascii="宋体" w:hAnsi="宋体" w:eastAsia="宋体" w:cs="宋体"/>
      </w:rPr>
    </w:lvl>
    <w:lvl w:ilvl="4" w:tentative="0">
      <w:start w:val="1"/>
      <w:numFmt w:val="decimal"/>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473B9844"/>
    <w:multiLevelType w:val="singleLevel"/>
    <w:tmpl w:val="473B9844"/>
    <w:lvl w:ilvl="0" w:tentative="0">
      <w:start w:val="1"/>
      <w:numFmt w:val="bullet"/>
      <w:lvlText w:val=""/>
      <w:lvlJc w:val="left"/>
      <w:pPr>
        <w:ind w:left="410" w:hanging="420"/>
      </w:pPr>
      <w:rPr>
        <w:rFonts w:hint="default" w:ascii="Wingdings" w:hAnsi="Wingdings"/>
        <w:sz w:val="18"/>
        <w:szCs w:val="18"/>
      </w:rPr>
    </w:lvl>
  </w:abstractNum>
  <w:abstractNum w:abstractNumId="6">
    <w:nsid w:val="4B0CE604"/>
    <w:multiLevelType w:val="singleLevel"/>
    <w:tmpl w:val="4B0CE604"/>
    <w:lvl w:ilvl="0" w:tentative="0">
      <w:start w:val="1"/>
      <w:numFmt w:val="decimal"/>
      <w:suff w:val="nothing"/>
      <w:lvlText w:val="%1、"/>
      <w:lvlJc w:val="left"/>
    </w:lvl>
  </w:abstractNum>
  <w:abstractNum w:abstractNumId="7">
    <w:nsid w:val="69523617"/>
    <w:multiLevelType w:val="multilevel"/>
    <w:tmpl w:val="69523617"/>
    <w:lvl w:ilvl="0" w:tentative="0">
      <w:start w:val="1"/>
      <w:numFmt w:val="bullet"/>
      <w:lvlText w:val="-"/>
      <w:lvlJc w:val="left"/>
      <w:pPr>
        <w:ind w:left="420" w:hanging="420"/>
      </w:pPr>
      <w:rPr>
        <w:rFonts w:hint="default" w:ascii="Verdana" w:hAnsi="Verdana"/>
      </w:rPr>
    </w:lvl>
    <w:lvl w:ilvl="1" w:tentative="0">
      <w:start w:val="1"/>
      <w:numFmt w:val="bullet"/>
      <w:lvlText w:val="-"/>
      <w:lvlJc w:val="left"/>
      <w:pPr>
        <w:ind w:left="840" w:hanging="420"/>
      </w:pPr>
      <w:rPr>
        <w:rFonts w:hint="default" w:ascii="Verdana" w:hAnsi="Verdana"/>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7A9DAB5D"/>
    <w:multiLevelType w:val="singleLevel"/>
    <w:tmpl w:val="7A9DAB5D"/>
    <w:lvl w:ilvl="0" w:tentative="0">
      <w:start w:val="1"/>
      <w:numFmt w:val="decimal"/>
      <w:suff w:val="nothing"/>
      <w:lvlText w:val="（%1）"/>
      <w:lvlJc w:val="left"/>
    </w:lvl>
  </w:abstractNum>
  <w:num w:numId="1">
    <w:abstractNumId w:val="4"/>
  </w:num>
  <w:num w:numId="2">
    <w:abstractNumId w:val="1"/>
  </w:num>
  <w:num w:numId="3">
    <w:abstractNumId w:val="7"/>
  </w:num>
  <w:num w:numId="4">
    <w:abstractNumId w:val="2"/>
  </w:num>
  <w:num w:numId="5">
    <w:abstractNumId w:val="0"/>
  </w:num>
  <w:num w:numId="6">
    <w:abstractNumId w:val="3"/>
  </w:num>
  <w:num w:numId="7">
    <w:abstractNumId w:val="5"/>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420"/>
  <w:drawingGridHorizontalSpacing w:val="105"/>
  <w:drawingGridVerticalSpacing w:val="159"/>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Y0NjQzMGE4MTFiY2M5OWQ1YzAwMjI3MGM2MzFmYzUifQ=="/>
    <w:docVar w:name="KSO_WPS_MARK_KEY" w:val="41169ded-53b3-47a3-a1d9-fe827dc6e95b"/>
  </w:docVars>
  <w:rsids>
    <w:rsidRoot w:val="20404D03"/>
    <w:rsid w:val="00046CA0"/>
    <w:rsid w:val="00086F40"/>
    <w:rsid w:val="000915CC"/>
    <w:rsid w:val="00101D29"/>
    <w:rsid w:val="00161777"/>
    <w:rsid w:val="00281FB1"/>
    <w:rsid w:val="002B4AAC"/>
    <w:rsid w:val="002C33DC"/>
    <w:rsid w:val="003A5BCD"/>
    <w:rsid w:val="003E23E0"/>
    <w:rsid w:val="004F5192"/>
    <w:rsid w:val="00594AC4"/>
    <w:rsid w:val="00594EE7"/>
    <w:rsid w:val="0068574D"/>
    <w:rsid w:val="006C6C4E"/>
    <w:rsid w:val="006E2732"/>
    <w:rsid w:val="006F6C51"/>
    <w:rsid w:val="00706416"/>
    <w:rsid w:val="0079040D"/>
    <w:rsid w:val="007A15F6"/>
    <w:rsid w:val="007F6841"/>
    <w:rsid w:val="00844EA6"/>
    <w:rsid w:val="008B3FAF"/>
    <w:rsid w:val="008F52B0"/>
    <w:rsid w:val="00A20B31"/>
    <w:rsid w:val="00A62519"/>
    <w:rsid w:val="00AA0766"/>
    <w:rsid w:val="00B21BF1"/>
    <w:rsid w:val="00B5332D"/>
    <w:rsid w:val="00B606AB"/>
    <w:rsid w:val="00B761BD"/>
    <w:rsid w:val="00B9250E"/>
    <w:rsid w:val="00BA4943"/>
    <w:rsid w:val="00C40A08"/>
    <w:rsid w:val="00C9112E"/>
    <w:rsid w:val="00CA5021"/>
    <w:rsid w:val="00CE0EAB"/>
    <w:rsid w:val="00E0154F"/>
    <w:rsid w:val="00E017A1"/>
    <w:rsid w:val="00E51F15"/>
    <w:rsid w:val="019178C8"/>
    <w:rsid w:val="02516720"/>
    <w:rsid w:val="02EB05EB"/>
    <w:rsid w:val="03075149"/>
    <w:rsid w:val="030A67A8"/>
    <w:rsid w:val="035D3EC0"/>
    <w:rsid w:val="038C4B18"/>
    <w:rsid w:val="03AB7B6C"/>
    <w:rsid w:val="04F94A75"/>
    <w:rsid w:val="055977C5"/>
    <w:rsid w:val="05733317"/>
    <w:rsid w:val="05A97865"/>
    <w:rsid w:val="05B82434"/>
    <w:rsid w:val="062F6D07"/>
    <w:rsid w:val="064B37EC"/>
    <w:rsid w:val="065154E5"/>
    <w:rsid w:val="069558AD"/>
    <w:rsid w:val="06CC5A7D"/>
    <w:rsid w:val="071024CE"/>
    <w:rsid w:val="072E5A40"/>
    <w:rsid w:val="073136FD"/>
    <w:rsid w:val="074B7D66"/>
    <w:rsid w:val="07CF0D8D"/>
    <w:rsid w:val="08055B51"/>
    <w:rsid w:val="08C41099"/>
    <w:rsid w:val="08F326DF"/>
    <w:rsid w:val="091077A1"/>
    <w:rsid w:val="09187C60"/>
    <w:rsid w:val="09226A49"/>
    <w:rsid w:val="092B2C91"/>
    <w:rsid w:val="09502F56"/>
    <w:rsid w:val="09714591"/>
    <w:rsid w:val="09AB4631"/>
    <w:rsid w:val="09C16F2A"/>
    <w:rsid w:val="09CF49A2"/>
    <w:rsid w:val="0A012F50"/>
    <w:rsid w:val="0A2E6AA8"/>
    <w:rsid w:val="0A7473CE"/>
    <w:rsid w:val="0A956299"/>
    <w:rsid w:val="0AD77022"/>
    <w:rsid w:val="0AF54A6A"/>
    <w:rsid w:val="0AFF34A3"/>
    <w:rsid w:val="0B0A3590"/>
    <w:rsid w:val="0B7A075E"/>
    <w:rsid w:val="0B9A221F"/>
    <w:rsid w:val="0BB90D11"/>
    <w:rsid w:val="0BBF03D1"/>
    <w:rsid w:val="0BEA7692"/>
    <w:rsid w:val="0C3003E3"/>
    <w:rsid w:val="0C494B5F"/>
    <w:rsid w:val="0C8F27BA"/>
    <w:rsid w:val="0C93673F"/>
    <w:rsid w:val="0D11024C"/>
    <w:rsid w:val="0D63532A"/>
    <w:rsid w:val="0D9640D2"/>
    <w:rsid w:val="0DDA673F"/>
    <w:rsid w:val="0DDB36D4"/>
    <w:rsid w:val="0DF41428"/>
    <w:rsid w:val="0E2D46E0"/>
    <w:rsid w:val="0E415EEF"/>
    <w:rsid w:val="0E713147"/>
    <w:rsid w:val="0EA6011D"/>
    <w:rsid w:val="0EB46E12"/>
    <w:rsid w:val="0EC438CE"/>
    <w:rsid w:val="0F223EFD"/>
    <w:rsid w:val="0F5A38A4"/>
    <w:rsid w:val="0F96435C"/>
    <w:rsid w:val="0FDB0E4C"/>
    <w:rsid w:val="10455D10"/>
    <w:rsid w:val="111C165D"/>
    <w:rsid w:val="11933E27"/>
    <w:rsid w:val="11991578"/>
    <w:rsid w:val="11AD27A0"/>
    <w:rsid w:val="11E11573"/>
    <w:rsid w:val="11F5083D"/>
    <w:rsid w:val="12554940"/>
    <w:rsid w:val="12BC5F85"/>
    <w:rsid w:val="12E723B1"/>
    <w:rsid w:val="12F57AFC"/>
    <w:rsid w:val="131B3CD9"/>
    <w:rsid w:val="13A746CD"/>
    <w:rsid w:val="13E50EDE"/>
    <w:rsid w:val="14C04684"/>
    <w:rsid w:val="15403E12"/>
    <w:rsid w:val="1552554F"/>
    <w:rsid w:val="156A5AE3"/>
    <w:rsid w:val="15AD04C1"/>
    <w:rsid w:val="16324ED9"/>
    <w:rsid w:val="16C64B78"/>
    <w:rsid w:val="17516B10"/>
    <w:rsid w:val="17817D2B"/>
    <w:rsid w:val="178C75B2"/>
    <w:rsid w:val="178D7AD0"/>
    <w:rsid w:val="17A42A57"/>
    <w:rsid w:val="17D06D23"/>
    <w:rsid w:val="18303B97"/>
    <w:rsid w:val="18A672E9"/>
    <w:rsid w:val="18DB2D48"/>
    <w:rsid w:val="190B63CE"/>
    <w:rsid w:val="19447705"/>
    <w:rsid w:val="19AF54D8"/>
    <w:rsid w:val="1A6B037C"/>
    <w:rsid w:val="1B26620D"/>
    <w:rsid w:val="1C006508"/>
    <w:rsid w:val="1C4312AF"/>
    <w:rsid w:val="1C511DE4"/>
    <w:rsid w:val="1D61177E"/>
    <w:rsid w:val="1D8E2449"/>
    <w:rsid w:val="1EBB6C6C"/>
    <w:rsid w:val="1F112E2D"/>
    <w:rsid w:val="1F1C126E"/>
    <w:rsid w:val="1F2D0B44"/>
    <w:rsid w:val="1F3C056D"/>
    <w:rsid w:val="1F447E26"/>
    <w:rsid w:val="1F8F412D"/>
    <w:rsid w:val="1F963737"/>
    <w:rsid w:val="20000C9B"/>
    <w:rsid w:val="20404D03"/>
    <w:rsid w:val="204B7B48"/>
    <w:rsid w:val="206540DE"/>
    <w:rsid w:val="206F33FD"/>
    <w:rsid w:val="20EA1BF7"/>
    <w:rsid w:val="20F804AB"/>
    <w:rsid w:val="21234498"/>
    <w:rsid w:val="215F229F"/>
    <w:rsid w:val="219F0F06"/>
    <w:rsid w:val="22755592"/>
    <w:rsid w:val="22B61C24"/>
    <w:rsid w:val="232A47E7"/>
    <w:rsid w:val="23494542"/>
    <w:rsid w:val="2352124A"/>
    <w:rsid w:val="23AB7413"/>
    <w:rsid w:val="23F2091A"/>
    <w:rsid w:val="24DA0696"/>
    <w:rsid w:val="251C6306"/>
    <w:rsid w:val="252D568E"/>
    <w:rsid w:val="253A13A7"/>
    <w:rsid w:val="256D5967"/>
    <w:rsid w:val="2572277A"/>
    <w:rsid w:val="258C1362"/>
    <w:rsid w:val="260651FD"/>
    <w:rsid w:val="2649434F"/>
    <w:rsid w:val="267108DD"/>
    <w:rsid w:val="26B2082E"/>
    <w:rsid w:val="26FB67A0"/>
    <w:rsid w:val="27F46033"/>
    <w:rsid w:val="280A4100"/>
    <w:rsid w:val="28210F07"/>
    <w:rsid w:val="2822412A"/>
    <w:rsid w:val="28684C3B"/>
    <w:rsid w:val="292B5A08"/>
    <w:rsid w:val="292E4EC8"/>
    <w:rsid w:val="292F0982"/>
    <w:rsid w:val="29313DEF"/>
    <w:rsid w:val="29C01023"/>
    <w:rsid w:val="29E02520"/>
    <w:rsid w:val="29FC3ADD"/>
    <w:rsid w:val="2A1F32A0"/>
    <w:rsid w:val="2AAB6A50"/>
    <w:rsid w:val="2ADD7445"/>
    <w:rsid w:val="2B243070"/>
    <w:rsid w:val="2B2E1966"/>
    <w:rsid w:val="2B4A37A4"/>
    <w:rsid w:val="2B613234"/>
    <w:rsid w:val="2B6861CE"/>
    <w:rsid w:val="2B9F6B4D"/>
    <w:rsid w:val="2BA10B17"/>
    <w:rsid w:val="2BF60E8B"/>
    <w:rsid w:val="2C10541E"/>
    <w:rsid w:val="2C360102"/>
    <w:rsid w:val="2CE85A3D"/>
    <w:rsid w:val="2D203BBF"/>
    <w:rsid w:val="2D76092E"/>
    <w:rsid w:val="2E2135D3"/>
    <w:rsid w:val="2E4F7C8B"/>
    <w:rsid w:val="2E735ED3"/>
    <w:rsid w:val="2EAC72D2"/>
    <w:rsid w:val="2F3A51F1"/>
    <w:rsid w:val="2F577F20"/>
    <w:rsid w:val="2FAD1548"/>
    <w:rsid w:val="2FE90DE1"/>
    <w:rsid w:val="301A3D10"/>
    <w:rsid w:val="301C2F33"/>
    <w:rsid w:val="30680A57"/>
    <w:rsid w:val="306A7A51"/>
    <w:rsid w:val="30857C18"/>
    <w:rsid w:val="3095731D"/>
    <w:rsid w:val="30CA4FC9"/>
    <w:rsid w:val="3103323B"/>
    <w:rsid w:val="31267BE9"/>
    <w:rsid w:val="31491495"/>
    <w:rsid w:val="31D021BE"/>
    <w:rsid w:val="325B2481"/>
    <w:rsid w:val="326C2009"/>
    <w:rsid w:val="32B56D29"/>
    <w:rsid w:val="32D80DB5"/>
    <w:rsid w:val="33030EB6"/>
    <w:rsid w:val="332F1CFB"/>
    <w:rsid w:val="33BC12BC"/>
    <w:rsid w:val="348710E7"/>
    <w:rsid w:val="34AB2615"/>
    <w:rsid w:val="34B85758"/>
    <w:rsid w:val="35004F81"/>
    <w:rsid w:val="35054F02"/>
    <w:rsid w:val="35161967"/>
    <w:rsid w:val="352D694E"/>
    <w:rsid w:val="3560542C"/>
    <w:rsid w:val="361D4440"/>
    <w:rsid w:val="3629373D"/>
    <w:rsid w:val="36854A27"/>
    <w:rsid w:val="369A2B99"/>
    <w:rsid w:val="36B407D1"/>
    <w:rsid w:val="36C234F7"/>
    <w:rsid w:val="36DC0E89"/>
    <w:rsid w:val="372255CA"/>
    <w:rsid w:val="373E70E3"/>
    <w:rsid w:val="379876F3"/>
    <w:rsid w:val="37AE3CF3"/>
    <w:rsid w:val="37D42E6C"/>
    <w:rsid w:val="37E17227"/>
    <w:rsid w:val="37EE5CA6"/>
    <w:rsid w:val="38653676"/>
    <w:rsid w:val="38A312BD"/>
    <w:rsid w:val="38AA1FA7"/>
    <w:rsid w:val="393771F9"/>
    <w:rsid w:val="393E3625"/>
    <w:rsid w:val="39C52CB8"/>
    <w:rsid w:val="3A2F4C90"/>
    <w:rsid w:val="3A510ED9"/>
    <w:rsid w:val="3A5D6A1D"/>
    <w:rsid w:val="3AA06D1E"/>
    <w:rsid w:val="3AD23576"/>
    <w:rsid w:val="3B2550A9"/>
    <w:rsid w:val="3B395A07"/>
    <w:rsid w:val="3B5B6AD9"/>
    <w:rsid w:val="3BAA13E4"/>
    <w:rsid w:val="3BDF0EAE"/>
    <w:rsid w:val="3C08190F"/>
    <w:rsid w:val="3C216456"/>
    <w:rsid w:val="3C5E02C4"/>
    <w:rsid w:val="3CFC3DEE"/>
    <w:rsid w:val="3D1E4B3E"/>
    <w:rsid w:val="3D422253"/>
    <w:rsid w:val="3D4E7CA6"/>
    <w:rsid w:val="3DEE47C7"/>
    <w:rsid w:val="3E686856"/>
    <w:rsid w:val="3E6E4CB9"/>
    <w:rsid w:val="3ED17E79"/>
    <w:rsid w:val="3ED76E1E"/>
    <w:rsid w:val="3F320EAD"/>
    <w:rsid w:val="3FA72BC9"/>
    <w:rsid w:val="3FF41680"/>
    <w:rsid w:val="401633E7"/>
    <w:rsid w:val="40D37CCA"/>
    <w:rsid w:val="4117383C"/>
    <w:rsid w:val="41787950"/>
    <w:rsid w:val="41816313"/>
    <w:rsid w:val="42372D77"/>
    <w:rsid w:val="4246417E"/>
    <w:rsid w:val="424B7AFD"/>
    <w:rsid w:val="42796238"/>
    <w:rsid w:val="429B779C"/>
    <w:rsid w:val="42F909EF"/>
    <w:rsid w:val="43252782"/>
    <w:rsid w:val="43410626"/>
    <w:rsid w:val="43EA1508"/>
    <w:rsid w:val="44E2459E"/>
    <w:rsid w:val="457A0A19"/>
    <w:rsid w:val="458F7371"/>
    <w:rsid w:val="45A1630C"/>
    <w:rsid w:val="45A2455E"/>
    <w:rsid w:val="45BD3146"/>
    <w:rsid w:val="462C6347"/>
    <w:rsid w:val="467A114C"/>
    <w:rsid w:val="470A37CB"/>
    <w:rsid w:val="4776478B"/>
    <w:rsid w:val="47FB7F56"/>
    <w:rsid w:val="48442AAB"/>
    <w:rsid w:val="48B21272"/>
    <w:rsid w:val="48BF788A"/>
    <w:rsid w:val="48E94252"/>
    <w:rsid w:val="49250562"/>
    <w:rsid w:val="49250F5B"/>
    <w:rsid w:val="49DE3D4A"/>
    <w:rsid w:val="49F11DD3"/>
    <w:rsid w:val="49F30903"/>
    <w:rsid w:val="4A2521BA"/>
    <w:rsid w:val="4AD52485"/>
    <w:rsid w:val="4B0F61F6"/>
    <w:rsid w:val="4B1F1850"/>
    <w:rsid w:val="4B8D7117"/>
    <w:rsid w:val="4DC25072"/>
    <w:rsid w:val="4DC516DE"/>
    <w:rsid w:val="4DDB29EC"/>
    <w:rsid w:val="4E661301"/>
    <w:rsid w:val="4EC371A8"/>
    <w:rsid w:val="4F13623B"/>
    <w:rsid w:val="4F2C2F9E"/>
    <w:rsid w:val="4F5D0940"/>
    <w:rsid w:val="4F7A0F11"/>
    <w:rsid w:val="4F8D4BCA"/>
    <w:rsid w:val="4F984355"/>
    <w:rsid w:val="4FEB7151"/>
    <w:rsid w:val="5074355C"/>
    <w:rsid w:val="50A423EF"/>
    <w:rsid w:val="51543B32"/>
    <w:rsid w:val="515D0F7E"/>
    <w:rsid w:val="51A35CF3"/>
    <w:rsid w:val="520449DF"/>
    <w:rsid w:val="533760FF"/>
    <w:rsid w:val="53927209"/>
    <w:rsid w:val="53D0538E"/>
    <w:rsid w:val="53DC044E"/>
    <w:rsid w:val="542563F0"/>
    <w:rsid w:val="544976B8"/>
    <w:rsid w:val="544F7939"/>
    <w:rsid w:val="54B65F5D"/>
    <w:rsid w:val="559133DE"/>
    <w:rsid w:val="559317CE"/>
    <w:rsid w:val="55CD0FE5"/>
    <w:rsid w:val="56EA7B13"/>
    <w:rsid w:val="57112844"/>
    <w:rsid w:val="57382903"/>
    <w:rsid w:val="5780751F"/>
    <w:rsid w:val="57DC3180"/>
    <w:rsid w:val="58345976"/>
    <w:rsid w:val="58445001"/>
    <w:rsid w:val="59040C0D"/>
    <w:rsid w:val="59132950"/>
    <w:rsid w:val="59AB7711"/>
    <w:rsid w:val="5A527871"/>
    <w:rsid w:val="5AF44BF6"/>
    <w:rsid w:val="5B146085"/>
    <w:rsid w:val="5B560B37"/>
    <w:rsid w:val="5B5D268B"/>
    <w:rsid w:val="5B6C03A4"/>
    <w:rsid w:val="5BED3B7B"/>
    <w:rsid w:val="5C67747A"/>
    <w:rsid w:val="5C8013B1"/>
    <w:rsid w:val="5C962BB1"/>
    <w:rsid w:val="5CB264DA"/>
    <w:rsid w:val="5CB36CA2"/>
    <w:rsid w:val="5CF42F0E"/>
    <w:rsid w:val="5D446813"/>
    <w:rsid w:val="5D6676DD"/>
    <w:rsid w:val="5D6C356E"/>
    <w:rsid w:val="5D9204DE"/>
    <w:rsid w:val="5E207B58"/>
    <w:rsid w:val="5E5373B1"/>
    <w:rsid w:val="5E5641A7"/>
    <w:rsid w:val="5E806A9D"/>
    <w:rsid w:val="5E821FFE"/>
    <w:rsid w:val="5EA76B3F"/>
    <w:rsid w:val="5EA93E10"/>
    <w:rsid w:val="5EBD4401"/>
    <w:rsid w:val="5EC960F8"/>
    <w:rsid w:val="5EFB03E4"/>
    <w:rsid w:val="5EFC2854"/>
    <w:rsid w:val="5F36292F"/>
    <w:rsid w:val="5F89047C"/>
    <w:rsid w:val="5F9C32DB"/>
    <w:rsid w:val="5FB91C5B"/>
    <w:rsid w:val="5FE0409A"/>
    <w:rsid w:val="603E6ADD"/>
    <w:rsid w:val="608B1F43"/>
    <w:rsid w:val="608B3C69"/>
    <w:rsid w:val="6125657E"/>
    <w:rsid w:val="61445225"/>
    <w:rsid w:val="61D34332"/>
    <w:rsid w:val="62E8462B"/>
    <w:rsid w:val="635F3C96"/>
    <w:rsid w:val="63AF36A5"/>
    <w:rsid w:val="63D9574E"/>
    <w:rsid w:val="63F848CB"/>
    <w:rsid w:val="641D3774"/>
    <w:rsid w:val="6430570A"/>
    <w:rsid w:val="649367C1"/>
    <w:rsid w:val="649E0BD2"/>
    <w:rsid w:val="64B85B40"/>
    <w:rsid w:val="64D3728C"/>
    <w:rsid w:val="65A83A16"/>
    <w:rsid w:val="65F0083E"/>
    <w:rsid w:val="65F717A8"/>
    <w:rsid w:val="66235BC4"/>
    <w:rsid w:val="66E856F1"/>
    <w:rsid w:val="671D4B10"/>
    <w:rsid w:val="673A633D"/>
    <w:rsid w:val="67C25F42"/>
    <w:rsid w:val="67FF23B6"/>
    <w:rsid w:val="68403AF0"/>
    <w:rsid w:val="686974C1"/>
    <w:rsid w:val="68945B31"/>
    <w:rsid w:val="68FC4BC7"/>
    <w:rsid w:val="69602FEB"/>
    <w:rsid w:val="6972762E"/>
    <w:rsid w:val="69974044"/>
    <w:rsid w:val="69B27212"/>
    <w:rsid w:val="69E3201F"/>
    <w:rsid w:val="69F86970"/>
    <w:rsid w:val="6A5A06B4"/>
    <w:rsid w:val="6A796990"/>
    <w:rsid w:val="6B18632F"/>
    <w:rsid w:val="6B330D16"/>
    <w:rsid w:val="6B3B591B"/>
    <w:rsid w:val="6BA936A1"/>
    <w:rsid w:val="6BCD412D"/>
    <w:rsid w:val="6C280BF1"/>
    <w:rsid w:val="6C78404A"/>
    <w:rsid w:val="6CC34AFD"/>
    <w:rsid w:val="6D0D1B2C"/>
    <w:rsid w:val="6D1556B8"/>
    <w:rsid w:val="6D451547"/>
    <w:rsid w:val="6D865BD6"/>
    <w:rsid w:val="6E1E26FF"/>
    <w:rsid w:val="6E944C5A"/>
    <w:rsid w:val="6E9A55A1"/>
    <w:rsid w:val="6ED43E26"/>
    <w:rsid w:val="6F0E180A"/>
    <w:rsid w:val="6F126BB7"/>
    <w:rsid w:val="6F7A7103"/>
    <w:rsid w:val="6F8345D3"/>
    <w:rsid w:val="6F9F0C4E"/>
    <w:rsid w:val="6FB34B79"/>
    <w:rsid w:val="6FD045D6"/>
    <w:rsid w:val="70075C46"/>
    <w:rsid w:val="701B625A"/>
    <w:rsid w:val="702B3866"/>
    <w:rsid w:val="708F0462"/>
    <w:rsid w:val="70943FBF"/>
    <w:rsid w:val="70C525FF"/>
    <w:rsid w:val="70C530B4"/>
    <w:rsid w:val="70C920F0"/>
    <w:rsid w:val="70D5361B"/>
    <w:rsid w:val="712D1939"/>
    <w:rsid w:val="713D24B1"/>
    <w:rsid w:val="718129CA"/>
    <w:rsid w:val="7182567D"/>
    <w:rsid w:val="71BB547B"/>
    <w:rsid w:val="720553A9"/>
    <w:rsid w:val="7279402F"/>
    <w:rsid w:val="729D386A"/>
    <w:rsid w:val="72BC17D6"/>
    <w:rsid w:val="72C100D5"/>
    <w:rsid w:val="733964F5"/>
    <w:rsid w:val="735B285B"/>
    <w:rsid w:val="73CC53BC"/>
    <w:rsid w:val="744530C9"/>
    <w:rsid w:val="74AA04C3"/>
    <w:rsid w:val="74C6639D"/>
    <w:rsid w:val="75575362"/>
    <w:rsid w:val="75AC2735"/>
    <w:rsid w:val="75F1669B"/>
    <w:rsid w:val="760E49F1"/>
    <w:rsid w:val="76580A01"/>
    <w:rsid w:val="7686715F"/>
    <w:rsid w:val="76EC2FDC"/>
    <w:rsid w:val="77B37656"/>
    <w:rsid w:val="77C41863"/>
    <w:rsid w:val="77C44AB4"/>
    <w:rsid w:val="78292927"/>
    <w:rsid w:val="785F7FF9"/>
    <w:rsid w:val="787212BF"/>
    <w:rsid w:val="78A70F68"/>
    <w:rsid w:val="78D91510"/>
    <w:rsid w:val="795308D5"/>
    <w:rsid w:val="79A5594D"/>
    <w:rsid w:val="79CE0777"/>
    <w:rsid w:val="79EB757B"/>
    <w:rsid w:val="7A5433BE"/>
    <w:rsid w:val="7AC027B5"/>
    <w:rsid w:val="7AEC3E67"/>
    <w:rsid w:val="7B602DF4"/>
    <w:rsid w:val="7B822242"/>
    <w:rsid w:val="7B89380A"/>
    <w:rsid w:val="7C2247B1"/>
    <w:rsid w:val="7CFE70F5"/>
    <w:rsid w:val="7D492E1F"/>
    <w:rsid w:val="7D9013C5"/>
    <w:rsid w:val="7DA734BC"/>
    <w:rsid w:val="7DCD4B25"/>
    <w:rsid w:val="7DE25024"/>
    <w:rsid w:val="7E2D4DD6"/>
    <w:rsid w:val="7E430D96"/>
    <w:rsid w:val="7E766288"/>
    <w:rsid w:val="7E9F4EF6"/>
    <w:rsid w:val="7EBB0CCF"/>
    <w:rsid w:val="7EBC10D6"/>
    <w:rsid w:val="7F3E014D"/>
    <w:rsid w:val="7F9A3E85"/>
    <w:rsid w:val="7FD87B29"/>
    <w:rsid w:val="7FE404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before="150" w:beforeLines="150"/>
      <w:jc w:val="both"/>
    </w:pPr>
    <w:rPr>
      <w:rFonts w:eastAsia="宋体" w:asciiTheme="minorHAnsi" w:hAnsiTheme="minorHAnsi" w:cstheme="minorBidi"/>
      <w:kern w:val="2"/>
      <w:sz w:val="21"/>
      <w:szCs w:val="24"/>
      <w:lang w:val="en-US" w:eastAsia="zh-CN" w:bidi="ar-SA"/>
    </w:rPr>
  </w:style>
  <w:style w:type="paragraph" w:styleId="3">
    <w:name w:val="heading 1"/>
    <w:basedOn w:val="1"/>
    <w:next w:val="1"/>
    <w:qFormat/>
    <w:uiPriority w:val="0"/>
    <w:pPr>
      <w:keepNext/>
      <w:keepLines/>
      <w:spacing w:beforeLines="0" w:line="360" w:lineRule="auto"/>
      <w:outlineLvl w:val="0"/>
    </w:pPr>
    <w:rPr>
      <w:rFonts w:ascii="Times New Roman" w:hAnsi="Times New Roman" w:eastAsia="黑体"/>
      <w:kern w:val="44"/>
      <w:sz w:val="28"/>
    </w:rPr>
  </w:style>
  <w:style w:type="paragraph" w:styleId="4">
    <w:name w:val="heading 2"/>
    <w:basedOn w:val="1"/>
    <w:next w:val="5"/>
    <w:qFormat/>
    <w:uiPriority w:val="0"/>
    <w:pPr>
      <w:keepNext/>
      <w:keepLines/>
      <w:spacing w:line="360" w:lineRule="auto"/>
      <w:outlineLvl w:val="1"/>
    </w:pPr>
    <w:rPr>
      <w:rFonts w:ascii="Arial" w:hAnsi="Arial" w:eastAsia="黑体"/>
      <w:bCs/>
      <w:sz w:val="24"/>
      <w:szCs w:val="32"/>
    </w:rPr>
  </w:style>
  <w:style w:type="paragraph" w:styleId="6">
    <w:name w:val="heading 3"/>
    <w:basedOn w:val="1"/>
    <w:next w:val="1"/>
    <w:unhideWhenUsed/>
    <w:qFormat/>
    <w:uiPriority w:val="0"/>
    <w:pPr>
      <w:keepNext/>
      <w:keepLines/>
      <w:spacing w:beforeLines="0" w:line="360" w:lineRule="auto"/>
      <w:outlineLvl w:val="2"/>
    </w:pPr>
    <w:rPr>
      <w:rFonts w:ascii="Times New Roman" w:hAnsi="Times New Roman" w:eastAsia="黑体"/>
    </w:rPr>
  </w:style>
  <w:style w:type="paragraph" w:styleId="7">
    <w:name w:val="heading 4"/>
    <w:basedOn w:val="1"/>
    <w:next w:val="1"/>
    <w:unhideWhenUsed/>
    <w:qFormat/>
    <w:uiPriority w:val="0"/>
    <w:pPr>
      <w:keepNext/>
      <w:keepLines/>
      <w:spacing w:beforeLines="0" w:line="360" w:lineRule="auto"/>
      <w:outlineLvl w:val="3"/>
    </w:pPr>
    <w:rPr>
      <w:rFonts w:ascii="Arial" w:hAnsi="Arial"/>
      <w:b/>
      <w:sz w:val="24"/>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customStyle="1" w:styleId="2">
    <w:name w:val="Default"/>
    <w:unhideWhenUsed/>
    <w:qFormat/>
    <w:uiPriority w:val="99"/>
    <w:pPr>
      <w:widowControl w:val="0"/>
      <w:autoSpaceDE w:val="0"/>
      <w:autoSpaceDN w:val="0"/>
      <w:adjustRightInd w:val="0"/>
    </w:pPr>
    <w:rPr>
      <w:rFonts w:hint="eastAsia" w:ascii="Times New Roman" w:hAnsi="Times New Roman" w:eastAsia="Times New Roman" w:cs="Times New Roman"/>
      <w:color w:val="000000"/>
      <w:sz w:val="24"/>
      <w:lang w:val="en-US" w:eastAsia="zh-CN" w:bidi="ar-SA"/>
    </w:rPr>
  </w:style>
  <w:style w:type="paragraph" w:customStyle="1" w:styleId="5">
    <w:name w:val="正文字体"/>
    <w:qFormat/>
    <w:uiPriority w:val="0"/>
    <w:pPr>
      <w:keepNext/>
      <w:spacing w:line="360" w:lineRule="auto"/>
      <w:ind w:firstLine="420" w:firstLineChars="200"/>
    </w:pPr>
    <w:rPr>
      <w:rFonts w:ascii="Times New Roman" w:hAnsi="Times New Roman" w:eastAsia="宋体" w:cstheme="minorBidi"/>
      <w:sz w:val="21"/>
      <w:szCs w:val="21"/>
      <w:lang w:val="en-US" w:eastAsia="zh-CN" w:bidi="ar-SA"/>
    </w:rPr>
  </w:style>
  <w:style w:type="paragraph" w:styleId="8">
    <w:name w:val="toc 7"/>
    <w:basedOn w:val="1"/>
    <w:next w:val="1"/>
    <w:unhideWhenUsed/>
    <w:qFormat/>
    <w:uiPriority w:val="39"/>
    <w:pPr>
      <w:spacing w:before="0" w:beforeLines="0"/>
      <w:ind w:left="2520" w:leftChars="1200"/>
    </w:pPr>
    <w:rPr>
      <w:rFonts w:eastAsiaTheme="minorEastAsia"/>
      <w:szCs w:val="22"/>
    </w:rPr>
  </w:style>
  <w:style w:type="paragraph" w:styleId="9">
    <w:name w:val="annotation text"/>
    <w:basedOn w:val="1"/>
    <w:link w:val="34"/>
    <w:qFormat/>
    <w:uiPriority w:val="0"/>
    <w:pPr>
      <w:jc w:val="left"/>
    </w:pPr>
  </w:style>
  <w:style w:type="paragraph" w:styleId="10">
    <w:name w:val="Body Text"/>
    <w:basedOn w:val="1"/>
    <w:link w:val="35"/>
    <w:qFormat/>
    <w:uiPriority w:val="0"/>
    <w:pPr>
      <w:spacing w:after="120"/>
    </w:pPr>
  </w:style>
  <w:style w:type="paragraph" w:styleId="11">
    <w:name w:val="Body Text Indent"/>
    <w:basedOn w:val="1"/>
    <w:qFormat/>
    <w:uiPriority w:val="0"/>
    <w:pPr>
      <w:ind w:firstLine="480" w:firstLineChars="200"/>
    </w:pPr>
    <w:rPr>
      <w:sz w:val="24"/>
    </w:rPr>
  </w:style>
  <w:style w:type="paragraph" w:styleId="12">
    <w:name w:val="List 2"/>
    <w:basedOn w:val="1"/>
    <w:qFormat/>
    <w:uiPriority w:val="0"/>
    <w:pPr>
      <w:ind w:left="100" w:leftChars="200" w:hanging="200" w:hangingChars="200"/>
    </w:pPr>
    <w:rPr>
      <w:rFonts w:ascii="仿宋_GB2312" w:hAnsi="宋体" w:eastAsia="仿宋_GB2312" w:cs="宋体"/>
      <w:color w:val="000000"/>
      <w:kern w:val="0"/>
      <w:sz w:val="30"/>
      <w:szCs w:val="30"/>
    </w:rPr>
  </w:style>
  <w:style w:type="paragraph" w:styleId="13">
    <w:name w:val="List Continue"/>
    <w:basedOn w:val="1"/>
    <w:qFormat/>
    <w:uiPriority w:val="0"/>
    <w:pPr>
      <w:spacing w:after="120"/>
      <w:ind w:left="420" w:leftChars="200"/>
    </w:pPr>
    <w:rPr>
      <w:rFonts w:ascii="仿宋_GB2312" w:hAnsi="宋体" w:eastAsia="仿宋_GB2312" w:cs="宋体"/>
      <w:color w:val="000000"/>
      <w:kern w:val="0"/>
      <w:sz w:val="30"/>
      <w:szCs w:val="30"/>
    </w:rPr>
  </w:style>
  <w:style w:type="paragraph" w:styleId="14">
    <w:name w:val="toc 5"/>
    <w:basedOn w:val="1"/>
    <w:next w:val="1"/>
    <w:unhideWhenUsed/>
    <w:qFormat/>
    <w:uiPriority w:val="39"/>
    <w:pPr>
      <w:spacing w:before="0" w:beforeLines="0"/>
      <w:ind w:left="1680" w:leftChars="800"/>
    </w:pPr>
    <w:rPr>
      <w:rFonts w:eastAsiaTheme="minorEastAsia"/>
      <w:szCs w:val="22"/>
    </w:rPr>
  </w:style>
  <w:style w:type="paragraph" w:styleId="15">
    <w:name w:val="toc 3"/>
    <w:basedOn w:val="1"/>
    <w:next w:val="1"/>
    <w:qFormat/>
    <w:uiPriority w:val="39"/>
    <w:pPr>
      <w:ind w:left="840" w:leftChars="400"/>
    </w:pPr>
  </w:style>
  <w:style w:type="paragraph" w:styleId="16">
    <w:name w:val="toc 8"/>
    <w:basedOn w:val="1"/>
    <w:next w:val="1"/>
    <w:unhideWhenUsed/>
    <w:qFormat/>
    <w:uiPriority w:val="39"/>
    <w:pPr>
      <w:spacing w:before="0" w:beforeLines="0"/>
      <w:ind w:left="2940" w:leftChars="1400"/>
    </w:pPr>
    <w:rPr>
      <w:rFonts w:eastAsiaTheme="minorEastAsia"/>
      <w:szCs w:val="22"/>
    </w:rPr>
  </w:style>
  <w:style w:type="paragraph" w:styleId="17">
    <w:name w:val="Balloon Text"/>
    <w:basedOn w:val="1"/>
    <w:link w:val="42"/>
    <w:qFormat/>
    <w:uiPriority w:val="0"/>
    <w:pPr>
      <w:spacing w:before="0"/>
    </w:pPr>
    <w:rPr>
      <w:sz w:val="18"/>
      <w:szCs w:val="18"/>
    </w:rPr>
  </w:style>
  <w:style w:type="paragraph" w:styleId="18">
    <w:name w:val="footer"/>
    <w:basedOn w:val="1"/>
    <w:qFormat/>
    <w:uiPriority w:val="0"/>
    <w:pPr>
      <w:tabs>
        <w:tab w:val="center" w:pos="4153"/>
        <w:tab w:val="right" w:pos="8306"/>
      </w:tabs>
      <w:snapToGrid w:val="0"/>
      <w:jc w:val="left"/>
    </w:pPr>
    <w:rPr>
      <w:sz w:val="18"/>
      <w:szCs w:val="18"/>
    </w:rPr>
  </w:style>
  <w:style w:type="paragraph" w:styleId="1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20">
    <w:name w:val="toc 1"/>
    <w:basedOn w:val="1"/>
    <w:next w:val="1"/>
    <w:qFormat/>
    <w:uiPriority w:val="39"/>
  </w:style>
  <w:style w:type="paragraph" w:styleId="21">
    <w:name w:val="toc 4"/>
    <w:basedOn w:val="1"/>
    <w:next w:val="1"/>
    <w:unhideWhenUsed/>
    <w:qFormat/>
    <w:uiPriority w:val="39"/>
    <w:pPr>
      <w:spacing w:before="0" w:beforeLines="0"/>
      <w:ind w:left="1260" w:leftChars="600"/>
    </w:pPr>
    <w:rPr>
      <w:rFonts w:eastAsiaTheme="minorEastAsia"/>
      <w:szCs w:val="22"/>
    </w:rPr>
  </w:style>
  <w:style w:type="paragraph" w:styleId="22">
    <w:name w:val="List"/>
    <w:basedOn w:val="1"/>
    <w:qFormat/>
    <w:uiPriority w:val="0"/>
    <w:pPr>
      <w:ind w:left="200" w:hanging="200" w:hangingChars="200"/>
    </w:pPr>
    <w:rPr>
      <w:rFonts w:ascii="仿宋_GB2312" w:hAnsi="宋体" w:eastAsia="仿宋_GB2312" w:cs="Times New Roman"/>
      <w:color w:val="000000"/>
      <w:kern w:val="0"/>
      <w:sz w:val="30"/>
      <w:szCs w:val="30"/>
    </w:rPr>
  </w:style>
  <w:style w:type="paragraph" w:styleId="23">
    <w:name w:val="toc 6"/>
    <w:basedOn w:val="1"/>
    <w:next w:val="1"/>
    <w:unhideWhenUsed/>
    <w:qFormat/>
    <w:uiPriority w:val="39"/>
    <w:pPr>
      <w:spacing w:before="0" w:beforeLines="0"/>
      <w:ind w:left="2100" w:leftChars="1000"/>
    </w:pPr>
    <w:rPr>
      <w:rFonts w:eastAsiaTheme="minorEastAsia"/>
      <w:szCs w:val="22"/>
    </w:rPr>
  </w:style>
  <w:style w:type="paragraph" w:styleId="24">
    <w:name w:val="toc 2"/>
    <w:basedOn w:val="1"/>
    <w:next w:val="1"/>
    <w:qFormat/>
    <w:uiPriority w:val="39"/>
    <w:pPr>
      <w:ind w:left="420" w:leftChars="200"/>
    </w:pPr>
  </w:style>
  <w:style w:type="paragraph" w:styleId="25">
    <w:name w:val="toc 9"/>
    <w:basedOn w:val="1"/>
    <w:next w:val="1"/>
    <w:unhideWhenUsed/>
    <w:qFormat/>
    <w:uiPriority w:val="39"/>
    <w:pPr>
      <w:spacing w:before="0" w:beforeLines="0"/>
      <w:ind w:left="3360" w:leftChars="1600"/>
    </w:pPr>
    <w:rPr>
      <w:rFonts w:eastAsiaTheme="minorEastAsia"/>
      <w:szCs w:val="22"/>
    </w:rPr>
  </w:style>
  <w:style w:type="paragraph" w:styleId="26">
    <w:name w:val="Normal (Web)"/>
    <w:basedOn w:val="1"/>
    <w:qFormat/>
    <w:uiPriority w:val="0"/>
    <w:pPr>
      <w:spacing w:before="0" w:beforeAutospacing="1" w:after="0" w:afterAutospacing="1"/>
      <w:ind w:left="0" w:right="0"/>
      <w:jc w:val="left"/>
    </w:pPr>
    <w:rPr>
      <w:kern w:val="0"/>
      <w:sz w:val="24"/>
      <w:lang w:val="en-US" w:eastAsia="zh-CN" w:bidi="ar"/>
    </w:rPr>
  </w:style>
  <w:style w:type="paragraph" w:styleId="27">
    <w:name w:val="annotation subject"/>
    <w:basedOn w:val="9"/>
    <w:next w:val="9"/>
    <w:link w:val="41"/>
    <w:qFormat/>
    <w:uiPriority w:val="0"/>
    <w:pPr>
      <w:spacing w:after="0"/>
    </w:pPr>
    <w:rPr>
      <w:b/>
      <w:bCs/>
    </w:rPr>
  </w:style>
  <w:style w:type="table" w:styleId="29">
    <w:name w:val="Table Grid"/>
    <w:basedOn w:val="28"/>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31">
    <w:name w:val="FollowedHyperlink"/>
    <w:basedOn w:val="30"/>
    <w:qFormat/>
    <w:uiPriority w:val="0"/>
    <w:rPr>
      <w:color w:val="800080"/>
      <w:u w:val="single"/>
    </w:rPr>
  </w:style>
  <w:style w:type="character" w:styleId="32">
    <w:name w:val="Hyperlink"/>
    <w:basedOn w:val="30"/>
    <w:unhideWhenUsed/>
    <w:qFormat/>
    <w:uiPriority w:val="99"/>
    <w:rPr>
      <w:color w:val="0563C1" w:themeColor="hyperlink"/>
      <w:u w:val="single"/>
      <w14:textFill>
        <w14:solidFill>
          <w14:schemeClr w14:val="hlink"/>
        </w14:solidFill>
      </w14:textFill>
    </w:rPr>
  </w:style>
  <w:style w:type="character" w:styleId="33">
    <w:name w:val="annotation reference"/>
    <w:basedOn w:val="30"/>
    <w:qFormat/>
    <w:uiPriority w:val="0"/>
    <w:rPr>
      <w:sz w:val="21"/>
      <w:szCs w:val="21"/>
    </w:rPr>
  </w:style>
  <w:style w:type="character" w:customStyle="1" w:styleId="34">
    <w:name w:val="批注文字 Char"/>
    <w:basedOn w:val="35"/>
    <w:link w:val="9"/>
    <w:qFormat/>
    <w:uiPriority w:val="0"/>
    <w:rPr>
      <w:rFonts w:asciiTheme="minorHAnsi" w:hAnsiTheme="minorHAnsi" w:cstheme="minorBidi"/>
      <w:kern w:val="2"/>
      <w:sz w:val="21"/>
      <w:szCs w:val="24"/>
    </w:rPr>
  </w:style>
  <w:style w:type="character" w:customStyle="1" w:styleId="35">
    <w:name w:val="正文文本 Char"/>
    <w:basedOn w:val="30"/>
    <w:link w:val="10"/>
    <w:qFormat/>
    <w:uiPriority w:val="0"/>
    <w:rPr>
      <w:rFonts w:asciiTheme="minorHAnsi" w:hAnsiTheme="minorHAnsi" w:cstheme="minorBidi"/>
      <w:kern w:val="2"/>
      <w:sz w:val="21"/>
      <w:szCs w:val="24"/>
    </w:rPr>
  </w:style>
  <w:style w:type="paragraph" w:customStyle="1" w:styleId="36">
    <w:name w:val="列出段落1"/>
    <w:basedOn w:val="1"/>
    <w:qFormat/>
    <w:uiPriority w:val="0"/>
    <w:pPr>
      <w:spacing w:before="0"/>
      <w:ind w:firstLine="420" w:firstLineChars="200"/>
    </w:pPr>
    <w:rPr>
      <w:rFonts w:ascii="Times New Roman" w:hAnsi="Times New Roman" w:cs="Times New Roman"/>
      <w:szCs w:val="21"/>
    </w:rPr>
  </w:style>
  <w:style w:type="paragraph" w:customStyle="1" w:styleId="37">
    <w:name w:val="WPSOffice手动目录 1"/>
    <w:qFormat/>
    <w:uiPriority w:val="0"/>
    <w:rPr>
      <w:rFonts w:ascii="Times New Roman" w:hAnsi="Times New Roman" w:eastAsia="宋体" w:cs="Times New Roman"/>
      <w:lang w:val="en-US" w:eastAsia="zh-CN" w:bidi="ar-SA"/>
    </w:rPr>
  </w:style>
  <w:style w:type="paragraph" w:customStyle="1" w:styleId="3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9">
    <w:name w:val="WPSOffice手动目录 3"/>
    <w:qFormat/>
    <w:uiPriority w:val="0"/>
    <w:pPr>
      <w:ind w:left="400" w:leftChars="400"/>
    </w:pPr>
    <w:rPr>
      <w:rFonts w:ascii="Times New Roman" w:hAnsi="Times New Roman" w:eastAsia="宋体" w:cs="Times New Roman"/>
      <w:lang w:val="en-US" w:eastAsia="zh-CN" w:bidi="ar-SA"/>
    </w:rPr>
  </w:style>
  <w:style w:type="paragraph" w:styleId="40">
    <w:name w:val="List Paragraph"/>
    <w:basedOn w:val="1"/>
    <w:qFormat/>
    <w:uiPriority w:val="99"/>
    <w:pPr>
      <w:ind w:firstLine="420" w:firstLineChars="200"/>
    </w:pPr>
  </w:style>
  <w:style w:type="character" w:customStyle="1" w:styleId="41">
    <w:name w:val="批注主题 Char"/>
    <w:basedOn w:val="34"/>
    <w:link w:val="27"/>
    <w:qFormat/>
    <w:uiPriority w:val="0"/>
    <w:rPr>
      <w:rFonts w:asciiTheme="minorHAnsi" w:hAnsiTheme="minorHAnsi" w:cstheme="minorBidi"/>
      <w:b/>
      <w:bCs/>
      <w:kern w:val="2"/>
      <w:sz w:val="21"/>
      <w:szCs w:val="24"/>
    </w:rPr>
  </w:style>
  <w:style w:type="character" w:customStyle="1" w:styleId="42">
    <w:name w:val="批注框文本 Char"/>
    <w:basedOn w:val="30"/>
    <w:link w:val="17"/>
    <w:qFormat/>
    <w:uiPriority w:val="0"/>
    <w:rPr>
      <w:rFonts w:asciiTheme="minorHAnsi" w:hAnsiTheme="minorHAnsi"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wmf"/><Relationship Id="rId13" Type="http://schemas.openxmlformats.org/officeDocument/2006/relationships/oleObject" Target="embeddings/oleObject1.bin"/><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0B7B73C-0E7D-49C0-A758-95E2FE4B34B2}">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41</Pages>
  <Words>3170</Words>
  <Characters>3786</Characters>
  <Lines>8866</Lines>
  <Paragraphs>8321</Paragraphs>
  <TotalTime>1101</TotalTime>
  <ScaleCrop>false</ScaleCrop>
  <LinksUpToDate>false</LinksUpToDate>
  <CharactersWithSpaces>4220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2022-01-30T00:11:00Z</dcterms:created>
  <dc:creator>李砾</dc:creator>
  <cp:lastModifiedBy>孙云杰</cp:lastModifiedBy>
  <cp:lastPrinted>2022-07-04T00:56:00Z</cp:lastPrinted>
  <dcterms:modified xsi:type="dcterms:W3CDTF">2025-12-01T12:18:34Z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8BBB80B1E47F437ABD3D9BF6426DE517</vt:lpwstr>
  </property>
  <property fmtid="{D5CDD505-2E9C-101B-9397-08002B2CF9AE}" pid="4" name="KSOTemplateDocerSaveRecord">
    <vt:lpwstr>eyJoZGlkIjoiNmUxNjk0YTdkMWFhYjFkYjg2Y2YyODI3MjU5YjFiNTYiLCJ1c2VySWQiOiIxMDc3MTM3MzU4In0=</vt:lpwstr>
  </property>
</Properties>
</file>