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089" w:rsidRDefault="00035E4E">
      <w:pPr>
        <w:pStyle w:val="21"/>
        <w:spacing w:line="360" w:lineRule="auto"/>
        <w:ind w:leftChars="47" w:left="197" w:hangingChars="35" w:hanging="98"/>
        <w:rPr>
          <w:rFonts w:ascii="Times New Roman" w:eastAsia="宋体" w:hAnsi="Times New Roman" w:cs="Times New Roman"/>
          <w:sz w:val="28"/>
          <w:szCs w:val="28"/>
        </w:rPr>
      </w:pPr>
      <w:r>
        <w:rPr>
          <w:rFonts w:ascii="Times New Roman" w:eastAsia="宋体" w:hAnsi="Times New Roman" w:cs="Times New Roman"/>
          <w:sz w:val="28"/>
          <w:szCs w:val="28"/>
        </w:rPr>
        <w:t>方案编号：</w:t>
      </w:r>
      <w:bookmarkStart w:id="0" w:name="OLE_LINK8"/>
      <w:r>
        <w:rPr>
          <w:rFonts w:ascii="Times New Roman" w:eastAsia="宋体" w:hAnsi="Times New Roman" w:cs="Times New Roman" w:hint="eastAsia"/>
          <w:sz w:val="28"/>
          <w:szCs w:val="28"/>
        </w:rPr>
        <w:t>I</w:t>
      </w:r>
      <w:r>
        <w:rPr>
          <w:rFonts w:ascii="Times New Roman" w:eastAsia="宋体" w:hAnsi="Times New Roman" w:cs="Times New Roman"/>
          <w:sz w:val="28"/>
          <w:szCs w:val="28"/>
        </w:rPr>
        <w:t>VL2023</w:t>
      </w:r>
      <w:bookmarkEnd w:id="0"/>
    </w:p>
    <w:p w:rsidR="00CA2089" w:rsidRDefault="00CA2089">
      <w:pPr>
        <w:pStyle w:val="21"/>
        <w:spacing w:line="360" w:lineRule="auto"/>
        <w:ind w:leftChars="8" w:left="17" w:firstLineChars="200" w:firstLine="560"/>
        <w:rPr>
          <w:rFonts w:ascii="Times New Roman" w:eastAsia="宋体" w:hAnsi="Times New Roman" w:cs="Times New Roman"/>
          <w:sz w:val="28"/>
          <w:szCs w:val="28"/>
        </w:rPr>
      </w:pPr>
    </w:p>
    <w:p w:rsidR="00CA2089" w:rsidRDefault="00CA2089">
      <w:pPr>
        <w:pStyle w:val="21"/>
        <w:spacing w:line="360" w:lineRule="auto"/>
        <w:ind w:leftChars="8" w:left="17" w:firstLineChars="200" w:firstLine="560"/>
        <w:rPr>
          <w:rFonts w:ascii="Times New Roman" w:eastAsia="宋体" w:hAnsi="Times New Roman" w:cs="Times New Roman"/>
          <w:sz w:val="28"/>
          <w:szCs w:val="28"/>
        </w:rPr>
      </w:pPr>
    </w:p>
    <w:p w:rsidR="00CA2089" w:rsidRDefault="00035E4E">
      <w:pPr>
        <w:jc w:val="center"/>
        <w:rPr>
          <w:sz w:val="28"/>
          <w:szCs w:val="28"/>
        </w:rPr>
      </w:pPr>
      <w:r>
        <w:rPr>
          <w:b/>
          <w:color w:val="000000"/>
          <w:kern w:val="0"/>
          <w:sz w:val="30"/>
          <w:szCs w:val="30"/>
        </w:rPr>
        <w:t>评价血管内冲击波治疗设备和震波球囊扩张导管用于冠状动脉钙化病变的安全性和有效性的前瞻性、多中心、单组目标值临床试验</w:t>
      </w: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CA2089">
      <w:pPr>
        <w:pStyle w:val="a7"/>
        <w:spacing w:beforeLines="0" w:before="0" w:afterLines="0" w:after="0" w:line="360" w:lineRule="auto"/>
        <w:ind w:firstLineChars="0" w:firstLine="0"/>
        <w:rPr>
          <w:rFonts w:ascii="Times New Roman" w:hAnsi="Times New Roman" w:cs="Times New Roman"/>
          <w:sz w:val="28"/>
          <w:szCs w:val="28"/>
        </w:rPr>
      </w:pPr>
    </w:p>
    <w:p w:rsidR="00CA2089" w:rsidRDefault="00035E4E">
      <w:pPr>
        <w:pStyle w:val="a7"/>
        <w:spacing w:beforeLines="0" w:before="0" w:afterLines="0" w:after="0" w:line="360" w:lineRule="auto"/>
        <w:ind w:firstLineChars="300" w:firstLine="840"/>
        <w:rPr>
          <w:rFonts w:ascii="Times New Roman" w:hAnsi="Times New Roman" w:cs="Times New Roman"/>
          <w:sz w:val="28"/>
          <w:szCs w:val="28"/>
        </w:rPr>
      </w:pPr>
      <w:r>
        <w:rPr>
          <w:rFonts w:ascii="Times New Roman" w:hAnsi="Times New Roman" w:cs="Times New Roman"/>
          <w:sz w:val="28"/>
          <w:szCs w:val="28"/>
        </w:rPr>
        <w:t>试验医疗器械名称：血管内冲击波治疗设备</w:t>
      </w:r>
      <w:r>
        <w:rPr>
          <w:rFonts w:ascii="Times New Roman" w:hAnsi="Times New Roman" w:cs="Times New Roman" w:hint="eastAsia"/>
          <w:sz w:val="28"/>
          <w:szCs w:val="28"/>
        </w:rPr>
        <w:t>和</w:t>
      </w:r>
      <w:r>
        <w:rPr>
          <w:rFonts w:ascii="Times New Roman" w:hAnsi="Times New Roman" w:cs="Times New Roman"/>
          <w:sz w:val="28"/>
          <w:szCs w:val="28"/>
        </w:rPr>
        <w:t>震波球囊扩张导管</w:t>
      </w:r>
    </w:p>
    <w:p w:rsidR="00CA2089" w:rsidRDefault="00035E4E">
      <w:pPr>
        <w:pStyle w:val="21"/>
        <w:spacing w:line="360" w:lineRule="auto"/>
        <w:ind w:leftChars="23" w:left="48" w:firstLineChars="120" w:firstLine="782"/>
        <w:rPr>
          <w:rFonts w:ascii="Times New Roman" w:eastAsia="宋体" w:hAnsi="Times New Roman" w:cs="Times New Roman"/>
          <w:sz w:val="28"/>
          <w:szCs w:val="28"/>
        </w:rPr>
      </w:pPr>
      <w:r>
        <w:rPr>
          <w:rFonts w:ascii="Times New Roman" w:eastAsia="宋体" w:hAnsi="Times New Roman" w:cs="Times New Roman"/>
          <w:spacing w:val="186"/>
          <w:sz w:val="28"/>
          <w:szCs w:val="28"/>
          <w:fitText w:val="2240" w:id="-1244411648"/>
        </w:rPr>
        <w:t>型号规</w:t>
      </w:r>
      <w:r>
        <w:rPr>
          <w:rFonts w:ascii="Times New Roman" w:eastAsia="宋体" w:hAnsi="Times New Roman" w:cs="Times New Roman"/>
          <w:spacing w:val="2"/>
          <w:sz w:val="28"/>
          <w:szCs w:val="28"/>
          <w:fitText w:val="2240" w:id="-1244411648"/>
        </w:rPr>
        <w:t>格</w:t>
      </w:r>
      <w:r>
        <w:rPr>
          <w:rFonts w:ascii="Times New Roman" w:eastAsia="宋体" w:hAnsi="Times New Roman" w:cs="Times New Roman"/>
          <w:sz w:val="28"/>
          <w:szCs w:val="28"/>
        </w:rPr>
        <w:t>：血管内冲击波治疗设备：</w:t>
      </w:r>
      <w:r>
        <w:rPr>
          <w:rFonts w:ascii="Times New Roman" w:eastAsia="宋体" w:hAnsi="Times New Roman" w:cs="Times New Roman"/>
          <w:sz w:val="28"/>
          <w:szCs w:val="28"/>
        </w:rPr>
        <w:t>ShockPulse-10</w:t>
      </w:r>
    </w:p>
    <w:p w:rsidR="00CA2089" w:rsidRDefault="00035E4E">
      <w:pPr>
        <w:pStyle w:val="21"/>
        <w:spacing w:line="360" w:lineRule="auto"/>
        <w:ind w:leftChars="23" w:left="48" w:firstLineChars="1218" w:firstLine="3410"/>
        <w:rPr>
          <w:rFonts w:ascii="Times New Roman" w:eastAsia="宋体" w:hAnsi="Times New Roman" w:cs="Times New Roman"/>
          <w:sz w:val="28"/>
          <w:szCs w:val="28"/>
        </w:rPr>
      </w:pPr>
      <w:r>
        <w:rPr>
          <w:rFonts w:ascii="Times New Roman" w:eastAsia="宋体" w:hAnsi="Times New Roman" w:cs="Times New Roman"/>
          <w:sz w:val="28"/>
          <w:szCs w:val="28"/>
        </w:rPr>
        <w:t>震波球囊扩张导管：见附录</w:t>
      </w:r>
      <w:r>
        <w:rPr>
          <w:rFonts w:ascii="Times New Roman" w:eastAsia="宋体" w:hAnsi="Times New Roman" w:cs="Times New Roman"/>
          <w:sz w:val="28"/>
          <w:szCs w:val="28"/>
        </w:rPr>
        <w:t>1</w:t>
      </w:r>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需进行临床试验审批的第三类医疗器械</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是</w:t>
      </w:r>
      <w:r>
        <w:rPr>
          <w:rFonts w:ascii="宋体" w:eastAsia="宋体" w:cs="Times New Roman"/>
          <w:sz w:val="28"/>
          <w:szCs w:val="28"/>
        </w:rPr>
        <w:t>□</w:t>
      </w:r>
      <w:r>
        <w:rPr>
          <w:rFonts w:ascii="Times New Roman" w:eastAsia="宋体" w:hAnsi="Times New Roman" w:cs="Times New Roman"/>
          <w:sz w:val="28"/>
          <w:szCs w:val="28"/>
        </w:rPr>
        <w:t xml:space="preserve">  </w:t>
      </w:r>
      <w:r>
        <w:rPr>
          <w:rFonts w:ascii="Times New Roman" w:eastAsia="宋体" w:hAnsi="Times New Roman" w:cs="Times New Roman"/>
          <w:sz w:val="28"/>
          <w:szCs w:val="28"/>
        </w:rPr>
        <w:t>否</w:t>
      </w:r>
      <w:bookmarkStart w:id="1" w:name="OLE_LINK6"/>
      <w:r>
        <w:rPr>
          <w:rFonts w:ascii="Times New Roman" w:eastAsia="宋体" w:hAnsi="Times New Roman" w:cs="Times New Roman"/>
          <w:sz w:val="28"/>
          <w:szCs w:val="28"/>
        </w:rPr>
        <w:sym w:font="Wingdings 2" w:char="0052"/>
      </w:r>
      <w:bookmarkEnd w:id="1"/>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方案版本号和日期：</w:t>
      </w:r>
      <w:r>
        <w:rPr>
          <w:rFonts w:ascii="Times New Roman" w:eastAsia="宋体" w:hAnsi="Times New Roman" w:cs="Times New Roman"/>
          <w:sz w:val="28"/>
          <w:szCs w:val="28"/>
        </w:rPr>
        <w:t>V1.</w:t>
      </w:r>
      <w:r w:rsidR="00E102D5">
        <w:rPr>
          <w:rFonts w:ascii="Times New Roman" w:eastAsia="宋体" w:hAnsi="Times New Roman" w:cs="Times New Roman"/>
          <w:sz w:val="28"/>
          <w:szCs w:val="28"/>
        </w:rPr>
        <w:t>4</w:t>
      </w:r>
      <w:r>
        <w:rPr>
          <w:rFonts w:ascii="Times New Roman" w:eastAsia="宋体" w:hAnsi="Times New Roman" w:cs="Times New Roman"/>
          <w:sz w:val="28"/>
          <w:szCs w:val="28"/>
        </w:rPr>
        <w:t>/</w:t>
      </w:r>
      <w:r w:rsidR="00E102D5">
        <w:rPr>
          <w:rFonts w:ascii="Times New Roman" w:eastAsia="宋体" w:hAnsi="Times New Roman" w:cs="Times New Roman"/>
          <w:sz w:val="28"/>
          <w:szCs w:val="28"/>
        </w:rPr>
        <w:t>2025</w:t>
      </w:r>
      <w:r>
        <w:rPr>
          <w:rFonts w:ascii="Times New Roman" w:eastAsia="宋体" w:hAnsi="Times New Roman" w:cs="Times New Roman"/>
          <w:sz w:val="28"/>
          <w:szCs w:val="28"/>
        </w:rPr>
        <w:t>.</w:t>
      </w:r>
      <w:r w:rsidR="00E102D5">
        <w:rPr>
          <w:rFonts w:ascii="Times New Roman" w:eastAsia="宋体" w:hAnsi="Times New Roman" w:cs="Times New Roman"/>
          <w:sz w:val="28"/>
          <w:szCs w:val="28"/>
        </w:rPr>
        <w:t>07</w:t>
      </w:r>
      <w:r>
        <w:rPr>
          <w:rFonts w:ascii="Times New Roman" w:eastAsia="宋体" w:hAnsi="Times New Roman" w:cs="Times New Roman"/>
          <w:sz w:val="28"/>
          <w:szCs w:val="28"/>
        </w:rPr>
        <w:t>.</w:t>
      </w:r>
      <w:r w:rsidR="00CE738E">
        <w:rPr>
          <w:rFonts w:ascii="Times New Roman" w:eastAsia="宋体" w:hAnsi="Times New Roman" w:cs="Times New Roman"/>
          <w:sz w:val="28"/>
          <w:szCs w:val="28"/>
        </w:rPr>
        <w:t>17</w:t>
      </w:r>
    </w:p>
    <w:p w:rsidR="00CA2089" w:rsidRDefault="00035E4E">
      <w:pPr>
        <w:pStyle w:val="21"/>
        <w:spacing w:line="360" w:lineRule="auto"/>
        <w:ind w:leftChars="0" w:left="0" w:firstLineChars="300" w:firstLine="840"/>
        <w:rPr>
          <w:rFonts w:ascii="Times New Roman" w:eastAsia="宋体" w:hAnsi="Times New Roman" w:cs="Times New Roman"/>
          <w:sz w:val="28"/>
          <w:szCs w:val="28"/>
        </w:rPr>
      </w:pPr>
      <w:r>
        <w:rPr>
          <w:rFonts w:ascii="Times New Roman" w:eastAsia="宋体" w:hAnsi="Times New Roman" w:cs="Times New Roman"/>
          <w:sz w:val="28"/>
          <w:szCs w:val="28"/>
        </w:rPr>
        <w:t>临床试验组长单位：</w:t>
      </w:r>
      <w:r>
        <w:rPr>
          <w:rFonts w:ascii="Times New Roman" w:eastAsia="宋体" w:hAnsi="Times New Roman" w:cs="Times New Roman" w:hint="eastAsia"/>
          <w:sz w:val="28"/>
          <w:szCs w:val="28"/>
        </w:rPr>
        <w:t>首都医科大学附属北京安贞医院</w:t>
      </w:r>
    </w:p>
    <w:p w:rsidR="00CA2089" w:rsidRDefault="00035E4E">
      <w:pPr>
        <w:pStyle w:val="21"/>
        <w:spacing w:line="360" w:lineRule="auto"/>
        <w:ind w:leftChars="0" w:left="0" w:firstLineChars="170" w:firstLine="833"/>
        <w:rPr>
          <w:rFonts w:ascii="Times New Roman" w:eastAsia="宋体" w:hAnsi="Times New Roman" w:cs="Times New Roman"/>
          <w:sz w:val="28"/>
          <w:szCs w:val="28"/>
        </w:rPr>
      </w:pPr>
      <w:r>
        <w:rPr>
          <w:rFonts w:ascii="Times New Roman" w:eastAsia="宋体" w:hAnsi="Times New Roman" w:cs="Times New Roman"/>
          <w:spacing w:val="105"/>
          <w:sz w:val="28"/>
          <w:szCs w:val="28"/>
          <w:fitText w:val="2240" w:id="-1244411647"/>
        </w:rPr>
        <w:t>协调研究</w:t>
      </w:r>
      <w:r>
        <w:rPr>
          <w:rFonts w:ascii="Times New Roman" w:eastAsia="宋体" w:hAnsi="Times New Roman" w:cs="Times New Roman"/>
          <w:sz w:val="28"/>
          <w:szCs w:val="28"/>
          <w:fitText w:val="2240" w:id="-1244411647"/>
        </w:rPr>
        <w:t>者</w:t>
      </w:r>
      <w:r>
        <w:rPr>
          <w:rFonts w:ascii="Times New Roman" w:eastAsia="宋体" w:hAnsi="Times New Roman" w:cs="Times New Roman"/>
          <w:sz w:val="28"/>
          <w:szCs w:val="28"/>
        </w:rPr>
        <w:t>：</w:t>
      </w:r>
      <w:bookmarkStart w:id="2" w:name="OLE_LINK7"/>
      <w:proofErr w:type="gramStart"/>
      <w:r>
        <w:rPr>
          <w:rFonts w:ascii="Times New Roman" w:eastAsia="宋体" w:hAnsi="Times New Roman" w:cs="Times New Roman" w:hint="eastAsia"/>
          <w:sz w:val="28"/>
          <w:szCs w:val="28"/>
        </w:rPr>
        <w:t>宋现涛</w:t>
      </w:r>
      <w:bookmarkEnd w:id="2"/>
      <w:proofErr w:type="gramEnd"/>
    </w:p>
    <w:p w:rsidR="00CA2089" w:rsidRDefault="00035E4E">
      <w:pPr>
        <w:pStyle w:val="21"/>
        <w:spacing w:line="360" w:lineRule="auto"/>
        <w:ind w:leftChars="0" w:left="0" w:firstLineChars="80" w:firstLine="784"/>
        <w:rPr>
          <w:rFonts w:ascii="Times New Roman" w:hAnsi="Times New Roman" w:cs="Times New Roman"/>
          <w:b/>
          <w:sz w:val="28"/>
          <w:szCs w:val="28"/>
        </w:rPr>
        <w:sectPr w:rsidR="00CA2089">
          <w:headerReference w:type="default" r:id="rId8"/>
          <w:footerReference w:type="even" r:id="rId9"/>
          <w:footerReference w:type="default" r:id="rId10"/>
          <w:pgSz w:w="11906" w:h="16838"/>
          <w:pgMar w:top="1928" w:right="1531" w:bottom="1814" w:left="1531" w:header="1077" w:footer="1361" w:gutter="0"/>
          <w:pgNumType w:fmt="upperRoman" w:start="1"/>
          <w:cols w:space="720"/>
          <w:docGrid w:type="lines" w:linePitch="312"/>
        </w:sectPr>
      </w:pPr>
      <w:r>
        <w:rPr>
          <w:rFonts w:ascii="Times New Roman" w:eastAsia="宋体" w:hAnsi="Times New Roman" w:cs="Times New Roman"/>
          <w:spacing w:val="350"/>
          <w:sz w:val="28"/>
          <w:szCs w:val="28"/>
          <w:fitText w:val="2240" w:id="-1244411392"/>
        </w:rPr>
        <w:t>申办</w:t>
      </w:r>
      <w:r>
        <w:rPr>
          <w:rFonts w:ascii="Times New Roman" w:eastAsia="宋体" w:hAnsi="Times New Roman" w:cs="Times New Roman"/>
          <w:sz w:val="28"/>
          <w:szCs w:val="28"/>
          <w:fitText w:val="2240" w:id="-1244411392"/>
        </w:rPr>
        <w:t>者</w:t>
      </w:r>
      <w:r>
        <w:rPr>
          <w:rFonts w:ascii="Times New Roman" w:eastAsia="宋体" w:hAnsi="Times New Roman" w:cs="Times New Roman"/>
          <w:sz w:val="28"/>
          <w:szCs w:val="28"/>
        </w:rPr>
        <w:t>：上海科亚方舟医疗科技有限公司</w:t>
      </w:r>
      <w:bookmarkStart w:id="3" w:name="_Toc385758890"/>
    </w:p>
    <w:p w:rsidR="00CA2089" w:rsidRDefault="00035E4E">
      <w:pPr>
        <w:spacing w:line="360" w:lineRule="auto"/>
        <w:ind w:firstLineChars="200" w:firstLine="422"/>
        <w:jc w:val="center"/>
        <w:rPr>
          <w:b/>
          <w:szCs w:val="21"/>
        </w:rPr>
      </w:pPr>
      <w:r>
        <w:rPr>
          <w:b/>
          <w:szCs w:val="21"/>
        </w:rPr>
        <w:lastRenderedPageBreak/>
        <w:t>目录</w:t>
      </w:r>
      <w:bookmarkEnd w:id="3"/>
    </w:p>
    <w:p w:rsidR="00CA2089" w:rsidRDefault="00035E4E">
      <w:pPr>
        <w:pStyle w:val="10"/>
        <w:tabs>
          <w:tab w:val="clear" w:pos="8296"/>
          <w:tab w:val="right" w:leader="dot" w:pos="8844"/>
        </w:tabs>
        <w:rPr>
          <w:noProof/>
          <w:szCs w:val="21"/>
        </w:rPr>
      </w:pPr>
      <w:r>
        <w:rPr>
          <w:szCs w:val="21"/>
        </w:rPr>
        <w:fldChar w:fldCharType="begin"/>
      </w:r>
      <w:r>
        <w:rPr>
          <w:szCs w:val="21"/>
        </w:rPr>
        <w:instrText xml:space="preserve"> TOC \o "1-2" \h \z \u </w:instrText>
      </w:r>
      <w:r>
        <w:rPr>
          <w:szCs w:val="21"/>
        </w:rPr>
        <w:fldChar w:fldCharType="separate"/>
      </w:r>
      <w:hyperlink w:anchor="_Toc13461" w:history="1">
        <w:r>
          <w:rPr>
            <w:bCs/>
            <w:noProof/>
            <w:szCs w:val="21"/>
          </w:rPr>
          <w:t>试验方案概要</w:t>
        </w:r>
        <w:r>
          <w:rPr>
            <w:noProof/>
            <w:szCs w:val="21"/>
          </w:rPr>
          <w:tab/>
        </w:r>
        <w:r>
          <w:rPr>
            <w:noProof/>
            <w:szCs w:val="21"/>
          </w:rPr>
          <w:fldChar w:fldCharType="begin"/>
        </w:r>
        <w:r>
          <w:rPr>
            <w:noProof/>
            <w:szCs w:val="21"/>
          </w:rPr>
          <w:instrText xml:space="preserve"> PAGEREF _Toc13461 \h </w:instrText>
        </w:r>
        <w:r>
          <w:rPr>
            <w:noProof/>
            <w:szCs w:val="21"/>
          </w:rPr>
        </w:r>
        <w:r>
          <w:rPr>
            <w:noProof/>
            <w:szCs w:val="21"/>
          </w:rPr>
          <w:fldChar w:fldCharType="separate"/>
        </w:r>
        <w:r w:rsidR="00AC498E">
          <w:rPr>
            <w:noProof/>
            <w:szCs w:val="21"/>
          </w:rPr>
          <w:t>I</w:t>
        </w:r>
        <w:r>
          <w:rPr>
            <w:noProof/>
            <w:szCs w:val="21"/>
          </w:rPr>
          <w:fldChar w:fldCharType="end"/>
        </w:r>
      </w:hyperlink>
    </w:p>
    <w:p w:rsidR="00CA2089" w:rsidRDefault="00453D58">
      <w:pPr>
        <w:pStyle w:val="10"/>
        <w:tabs>
          <w:tab w:val="clear" w:pos="8296"/>
          <w:tab w:val="right" w:leader="dot" w:pos="8844"/>
        </w:tabs>
        <w:rPr>
          <w:noProof/>
          <w:szCs w:val="21"/>
        </w:rPr>
      </w:pPr>
      <w:hyperlink w:anchor="_Toc14126" w:history="1">
        <w:r w:rsidR="00035E4E">
          <w:rPr>
            <w:noProof/>
            <w:szCs w:val="21"/>
          </w:rPr>
          <w:t>缩略语</w:t>
        </w:r>
        <w:r w:rsidR="00035E4E">
          <w:rPr>
            <w:noProof/>
            <w:szCs w:val="21"/>
          </w:rPr>
          <w:tab/>
        </w:r>
        <w:r w:rsidR="00035E4E">
          <w:rPr>
            <w:noProof/>
            <w:szCs w:val="21"/>
          </w:rPr>
          <w:fldChar w:fldCharType="begin"/>
        </w:r>
        <w:r w:rsidR="00035E4E">
          <w:rPr>
            <w:noProof/>
            <w:szCs w:val="21"/>
          </w:rPr>
          <w:instrText xml:space="preserve"> PAGEREF _Toc14126 \h </w:instrText>
        </w:r>
        <w:r w:rsidR="00035E4E">
          <w:rPr>
            <w:noProof/>
            <w:szCs w:val="21"/>
          </w:rPr>
        </w:r>
        <w:r w:rsidR="00035E4E">
          <w:rPr>
            <w:noProof/>
            <w:szCs w:val="21"/>
          </w:rPr>
          <w:fldChar w:fldCharType="separate"/>
        </w:r>
        <w:r w:rsidR="00AC498E">
          <w:rPr>
            <w:noProof/>
            <w:szCs w:val="21"/>
          </w:rPr>
          <w:t>IX</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1532" w:history="1">
        <w:r w:rsidR="00035E4E">
          <w:rPr>
            <w:bCs/>
            <w:noProof/>
            <w:szCs w:val="21"/>
          </w:rPr>
          <w:t>一、申办者信息</w:t>
        </w:r>
        <w:r w:rsidR="00035E4E">
          <w:rPr>
            <w:noProof/>
            <w:szCs w:val="21"/>
          </w:rPr>
          <w:tab/>
        </w:r>
        <w:r w:rsidR="00035E4E">
          <w:rPr>
            <w:noProof/>
            <w:szCs w:val="21"/>
          </w:rPr>
          <w:fldChar w:fldCharType="begin"/>
        </w:r>
        <w:r w:rsidR="00035E4E">
          <w:rPr>
            <w:noProof/>
            <w:szCs w:val="21"/>
          </w:rPr>
          <w:instrText xml:space="preserve"> PAGEREF _Toc21532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5078" w:history="1">
        <w:r w:rsidR="00035E4E">
          <w:rPr>
            <w:bCs/>
            <w:noProof/>
            <w:szCs w:val="21"/>
          </w:rPr>
          <w:t>二、临床试验机构和主要研究者信息</w:t>
        </w:r>
        <w:r w:rsidR="00035E4E">
          <w:rPr>
            <w:noProof/>
            <w:szCs w:val="21"/>
          </w:rPr>
          <w:tab/>
        </w:r>
        <w:r w:rsidR="00035E4E">
          <w:rPr>
            <w:noProof/>
            <w:szCs w:val="21"/>
          </w:rPr>
          <w:fldChar w:fldCharType="begin"/>
        </w:r>
        <w:r w:rsidR="00035E4E">
          <w:rPr>
            <w:noProof/>
            <w:szCs w:val="21"/>
          </w:rPr>
          <w:instrText xml:space="preserve"> PAGEREF _Toc5078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17165" w:history="1">
        <w:r w:rsidR="00035E4E">
          <w:rPr>
            <w:bCs/>
            <w:noProof/>
            <w:szCs w:val="21"/>
          </w:rPr>
          <w:t>三、临床试验的背景资料</w:t>
        </w:r>
        <w:r w:rsidR="00035E4E">
          <w:rPr>
            <w:noProof/>
            <w:szCs w:val="21"/>
          </w:rPr>
          <w:tab/>
        </w:r>
        <w:r w:rsidR="00035E4E">
          <w:rPr>
            <w:noProof/>
            <w:szCs w:val="21"/>
          </w:rPr>
          <w:fldChar w:fldCharType="begin"/>
        </w:r>
        <w:r w:rsidR="00035E4E">
          <w:rPr>
            <w:noProof/>
            <w:szCs w:val="21"/>
          </w:rPr>
          <w:instrText xml:space="preserve"> PAGEREF _Toc17165 \h </w:instrText>
        </w:r>
        <w:r w:rsidR="00035E4E">
          <w:rPr>
            <w:noProof/>
            <w:szCs w:val="21"/>
          </w:rPr>
        </w:r>
        <w:r w:rsidR="00035E4E">
          <w:rPr>
            <w:noProof/>
            <w:szCs w:val="21"/>
          </w:rPr>
          <w:fldChar w:fldCharType="separate"/>
        </w:r>
        <w:r w:rsidR="00AC498E">
          <w:rPr>
            <w:noProof/>
            <w:szCs w:val="21"/>
          </w:rPr>
          <w:t>1</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225" w:history="1">
        <w:r w:rsidR="00035E4E">
          <w:rPr>
            <w:rFonts w:ascii="Times New Roman" w:hAnsi="Times New Roman"/>
            <w:noProof/>
            <w:sz w:val="21"/>
            <w:szCs w:val="21"/>
          </w:rPr>
          <w:t>（一）研发背景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_Toc5225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7600" w:history="1">
        <w:r w:rsidR="00035E4E">
          <w:rPr>
            <w:rFonts w:ascii="Times New Roman" w:hAnsi="Times New Roman"/>
            <w:noProof/>
            <w:sz w:val="21"/>
            <w:szCs w:val="21"/>
          </w:rPr>
          <w:t>（二）产品基本信息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_Toc17600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6936" w:history="1">
        <w:r w:rsidR="00035E4E">
          <w:rPr>
            <w:rFonts w:ascii="Times New Roman" w:hAnsi="Times New Roman"/>
            <w:noProof/>
            <w:sz w:val="21"/>
            <w:szCs w:val="21"/>
          </w:rPr>
          <w:t>（三）适用范围以及相关信息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_Toc16936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7540" w:history="1">
        <w:r w:rsidR="00035E4E">
          <w:rPr>
            <w:bCs/>
            <w:noProof/>
            <w:szCs w:val="21"/>
          </w:rPr>
          <w:t>四、试验目的</w:t>
        </w:r>
        <w:bookmarkStart w:id="4" w:name="_GoBack"/>
        <w:bookmarkEnd w:id="4"/>
        <w:r w:rsidR="00035E4E">
          <w:rPr>
            <w:noProof/>
            <w:szCs w:val="21"/>
          </w:rPr>
          <w:tab/>
        </w:r>
        <w:r w:rsidR="00035E4E">
          <w:rPr>
            <w:noProof/>
            <w:szCs w:val="21"/>
          </w:rPr>
          <w:fldChar w:fldCharType="begin"/>
        </w:r>
        <w:r w:rsidR="00035E4E">
          <w:rPr>
            <w:noProof/>
            <w:szCs w:val="21"/>
          </w:rPr>
          <w:instrText xml:space="preserve"> PAGEREF _Toc27540 \h </w:instrText>
        </w:r>
        <w:r w:rsidR="00035E4E">
          <w:rPr>
            <w:noProof/>
            <w:szCs w:val="21"/>
          </w:rPr>
        </w:r>
        <w:r w:rsidR="00035E4E">
          <w:rPr>
            <w:noProof/>
            <w:szCs w:val="21"/>
          </w:rPr>
          <w:fldChar w:fldCharType="separate"/>
        </w:r>
        <w:r w:rsidR="00AC498E">
          <w:rPr>
            <w:noProof/>
            <w:szCs w:val="21"/>
          </w:rPr>
          <w:t>12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5490" w:history="1">
        <w:r w:rsidR="00035E4E">
          <w:rPr>
            <w:bCs/>
            <w:noProof/>
            <w:szCs w:val="21"/>
          </w:rPr>
          <w:t>五、试验设计</w:t>
        </w:r>
        <w:r w:rsidR="00035E4E">
          <w:rPr>
            <w:noProof/>
            <w:szCs w:val="21"/>
          </w:rPr>
          <w:tab/>
        </w:r>
        <w:r w:rsidR="00035E4E">
          <w:rPr>
            <w:noProof/>
            <w:szCs w:val="21"/>
          </w:rPr>
          <w:fldChar w:fldCharType="begin"/>
        </w:r>
        <w:r w:rsidR="00035E4E">
          <w:rPr>
            <w:noProof/>
            <w:szCs w:val="21"/>
          </w:rPr>
          <w:instrText xml:space="preserve"> PAGEREF _Toc25490 \h </w:instrText>
        </w:r>
        <w:r w:rsidR="00035E4E">
          <w:rPr>
            <w:noProof/>
            <w:szCs w:val="21"/>
          </w:rPr>
        </w:r>
        <w:r w:rsidR="00035E4E">
          <w:rPr>
            <w:noProof/>
            <w:szCs w:val="21"/>
          </w:rPr>
          <w:fldChar w:fldCharType="separate"/>
        </w:r>
        <w:r w:rsidR="00AC498E">
          <w:rPr>
            <w:noProof/>
            <w:szCs w:val="21"/>
          </w:rPr>
          <w:t>12</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313" w:history="1">
        <w:r w:rsidR="00035E4E">
          <w:rPr>
            <w:rFonts w:ascii="Times New Roman" w:hAnsi="Times New Roman"/>
            <w:noProof/>
            <w:sz w:val="21"/>
            <w:szCs w:val="21"/>
          </w:rPr>
          <w:t>（一）总体设计以及确定依据</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_Toc21313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8171" w:history="1">
        <w:r w:rsidR="00035E4E">
          <w:rPr>
            <w:rFonts w:ascii="Times New Roman" w:hAnsi="Times New Roman"/>
            <w:noProof/>
            <w:sz w:val="21"/>
            <w:szCs w:val="21"/>
          </w:rPr>
          <w:t>（二）受试者选择</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_Toc8171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14</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6062" w:history="1">
        <w:r w:rsidR="00035E4E">
          <w:rPr>
            <w:rFonts w:ascii="Times New Roman" w:hAnsi="Times New Roman"/>
            <w:noProof/>
            <w:sz w:val="21"/>
            <w:szCs w:val="21"/>
          </w:rPr>
          <w:t>（三）评价方法</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_Toc16062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16</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74" w:history="1">
        <w:r w:rsidR="00035E4E">
          <w:rPr>
            <w:rFonts w:ascii="Times New Roman" w:hAnsi="Times New Roman"/>
            <w:noProof/>
            <w:sz w:val="21"/>
            <w:szCs w:val="21"/>
          </w:rPr>
          <w:t>（四）试验医疗器械和对照医疗器械</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_Toc3074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978" w:history="1">
        <w:r w:rsidR="00035E4E">
          <w:rPr>
            <w:rFonts w:ascii="Times New Roman" w:hAnsi="Times New Roman"/>
            <w:noProof/>
            <w:sz w:val="21"/>
            <w:szCs w:val="21"/>
          </w:rPr>
          <w:t>（五）试验流程</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_Toc15978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067" w:history="1">
        <w:r w:rsidR="00035E4E">
          <w:rPr>
            <w:rFonts w:ascii="Times New Roman" w:hAnsi="Times New Roman"/>
            <w:noProof/>
            <w:sz w:val="21"/>
            <w:szCs w:val="21"/>
          </w:rPr>
          <w:t>（六）偏倚控制措施</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_Toc21067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27</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6703" w:history="1">
        <w:r w:rsidR="00035E4E">
          <w:rPr>
            <w:bCs/>
            <w:noProof/>
            <w:szCs w:val="21"/>
          </w:rPr>
          <w:t>六、统计学考虑</w:t>
        </w:r>
        <w:r w:rsidR="00035E4E">
          <w:rPr>
            <w:noProof/>
            <w:szCs w:val="21"/>
          </w:rPr>
          <w:tab/>
        </w:r>
        <w:r w:rsidR="00035E4E">
          <w:rPr>
            <w:noProof/>
            <w:szCs w:val="21"/>
          </w:rPr>
          <w:fldChar w:fldCharType="begin"/>
        </w:r>
        <w:r w:rsidR="00035E4E">
          <w:rPr>
            <w:noProof/>
            <w:szCs w:val="21"/>
          </w:rPr>
          <w:instrText xml:space="preserve"> PAGEREF _Toc26703 \h </w:instrText>
        </w:r>
        <w:r w:rsidR="00035E4E">
          <w:rPr>
            <w:noProof/>
            <w:szCs w:val="21"/>
          </w:rPr>
        </w:r>
        <w:r w:rsidR="00035E4E">
          <w:rPr>
            <w:noProof/>
            <w:szCs w:val="21"/>
          </w:rPr>
          <w:fldChar w:fldCharType="separate"/>
        </w:r>
        <w:r w:rsidR="00AC498E">
          <w:rPr>
            <w:noProof/>
            <w:szCs w:val="21"/>
          </w:rPr>
          <w:t>28</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843" w:history="1">
        <w:r w:rsidR="00035E4E">
          <w:rPr>
            <w:rFonts w:ascii="Times New Roman" w:hAnsi="Times New Roman"/>
            <w:noProof/>
            <w:sz w:val="21"/>
            <w:szCs w:val="21"/>
          </w:rPr>
          <w:t>（一）样本量估算</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_Toc30843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28</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296" w:history="1">
        <w:r w:rsidR="00035E4E">
          <w:rPr>
            <w:rFonts w:ascii="Times New Roman" w:hAnsi="Times New Roman"/>
            <w:noProof/>
            <w:sz w:val="21"/>
            <w:szCs w:val="21"/>
          </w:rPr>
          <w:t>（二）分析数据集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_Toc15296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958" w:history="1">
        <w:r w:rsidR="00035E4E">
          <w:rPr>
            <w:rFonts w:ascii="Times New Roman" w:hAnsi="Times New Roman"/>
            <w:noProof/>
            <w:sz w:val="21"/>
            <w:szCs w:val="21"/>
          </w:rPr>
          <w:t>（三）受试者剔除标准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_Toc5958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1152" w:history="1">
        <w:r w:rsidR="00035E4E">
          <w:rPr>
            <w:rFonts w:ascii="Times New Roman" w:hAnsi="Times New Roman"/>
            <w:noProof/>
            <w:sz w:val="21"/>
            <w:szCs w:val="21"/>
          </w:rPr>
          <w:t>（四）统计方法</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_Toc21152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5616" w:history="1">
        <w:r w:rsidR="00035E4E">
          <w:rPr>
            <w:rFonts w:ascii="Times New Roman" w:hAnsi="Times New Roman"/>
            <w:noProof/>
            <w:sz w:val="21"/>
            <w:szCs w:val="21"/>
          </w:rPr>
          <w:t>（五）缺失值和异常值的处理</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_Toc15616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34</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2026" w:history="1">
        <w:r w:rsidR="00035E4E">
          <w:rPr>
            <w:bCs/>
            <w:noProof/>
            <w:szCs w:val="21"/>
          </w:rPr>
          <w:t>七、监查计划</w:t>
        </w:r>
        <w:r w:rsidR="00035E4E">
          <w:rPr>
            <w:noProof/>
            <w:szCs w:val="21"/>
          </w:rPr>
          <w:tab/>
        </w:r>
        <w:r w:rsidR="00035E4E">
          <w:rPr>
            <w:noProof/>
            <w:szCs w:val="21"/>
          </w:rPr>
          <w:fldChar w:fldCharType="begin"/>
        </w:r>
        <w:r w:rsidR="00035E4E">
          <w:rPr>
            <w:noProof/>
            <w:szCs w:val="21"/>
          </w:rPr>
          <w:instrText xml:space="preserve"> PAGEREF _Toc22026 \h </w:instrText>
        </w:r>
        <w:r w:rsidR="00035E4E">
          <w:rPr>
            <w:noProof/>
            <w:szCs w:val="21"/>
          </w:rPr>
        </w:r>
        <w:r w:rsidR="00035E4E">
          <w:rPr>
            <w:noProof/>
            <w:szCs w:val="21"/>
          </w:rPr>
          <w:fldChar w:fldCharType="separate"/>
        </w:r>
        <w:r w:rsidR="00AC498E">
          <w:rPr>
            <w:noProof/>
            <w:szCs w:val="21"/>
          </w:rPr>
          <w:t>34</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14876" w:history="1">
        <w:r w:rsidR="00035E4E">
          <w:rPr>
            <w:bCs/>
            <w:noProof/>
            <w:szCs w:val="21"/>
          </w:rPr>
          <w:t>八、数据管理</w:t>
        </w:r>
        <w:r w:rsidR="00035E4E">
          <w:rPr>
            <w:noProof/>
            <w:szCs w:val="21"/>
          </w:rPr>
          <w:tab/>
        </w:r>
        <w:r w:rsidR="00035E4E">
          <w:rPr>
            <w:noProof/>
            <w:szCs w:val="21"/>
          </w:rPr>
          <w:fldChar w:fldCharType="begin"/>
        </w:r>
        <w:r w:rsidR="00035E4E">
          <w:rPr>
            <w:noProof/>
            <w:szCs w:val="21"/>
          </w:rPr>
          <w:instrText xml:space="preserve"> PAGEREF _Toc14876 \h </w:instrText>
        </w:r>
        <w:r w:rsidR="00035E4E">
          <w:rPr>
            <w:noProof/>
            <w:szCs w:val="21"/>
          </w:rPr>
        </w:r>
        <w:r w:rsidR="00035E4E">
          <w:rPr>
            <w:noProof/>
            <w:szCs w:val="21"/>
          </w:rPr>
          <w:fldChar w:fldCharType="separate"/>
        </w:r>
        <w:r w:rsidR="00AC498E">
          <w:rPr>
            <w:noProof/>
            <w:szCs w:val="21"/>
          </w:rPr>
          <w:t>36</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6468" w:history="1">
        <w:r w:rsidR="00035E4E">
          <w:rPr>
            <w:bCs/>
            <w:noProof/>
            <w:szCs w:val="21"/>
          </w:rPr>
          <w:t>九、风险受益分析</w:t>
        </w:r>
        <w:r w:rsidR="00035E4E">
          <w:rPr>
            <w:noProof/>
            <w:szCs w:val="21"/>
          </w:rPr>
          <w:tab/>
        </w:r>
        <w:r w:rsidR="00035E4E">
          <w:rPr>
            <w:noProof/>
            <w:szCs w:val="21"/>
          </w:rPr>
          <w:fldChar w:fldCharType="begin"/>
        </w:r>
        <w:r w:rsidR="00035E4E">
          <w:rPr>
            <w:noProof/>
            <w:szCs w:val="21"/>
          </w:rPr>
          <w:instrText xml:space="preserve"> PAGEREF _Toc6468 \h </w:instrText>
        </w:r>
        <w:r w:rsidR="00035E4E">
          <w:rPr>
            <w:noProof/>
            <w:szCs w:val="21"/>
          </w:rPr>
        </w:r>
        <w:r w:rsidR="00035E4E">
          <w:rPr>
            <w:noProof/>
            <w:szCs w:val="21"/>
          </w:rPr>
          <w:fldChar w:fldCharType="separate"/>
        </w:r>
        <w:r w:rsidR="00AC498E">
          <w:rPr>
            <w:noProof/>
            <w:szCs w:val="21"/>
          </w:rPr>
          <w:t>38</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0201" w:history="1">
        <w:r w:rsidR="00035E4E">
          <w:rPr>
            <w:rFonts w:ascii="Times New Roman" w:hAnsi="Times New Roman"/>
            <w:noProof/>
            <w:sz w:val="21"/>
            <w:szCs w:val="21"/>
          </w:rPr>
          <w:t>（一）试验的风险分析</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_Toc20201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38</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393" w:history="1">
        <w:r w:rsidR="00035E4E">
          <w:rPr>
            <w:rFonts w:ascii="Times New Roman" w:hAnsi="Times New Roman"/>
            <w:noProof/>
            <w:sz w:val="21"/>
            <w:szCs w:val="21"/>
          </w:rPr>
          <w:t>（二）试验的受益分析</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_Toc5393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11264" w:history="1">
        <w:r w:rsidR="00035E4E">
          <w:rPr>
            <w:bCs/>
            <w:noProof/>
            <w:szCs w:val="21"/>
          </w:rPr>
          <w:t>十、临床试验的质量控制</w:t>
        </w:r>
        <w:r w:rsidR="00035E4E">
          <w:rPr>
            <w:noProof/>
            <w:szCs w:val="21"/>
          </w:rPr>
          <w:tab/>
        </w:r>
        <w:r w:rsidR="00035E4E">
          <w:rPr>
            <w:noProof/>
            <w:szCs w:val="21"/>
          </w:rPr>
          <w:fldChar w:fldCharType="begin"/>
        </w:r>
        <w:r w:rsidR="00035E4E">
          <w:rPr>
            <w:noProof/>
            <w:szCs w:val="21"/>
          </w:rPr>
          <w:instrText xml:space="preserve"> PAGEREF _Toc11264 \h </w:instrText>
        </w:r>
        <w:r w:rsidR="00035E4E">
          <w:rPr>
            <w:noProof/>
            <w:szCs w:val="21"/>
          </w:rPr>
        </w:r>
        <w:r w:rsidR="00035E4E">
          <w:rPr>
            <w:noProof/>
            <w:szCs w:val="21"/>
          </w:rPr>
          <w:fldChar w:fldCharType="separate"/>
        </w:r>
        <w:r w:rsidR="00AC498E">
          <w:rPr>
            <w:noProof/>
            <w:szCs w:val="21"/>
          </w:rPr>
          <w:t>40</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818" w:history="1">
        <w:r w:rsidR="00035E4E">
          <w:rPr>
            <w:rFonts w:ascii="Times New Roman" w:hAnsi="Times New Roman"/>
            <w:noProof/>
            <w:sz w:val="21"/>
            <w:szCs w:val="21"/>
          </w:rPr>
          <w:t>（一）质量控制定义</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_Toc3818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822" w:history="1">
        <w:r w:rsidR="00035E4E">
          <w:rPr>
            <w:rFonts w:ascii="Times New Roman" w:hAnsi="Times New Roman"/>
            <w:noProof/>
            <w:sz w:val="21"/>
            <w:szCs w:val="21"/>
          </w:rPr>
          <w:t>（二）质量控制措施</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_Toc822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40</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1157" w:history="1">
        <w:r w:rsidR="00035E4E">
          <w:rPr>
            <w:bCs/>
            <w:noProof/>
            <w:szCs w:val="21"/>
          </w:rPr>
          <w:t>十一、临床试验的伦理问题以及知情同意</w:t>
        </w:r>
        <w:r w:rsidR="00035E4E">
          <w:rPr>
            <w:noProof/>
            <w:szCs w:val="21"/>
          </w:rPr>
          <w:tab/>
        </w:r>
        <w:r w:rsidR="00035E4E">
          <w:rPr>
            <w:noProof/>
            <w:szCs w:val="21"/>
          </w:rPr>
          <w:fldChar w:fldCharType="begin"/>
        </w:r>
        <w:r w:rsidR="00035E4E">
          <w:rPr>
            <w:noProof/>
            <w:szCs w:val="21"/>
          </w:rPr>
          <w:instrText xml:space="preserve"> PAGEREF _Toc21157 \h </w:instrText>
        </w:r>
        <w:r w:rsidR="00035E4E">
          <w:rPr>
            <w:noProof/>
            <w:szCs w:val="21"/>
          </w:rPr>
        </w:r>
        <w:r w:rsidR="00035E4E">
          <w:rPr>
            <w:noProof/>
            <w:szCs w:val="21"/>
          </w:rPr>
          <w:fldChar w:fldCharType="separate"/>
        </w:r>
        <w:r w:rsidR="00AC498E">
          <w:rPr>
            <w:noProof/>
            <w:szCs w:val="21"/>
          </w:rPr>
          <w:t>41</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396" w:history="1">
        <w:r w:rsidR="00035E4E">
          <w:rPr>
            <w:rFonts w:ascii="Times New Roman" w:hAnsi="Times New Roman"/>
            <w:noProof/>
            <w:sz w:val="21"/>
            <w:szCs w:val="21"/>
          </w:rPr>
          <w:t>（一）伦理方面的考虑</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_Toc5396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41</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3173" w:history="1">
        <w:r w:rsidR="00035E4E">
          <w:rPr>
            <w:rFonts w:ascii="Times New Roman" w:hAnsi="Times New Roman"/>
            <w:noProof/>
            <w:sz w:val="21"/>
            <w:szCs w:val="21"/>
          </w:rPr>
          <w:t>（二）试验方案的审批</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_Toc23173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8212" w:history="1">
        <w:r w:rsidR="00035E4E">
          <w:rPr>
            <w:rFonts w:ascii="Times New Roman" w:hAnsi="Times New Roman"/>
            <w:noProof/>
            <w:sz w:val="21"/>
            <w:szCs w:val="21"/>
          </w:rPr>
          <w:t>（三）知情同意过程</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_Toc18212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4800" w:history="1">
        <w:r w:rsidR="00035E4E">
          <w:rPr>
            <w:bCs/>
            <w:noProof/>
            <w:szCs w:val="21"/>
          </w:rPr>
          <w:t>十二、对不良事件和器械缺陷报告的规定</w:t>
        </w:r>
        <w:r w:rsidR="00035E4E">
          <w:rPr>
            <w:noProof/>
            <w:szCs w:val="21"/>
          </w:rPr>
          <w:tab/>
        </w:r>
        <w:r w:rsidR="00035E4E">
          <w:rPr>
            <w:noProof/>
            <w:szCs w:val="21"/>
          </w:rPr>
          <w:fldChar w:fldCharType="begin"/>
        </w:r>
        <w:r w:rsidR="00035E4E">
          <w:rPr>
            <w:noProof/>
            <w:szCs w:val="21"/>
          </w:rPr>
          <w:instrText xml:space="preserve"> PAGEREF _Toc24800 \h </w:instrText>
        </w:r>
        <w:r w:rsidR="00035E4E">
          <w:rPr>
            <w:noProof/>
            <w:szCs w:val="21"/>
          </w:rPr>
        </w:r>
        <w:r w:rsidR="00035E4E">
          <w:rPr>
            <w:noProof/>
            <w:szCs w:val="21"/>
          </w:rPr>
          <w:fldChar w:fldCharType="separate"/>
        </w:r>
        <w:r w:rsidR="00AC498E">
          <w:rPr>
            <w:noProof/>
            <w:szCs w:val="21"/>
          </w:rPr>
          <w:t>42</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9076" w:history="1">
        <w:r w:rsidR="00035E4E">
          <w:rPr>
            <w:rFonts w:ascii="Times New Roman" w:hAnsi="Times New Roman"/>
            <w:noProof/>
            <w:sz w:val="21"/>
            <w:szCs w:val="21"/>
          </w:rPr>
          <w:t>（一）不良事件的定义和报告规定</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_Toc29076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42</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8587" w:history="1">
        <w:r w:rsidR="00035E4E">
          <w:rPr>
            <w:rFonts w:ascii="Times New Roman" w:hAnsi="Times New Roman"/>
            <w:noProof/>
            <w:sz w:val="21"/>
            <w:szCs w:val="21"/>
          </w:rPr>
          <w:t>（二）器械缺陷</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_Toc28587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8174" w:history="1">
        <w:r w:rsidR="00035E4E">
          <w:rPr>
            <w:rFonts w:ascii="Times New Roman" w:hAnsi="Times New Roman"/>
            <w:noProof/>
            <w:sz w:val="21"/>
            <w:szCs w:val="21"/>
          </w:rPr>
          <w:t>（三）严重不良事件的定义</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_Toc18174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49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6031" w:history="1">
        <w:r w:rsidR="00035E4E">
          <w:rPr>
            <w:rFonts w:ascii="Times New Roman" w:hAnsi="Times New Roman"/>
            <w:noProof/>
            <w:sz w:val="21"/>
            <w:szCs w:val="21"/>
          </w:rPr>
          <w:t>（四）报告程序、联络人信息</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_Toc26031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51</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3921" w:history="1">
        <w:r w:rsidR="00035E4E">
          <w:rPr>
            <w:bCs/>
            <w:noProof/>
            <w:szCs w:val="21"/>
          </w:rPr>
          <w:t>十三、临床试验方案的偏离与临床试验方案修正的规定</w:t>
        </w:r>
        <w:r w:rsidR="00035E4E">
          <w:rPr>
            <w:noProof/>
            <w:szCs w:val="21"/>
          </w:rPr>
          <w:tab/>
        </w:r>
        <w:r w:rsidR="00035E4E">
          <w:rPr>
            <w:noProof/>
            <w:szCs w:val="21"/>
          </w:rPr>
          <w:fldChar w:fldCharType="begin"/>
        </w:r>
        <w:r w:rsidR="00035E4E">
          <w:rPr>
            <w:noProof/>
            <w:szCs w:val="21"/>
          </w:rPr>
          <w:instrText xml:space="preserve"> PAGEREF _Toc3921 \h </w:instrText>
        </w:r>
        <w:r w:rsidR="00035E4E">
          <w:rPr>
            <w:noProof/>
            <w:szCs w:val="21"/>
          </w:rPr>
        </w:r>
        <w:r w:rsidR="00035E4E">
          <w:rPr>
            <w:noProof/>
            <w:szCs w:val="21"/>
          </w:rPr>
          <w:fldChar w:fldCharType="separate"/>
        </w:r>
        <w:r w:rsidR="00AC498E">
          <w:rPr>
            <w:noProof/>
            <w:szCs w:val="21"/>
          </w:rPr>
          <w:t>51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26171" w:history="1">
        <w:r w:rsidR="00035E4E">
          <w:rPr>
            <w:bCs/>
            <w:noProof/>
            <w:szCs w:val="21"/>
          </w:rPr>
          <w:t>十四、直接访问源数据、文件</w:t>
        </w:r>
        <w:r w:rsidR="00035E4E">
          <w:rPr>
            <w:noProof/>
            <w:szCs w:val="21"/>
          </w:rPr>
          <w:tab/>
        </w:r>
        <w:r w:rsidR="00035E4E">
          <w:rPr>
            <w:noProof/>
            <w:szCs w:val="21"/>
          </w:rPr>
          <w:fldChar w:fldCharType="begin"/>
        </w:r>
        <w:r w:rsidR="00035E4E">
          <w:rPr>
            <w:noProof/>
            <w:szCs w:val="21"/>
          </w:rPr>
          <w:instrText xml:space="preserve"> PAGEREF _Toc26171 \h </w:instrText>
        </w:r>
        <w:r w:rsidR="00035E4E">
          <w:rPr>
            <w:noProof/>
            <w:szCs w:val="21"/>
          </w:rPr>
        </w:r>
        <w:r w:rsidR="00035E4E">
          <w:rPr>
            <w:noProof/>
            <w:szCs w:val="21"/>
          </w:rPr>
          <w:fldChar w:fldCharType="separate"/>
        </w:r>
        <w:r w:rsidR="00AC498E">
          <w:rPr>
            <w:noProof/>
            <w:szCs w:val="21"/>
          </w:rPr>
          <w:t>51</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0518" w:history="1">
        <w:r w:rsidR="00035E4E">
          <w:rPr>
            <w:bCs/>
            <w:noProof/>
            <w:szCs w:val="21"/>
          </w:rPr>
          <w:t>十五、临床试验报告应当涵盖的内容</w:t>
        </w:r>
        <w:r w:rsidR="00035E4E">
          <w:rPr>
            <w:noProof/>
            <w:szCs w:val="21"/>
          </w:rPr>
          <w:tab/>
        </w:r>
        <w:r w:rsidR="00035E4E">
          <w:rPr>
            <w:noProof/>
            <w:szCs w:val="21"/>
          </w:rPr>
          <w:fldChar w:fldCharType="begin"/>
        </w:r>
        <w:r w:rsidR="00035E4E">
          <w:rPr>
            <w:noProof/>
            <w:szCs w:val="21"/>
          </w:rPr>
          <w:instrText xml:space="preserve"> PAGEREF _Toc30518 \h </w:instrText>
        </w:r>
        <w:r w:rsidR="00035E4E">
          <w:rPr>
            <w:noProof/>
            <w:szCs w:val="21"/>
          </w:rPr>
        </w:r>
        <w:r w:rsidR="00035E4E">
          <w:rPr>
            <w:noProof/>
            <w:szCs w:val="21"/>
          </w:rPr>
          <w:fldChar w:fldCharType="separate"/>
        </w:r>
        <w:r w:rsidR="00AC498E">
          <w:rPr>
            <w:noProof/>
            <w:szCs w:val="21"/>
          </w:rPr>
          <w:t>52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981" w:history="1">
        <w:r w:rsidR="00035E4E">
          <w:rPr>
            <w:bCs/>
            <w:noProof/>
            <w:szCs w:val="21"/>
          </w:rPr>
          <w:t>十六、保密原则</w:t>
        </w:r>
        <w:r w:rsidR="00035E4E">
          <w:rPr>
            <w:noProof/>
            <w:szCs w:val="21"/>
          </w:rPr>
          <w:tab/>
        </w:r>
        <w:r w:rsidR="00035E4E">
          <w:rPr>
            <w:noProof/>
            <w:szCs w:val="21"/>
          </w:rPr>
          <w:fldChar w:fldCharType="begin"/>
        </w:r>
        <w:r w:rsidR="00035E4E">
          <w:rPr>
            <w:noProof/>
            <w:szCs w:val="21"/>
          </w:rPr>
          <w:instrText xml:space="preserve"> PAGEREF _Toc3981 \h </w:instrText>
        </w:r>
        <w:r w:rsidR="00035E4E">
          <w:rPr>
            <w:noProof/>
            <w:szCs w:val="21"/>
          </w:rPr>
        </w:r>
        <w:r w:rsidR="00035E4E">
          <w:rPr>
            <w:noProof/>
            <w:szCs w:val="21"/>
          </w:rPr>
          <w:fldChar w:fldCharType="separate"/>
        </w:r>
        <w:r w:rsidR="00AC498E">
          <w:rPr>
            <w:noProof/>
            <w:szCs w:val="21"/>
          </w:rPr>
          <w:t>53</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2610" w:history="1">
        <w:r w:rsidR="00035E4E">
          <w:rPr>
            <w:bCs/>
            <w:noProof/>
            <w:szCs w:val="21"/>
          </w:rPr>
          <w:t>十七、各方承担的职责</w:t>
        </w:r>
        <w:r w:rsidR="00035E4E">
          <w:rPr>
            <w:noProof/>
            <w:szCs w:val="21"/>
          </w:rPr>
          <w:tab/>
        </w:r>
        <w:r w:rsidR="00035E4E">
          <w:rPr>
            <w:noProof/>
            <w:szCs w:val="21"/>
          </w:rPr>
          <w:fldChar w:fldCharType="begin"/>
        </w:r>
        <w:r w:rsidR="00035E4E">
          <w:rPr>
            <w:noProof/>
            <w:szCs w:val="21"/>
          </w:rPr>
          <w:instrText xml:space="preserve"> PAGEREF _Toc32610 \h </w:instrText>
        </w:r>
        <w:r w:rsidR="00035E4E">
          <w:rPr>
            <w:noProof/>
            <w:szCs w:val="21"/>
          </w:rPr>
        </w:r>
        <w:r w:rsidR="00035E4E">
          <w:rPr>
            <w:noProof/>
            <w:szCs w:val="21"/>
          </w:rPr>
          <w:fldChar w:fldCharType="separate"/>
        </w:r>
        <w:r w:rsidR="00AC498E">
          <w:rPr>
            <w:noProof/>
            <w:szCs w:val="21"/>
          </w:rPr>
          <w:t>53</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30019" w:history="1">
        <w:r w:rsidR="00035E4E">
          <w:rPr>
            <w:rFonts w:ascii="Times New Roman" w:hAnsi="Times New Roman"/>
            <w:noProof/>
            <w:sz w:val="21"/>
            <w:szCs w:val="21"/>
          </w:rPr>
          <w:t>（一）申办者职责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_Toc30019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53</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3236" w:history="1">
        <w:r w:rsidR="00035E4E">
          <w:rPr>
            <w:rFonts w:ascii="Times New Roman" w:hAnsi="Times New Roman"/>
            <w:noProof/>
            <w:sz w:val="21"/>
            <w:szCs w:val="21"/>
          </w:rPr>
          <w:t>（二）临床试验机构及研究者职责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_Toc13236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55</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1938" w:history="1">
        <w:r w:rsidR="00035E4E">
          <w:rPr>
            <w:rFonts w:ascii="Times New Roman" w:hAnsi="Times New Roman"/>
            <w:noProof/>
            <w:sz w:val="21"/>
            <w:szCs w:val="21"/>
          </w:rPr>
          <w:t>（三）统计方职责</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_Toc1938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58</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20502" w:history="1">
        <w:r w:rsidR="00035E4E">
          <w:rPr>
            <w:bCs/>
            <w:noProof/>
            <w:szCs w:val="21"/>
          </w:rPr>
          <w:t>十八、其他需要说明的内容</w:t>
        </w:r>
        <w:r w:rsidR="00035E4E">
          <w:rPr>
            <w:noProof/>
            <w:szCs w:val="21"/>
          </w:rPr>
          <w:tab/>
        </w:r>
        <w:r w:rsidR="00035E4E">
          <w:rPr>
            <w:noProof/>
            <w:szCs w:val="21"/>
          </w:rPr>
          <w:fldChar w:fldCharType="begin"/>
        </w:r>
        <w:r w:rsidR="00035E4E">
          <w:rPr>
            <w:noProof/>
            <w:szCs w:val="21"/>
          </w:rPr>
          <w:instrText xml:space="preserve"> PAGEREF _Toc20502 \h </w:instrText>
        </w:r>
        <w:r w:rsidR="00035E4E">
          <w:rPr>
            <w:noProof/>
            <w:szCs w:val="21"/>
          </w:rPr>
        </w:r>
        <w:r w:rsidR="00035E4E">
          <w:rPr>
            <w:noProof/>
            <w:szCs w:val="21"/>
          </w:rPr>
          <w:fldChar w:fldCharType="separate"/>
        </w:r>
        <w:r w:rsidR="00AC498E">
          <w:rPr>
            <w:noProof/>
            <w:szCs w:val="21"/>
          </w:rPr>
          <w:t>59</w:t>
        </w:r>
        <w:r w:rsidR="00035E4E">
          <w:rPr>
            <w:noProof/>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5409" w:history="1">
        <w:r w:rsidR="00035E4E">
          <w:rPr>
            <w:rFonts w:ascii="Times New Roman" w:hAnsi="Times New Roman"/>
            <w:noProof/>
            <w:kern w:val="44"/>
            <w:sz w:val="21"/>
            <w:szCs w:val="21"/>
          </w:rPr>
          <w:t>（一）财务和保险</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_Toc5409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59</w:t>
        </w:r>
        <w:r w:rsidR="00035E4E">
          <w:rPr>
            <w:rFonts w:ascii="Times New Roman" w:hAnsi="Times New Roman"/>
            <w:noProof/>
            <w:sz w:val="21"/>
            <w:szCs w:val="21"/>
          </w:rPr>
          <w:fldChar w:fldCharType="end"/>
        </w:r>
      </w:hyperlink>
    </w:p>
    <w:p w:rsidR="00CA2089" w:rsidRDefault="00453D58">
      <w:pPr>
        <w:pStyle w:val="22"/>
        <w:tabs>
          <w:tab w:val="clear" w:pos="8296"/>
          <w:tab w:val="right" w:leader="dot" w:pos="8844"/>
        </w:tabs>
        <w:ind w:left="420"/>
        <w:rPr>
          <w:rFonts w:ascii="Times New Roman" w:hAnsi="Times New Roman"/>
          <w:noProof/>
          <w:sz w:val="21"/>
          <w:szCs w:val="21"/>
        </w:rPr>
      </w:pPr>
      <w:hyperlink w:anchor="_Toc26990" w:history="1">
        <w:r w:rsidR="00035E4E">
          <w:rPr>
            <w:rFonts w:ascii="Times New Roman" w:hAnsi="Times New Roman"/>
            <w:noProof/>
            <w:kern w:val="44"/>
            <w:sz w:val="21"/>
            <w:szCs w:val="21"/>
          </w:rPr>
          <w:t>（二）试验结果发表约定</w:t>
        </w:r>
        <w:r w:rsidR="00035E4E">
          <w:rPr>
            <w:rFonts w:ascii="Times New Roman" w:hAnsi="Times New Roman"/>
            <w:noProof/>
            <w:sz w:val="21"/>
            <w:szCs w:val="21"/>
          </w:rPr>
          <w:tab/>
        </w:r>
        <w:r w:rsidR="00035E4E">
          <w:rPr>
            <w:rFonts w:ascii="Times New Roman" w:hAnsi="Times New Roman"/>
            <w:noProof/>
            <w:sz w:val="21"/>
            <w:szCs w:val="21"/>
          </w:rPr>
          <w:fldChar w:fldCharType="begin"/>
        </w:r>
        <w:r w:rsidR="00035E4E">
          <w:rPr>
            <w:rFonts w:ascii="Times New Roman" w:hAnsi="Times New Roman"/>
            <w:noProof/>
            <w:sz w:val="21"/>
            <w:szCs w:val="21"/>
          </w:rPr>
          <w:instrText xml:space="preserve"> PAGEREF _Toc26990 \h </w:instrText>
        </w:r>
        <w:r w:rsidR="00035E4E">
          <w:rPr>
            <w:rFonts w:ascii="Times New Roman" w:hAnsi="Times New Roman"/>
            <w:noProof/>
            <w:sz w:val="21"/>
            <w:szCs w:val="21"/>
          </w:rPr>
        </w:r>
        <w:r w:rsidR="00035E4E">
          <w:rPr>
            <w:rFonts w:ascii="Times New Roman" w:hAnsi="Times New Roman"/>
            <w:noProof/>
            <w:sz w:val="21"/>
            <w:szCs w:val="21"/>
          </w:rPr>
          <w:fldChar w:fldCharType="separate"/>
        </w:r>
        <w:r w:rsidR="00AC498E">
          <w:rPr>
            <w:rFonts w:ascii="Times New Roman" w:hAnsi="Times New Roman"/>
            <w:noProof/>
            <w:sz w:val="21"/>
            <w:szCs w:val="21"/>
          </w:rPr>
          <w:t>59</w:t>
        </w:r>
        <w:r w:rsidR="00035E4E">
          <w:rPr>
            <w:rFonts w:ascii="Times New Roman" w:hAnsi="Times New Roman"/>
            <w:noProof/>
            <w:sz w:val="21"/>
            <w:szCs w:val="21"/>
          </w:rPr>
          <w:fldChar w:fldCharType="end"/>
        </w:r>
      </w:hyperlink>
    </w:p>
    <w:p w:rsidR="00CA2089" w:rsidRDefault="00453D58">
      <w:pPr>
        <w:pStyle w:val="10"/>
        <w:tabs>
          <w:tab w:val="clear" w:pos="8296"/>
          <w:tab w:val="right" w:leader="dot" w:pos="8844"/>
        </w:tabs>
        <w:rPr>
          <w:noProof/>
          <w:szCs w:val="21"/>
        </w:rPr>
      </w:pPr>
      <w:hyperlink w:anchor="_Toc17581" w:history="1">
        <w:r w:rsidR="00035E4E">
          <w:rPr>
            <w:bCs/>
            <w:noProof/>
            <w:szCs w:val="21"/>
          </w:rPr>
          <w:t>十九、参考文献</w:t>
        </w:r>
        <w:r w:rsidR="00035E4E">
          <w:rPr>
            <w:noProof/>
            <w:szCs w:val="21"/>
          </w:rPr>
          <w:tab/>
        </w:r>
        <w:r w:rsidR="00035E4E">
          <w:rPr>
            <w:noProof/>
            <w:szCs w:val="21"/>
          </w:rPr>
          <w:fldChar w:fldCharType="begin"/>
        </w:r>
        <w:r w:rsidR="00035E4E">
          <w:rPr>
            <w:noProof/>
            <w:szCs w:val="21"/>
          </w:rPr>
          <w:instrText xml:space="preserve"> PAGEREF _Toc17581 \h </w:instrText>
        </w:r>
        <w:r w:rsidR="00035E4E">
          <w:rPr>
            <w:noProof/>
            <w:szCs w:val="21"/>
          </w:rPr>
        </w:r>
        <w:r w:rsidR="00035E4E">
          <w:rPr>
            <w:noProof/>
            <w:szCs w:val="21"/>
          </w:rPr>
          <w:fldChar w:fldCharType="separate"/>
        </w:r>
        <w:r w:rsidR="00AC498E">
          <w:rPr>
            <w:noProof/>
            <w:szCs w:val="21"/>
          </w:rPr>
          <w:t>60</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9005" w:history="1">
        <w:r w:rsidR="00035E4E">
          <w:rPr>
            <w:noProof/>
            <w:szCs w:val="21"/>
          </w:rPr>
          <w:t>附录</w:t>
        </w:r>
        <w:r w:rsidR="00035E4E">
          <w:rPr>
            <w:noProof/>
            <w:szCs w:val="21"/>
          </w:rPr>
          <w:t>1</w:t>
        </w:r>
        <w:r w:rsidR="00035E4E">
          <w:rPr>
            <w:noProof/>
            <w:szCs w:val="21"/>
          </w:rPr>
          <w:t>：震波球囊扩张导管型号规格表</w:t>
        </w:r>
        <w:r w:rsidR="00035E4E">
          <w:rPr>
            <w:noProof/>
            <w:szCs w:val="21"/>
          </w:rPr>
          <w:tab/>
        </w:r>
        <w:r w:rsidR="00035E4E">
          <w:rPr>
            <w:noProof/>
            <w:szCs w:val="21"/>
          </w:rPr>
          <w:fldChar w:fldCharType="begin"/>
        </w:r>
        <w:r w:rsidR="00035E4E">
          <w:rPr>
            <w:noProof/>
            <w:szCs w:val="21"/>
          </w:rPr>
          <w:instrText xml:space="preserve"> PAGEREF _Toc9005 \h </w:instrText>
        </w:r>
        <w:r w:rsidR="00035E4E">
          <w:rPr>
            <w:noProof/>
            <w:szCs w:val="21"/>
          </w:rPr>
        </w:r>
        <w:r w:rsidR="00035E4E">
          <w:rPr>
            <w:noProof/>
            <w:szCs w:val="21"/>
          </w:rPr>
          <w:fldChar w:fldCharType="separate"/>
        </w:r>
        <w:r w:rsidR="00AC498E">
          <w:rPr>
            <w:noProof/>
            <w:szCs w:val="21"/>
          </w:rPr>
          <w:t>62</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304" w:history="1">
        <w:r w:rsidR="00035E4E">
          <w:rPr>
            <w:bCs/>
            <w:noProof/>
            <w:szCs w:val="21"/>
          </w:rPr>
          <w:t>附录</w:t>
        </w:r>
        <w:r w:rsidR="00035E4E">
          <w:rPr>
            <w:bCs/>
            <w:noProof/>
            <w:szCs w:val="21"/>
          </w:rPr>
          <w:t>2</w:t>
        </w:r>
        <w:r w:rsidR="00035E4E">
          <w:rPr>
            <w:bCs/>
            <w:noProof/>
            <w:szCs w:val="21"/>
          </w:rPr>
          <w:t>：各项分级</w:t>
        </w:r>
        <w:r w:rsidR="00035E4E">
          <w:rPr>
            <w:noProof/>
            <w:szCs w:val="21"/>
          </w:rPr>
          <w:tab/>
        </w:r>
        <w:r w:rsidR="00035E4E">
          <w:rPr>
            <w:noProof/>
            <w:szCs w:val="21"/>
          </w:rPr>
          <w:fldChar w:fldCharType="begin"/>
        </w:r>
        <w:r w:rsidR="00035E4E">
          <w:rPr>
            <w:noProof/>
            <w:szCs w:val="21"/>
          </w:rPr>
          <w:instrText xml:space="preserve"> PAGEREF _Toc3304 \h </w:instrText>
        </w:r>
        <w:r w:rsidR="00035E4E">
          <w:rPr>
            <w:noProof/>
            <w:szCs w:val="21"/>
          </w:rPr>
        </w:r>
        <w:r w:rsidR="00035E4E">
          <w:rPr>
            <w:noProof/>
            <w:szCs w:val="21"/>
          </w:rPr>
          <w:fldChar w:fldCharType="separate"/>
        </w:r>
        <w:r w:rsidR="00AC498E">
          <w:rPr>
            <w:noProof/>
            <w:szCs w:val="21"/>
          </w:rPr>
          <w:t>63</w:t>
        </w:r>
        <w:r w:rsidR="00035E4E">
          <w:rPr>
            <w:noProof/>
            <w:szCs w:val="21"/>
          </w:rPr>
          <w:fldChar w:fldCharType="end"/>
        </w:r>
      </w:hyperlink>
    </w:p>
    <w:p w:rsidR="00CA2089" w:rsidRDefault="00453D58">
      <w:pPr>
        <w:pStyle w:val="10"/>
        <w:tabs>
          <w:tab w:val="clear" w:pos="8296"/>
          <w:tab w:val="right" w:leader="dot" w:pos="8844"/>
        </w:tabs>
        <w:rPr>
          <w:noProof/>
          <w:szCs w:val="21"/>
        </w:rPr>
      </w:pPr>
      <w:hyperlink w:anchor="_Toc32313" w:history="1">
        <w:r w:rsidR="00035E4E">
          <w:rPr>
            <w:bCs/>
            <w:noProof/>
            <w:szCs w:val="21"/>
          </w:rPr>
          <w:t>研究者声明</w:t>
        </w:r>
        <w:r w:rsidR="00035E4E">
          <w:rPr>
            <w:noProof/>
            <w:szCs w:val="21"/>
          </w:rPr>
          <w:tab/>
        </w:r>
        <w:r w:rsidR="00035E4E">
          <w:rPr>
            <w:noProof/>
            <w:szCs w:val="21"/>
          </w:rPr>
          <w:fldChar w:fldCharType="begin"/>
        </w:r>
        <w:r w:rsidR="00035E4E">
          <w:rPr>
            <w:noProof/>
            <w:szCs w:val="21"/>
          </w:rPr>
          <w:instrText xml:space="preserve"> PAGEREF _Toc32313 \h </w:instrText>
        </w:r>
        <w:r w:rsidR="00035E4E">
          <w:rPr>
            <w:noProof/>
            <w:szCs w:val="21"/>
          </w:rPr>
        </w:r>
        <w:r w:rsidR="00035E4E">
          <w:rPr>
            <w:noProof/>
            <w:szCs w:val="21"/>
          </w:rPr>
          <w:fldChar w:fldCharType="separate"/>
        </w:r>
        <w:r w:rsidR="00AC498E">
          <w:rPr>
            <w:noProof/>
            <w:szCs w:val="21"/>
          </w:rPr>
          <w:t>65</w:t>
        </w:r>
        <w:r w:rsidR="00035E4E">
          <w:rPr>
            <w:noProof/>
            <w:szCs w:val="21"/>
          </w:rPr>
          <w:fldChar w:fldCharType="end"/>
        </w:r>
      </w:hyperlink>
    </w:p>
    <w:p w:rsidR="00CA2089" w:rsidRDefault="00035E4E">
      <w:pPr>
        <w:pStyle w:val="a6"/>
        <w:spacing w:after="0" w:line="360" w:lineRule="auto"/>
        <w:ind w:firstLineChars="200" w:firstLine="420"/>
        <w:jc w:val="distribute"/>
        <w:rPr>
          <w:rFonts w:ascii="Times New Roman" w:eastAsia="宋体" w:hAnsi="Times New Roman" w:cs="Times New Roman"/>
          <w:sz w:val="28"/>
          <w:szCs w:val="28"/>
        </w:rPr>
        <w:sectPr w:rsidR="00CA2089">
          <w:headerReference w:type="default" r:id="rId11"/>
          <w:footerReference w:type="default" r:id="rId12"/>
          <w:pgSz w:w="11906" w:h="16838"/>
          <w:pgMar w:top="1928" w:right="1531" w:bottom="1814" w:left="1531" w:header="1077" w:footer="1361" w:gutter="0"/>
          <w:pgNumType w:fmt="upperRoman" w:start="1"/>
          <w:cols w:space="720"/>
          <w:docGrid w:type="lines" w:linePitch="312"/>
        </w:sectPr>
      </w:pPr>
      <w:r>
        <w:rPr>
          <w:rFonts w:ascii="Times New Roman" w:eastAsia="宋体" w:hAnsi="Times New Roman" w:cs="Times New Roman"/>
          <w:sz w:val="21"/>
          <w:szCs w:val="21"/>
        </w:rPr>
        <w:fldChar w:fldCharType="end"/>
      </w:r>
    </w:p>
    <w:p w:rsidR="00CA2089" w:rsidRDefault="00035E4E">
      <w:pPr>
        <w:tabs>
          <w:tab w:val="right" w:leader="dot" w:pos="8306"/>
        </w:tabs>
        <w:jc w:val="center"/>
        <w:outlineLvl w:val="0"/>
        <w:rPr>
          <w:bCs/>
          <w:sz w:val="28"/>
          <w:szCs w:val="28"/>
        </w:rPr>
      </w:pPr>
      <w:bookmarkStart w:id="5" w:name="_Toc134753794"/>
      <w:bookmarkStart w:id="6" w:name="_Toc13461"/>
      <w:bookmarkStart w:id="7" w:name="_Toc132207354"/>
      <w:bookmarkStart w:id="8" w:name="_Toc17366817"/>
      <w:bookmarkStart w:id="9" w:name="_Toc348959690"/>
      <w:bookmarkStart w:id="10" w:name="_Toc102914129"/>
      <w:r>
        <w:rPr>
          <w:bCs/>
          <w:sz w:val="28"/>
          <w:szCs w:val="28"/>
        </w:rPr>
        <w:lastRenderedPageBreak/>
        <w:t>试验方案概要</w:t>
      </w:r>
      <w:bookmarkEnd w:id="5"/>
      <w:bookmarkEnd w:id="6"/>
      <w:bookmarkEnd w:id="7"/>
    </w:p>
    <w:tbl>
      <w:tblPr>
        <w:tblW w:w="5085"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BFBFBF"/>
        </w:tblBorders>
        <w:tblLook w:val="04A0" w:firstRow="1" w:lastRow="0" w:firstColumn="1" w:lastColumn="0" w:noHBand="0" w:noVBand="1"/>
      </w:tblPr>
      <w:tblGrid>
        <w:gridCol w:w="1439"/>
        <w:gridCol w:w="7545"/>
      </w:tblGrid>
      <w:tr w:rsidR="00CA2089">
        <w:trPr>
          <w:trHeight w:val="102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试验名称</w:t>
            </w:r>
          </w:p>
        </w:tc>
        <w:tc>
          <w:tcPr>
            <w:tcW w:w="4199" w:type="pct"/>
            <w:tcMar>
              <w:left w:w="227" w:type="dxa"/>
              <w:right w:w="227" w:type="dxa"/>
            </w:tcMar>
            <w:vAlign w:val="center"/>
          </w:tcPr>
          <w:p w:rsidR="00CA2089" w:rsidRDefault="00035E4E">
            <w:pPr>
              <w:spacing w:line="300" w:lineRule="auto"/>
            </w:pPr>
            <w:bookmarkStart w:id="11" w:name="OLE_LINK2"/>
            <w:bookmarkStart w:id="12" w:name="OLE_LINK3"/>
            <w:r>
              <w:rPr>
                <w:color w:val="000000" w:themeColor="text1"/>
                <w:sz w:val="24"/>
              </w:rPr>
              <w:t>评价血管内冲击波治疗设备和震波球囊扩张导管用于冠状动脉钙化病变的安全性和有效性的前瞻性、多中心、单组目标值临床试验</w:t>
            </w:r>
            <w:bookmarkEnd w:id="11"/>
            <w:bookmarkEnd w:id="12"/>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申办者</w:t>
            </w:r>
          </w:p>
        </w:tc>
        <w:tc>
          <w:tcPr>
            <w:tcW w:w="4199" w:type="pct"/>
            <w:tcMar>
              <w:left w:w="227" w:type="dxa"/>
              <w:right w:w="227" w:type="dxa"/>
            </w:tcMar>
            <w:vAlign w:val="center"/>
          </w:tcPr>
          <w:p w:rsidR="00CA2089" w:rsidRDefault="00035E4E">
            <w:pPr>
              <w:spacing w:line="300" w:lineRule="auto"/>
            </w:pPr>
            <w:r>
              <w:rPr>
                <w:kern w:val="0"/>
                <w:sz w:val="24"/>
              </w:rPr>
              <w:t>上海科亚方舟医疗科技有限公司</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试验器械</w:t>
            </w:r>
          </w:p>
        </w:tc>
        <w:tc>
          <w:tcPr>
            <w:tcW w:w="4199" w:type="pct"/>
            <w:tcMar>
              <w:left w:w="227" w:type="dxa"/>
              <w:right w:w="227" w:type="dxa"/>
            </w:tcMar>
            <w:vAlign w:val="center"/>
          </w:tcPr>
          <w:p w:rsidR="00CA2089" w:rsidRDefault="00035E4E">
            <w:pPr>
              <w:spacing w:line="300" w:lineRule="auto"/>
            </w:pPr>
            <w:bookmarkStart w:id="13" w:name="_Hlk105967264"/>
            <w:bookmarkStart w:id="14" w:name="OLE_LINK1"/>
            <w:r>
              <w:rPr>
                <w:sz w:val="24"/>
              </w:rPr>
              <w:t>血管内冲击波治疗设备</w:t>
            </w:r>
            <w:r>
              <w:rPr>
                <w:rFonts w:hint="eastAsia"/>
                <w:color w:val="000000" w:themeColor="text1"/>
                <w:sz w:val="24"/>
              </w:rPr>
              <w:t>和</w:t>
            </w:r>
            <w:r>
              <w:rPr>
                <w:color w:val="000000" w:themeColor="text1"/>
                <w:sz w:val="24"/>
              </w:rPr>
              <w:t>震波球囊扩张导管</w:t>
            </w:r>
            <w:bookmarkEnd w:id="13"/>
            <w:bookmarkEnd w:id="14"/>
          </w:p>
        </w:tc>
      </w:tr>
      <w:tr w:rsidR="00CA2089">
        <w:trPr>
          <w:trHeight w:val="102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试验目的</w:t>
            </w:r>
          </w:p>
        </w:tc>
        <w:tc>
          <w:tcPr>
            <w:tcW w:w="4199" w:type="pct"/>
            <w:tcMar>
              <w:left w:w="227" w:type="dxa"/>
              <w:right w:w="227" w:type="dxa"/>
            </w:tcMar>
            <w:vAlign w:val="center"/>
          </w:tcPr>
          <w:p w:rsidR="00CA2089" w:rsidRDefault="00035E4E">
            <w:pPr>
              <w:pStyle w:val="num2"/>
              <w:numPr>
                <w:ilvl w:val="0"/>
                <w:numId w:val="0"/>
              </w:numPr>
              <w:spacing w:line="300" w:lineRule="auto"/>
              <w:rPr>
                <w:rFonts w:ascii="Times New Roman" w:hAnsi="Times New Roman"/>
              </w:rPr>
            </w:pPr>
            <w:r>
              <w:rPr>
                <w:rFonts w:ascii="Times New Roman" w:hAnsi="Times New Roman"/>
                <w:sz w:val="24"/>
              </w:rPr>
              <w:t>评价血管内冲击波治疗设备</w:t>
            </w:r>
            <w:r>
              <w:rPr>
                <w:rFonts w:ascii="Times New Roman" w:hAnsi="Times New Roman" w:hint="eastAsia"/>
                <w:sz w:val="24"/>
              </w:rPr>
              <w:t>和</w:t>
            </w:r>
            <w:r>
              <w:rPr>
                <w:rFonts w:ascii="Times New Roman" w:hAnsi="Times New Roman"/>
                <w:sz w:val="24"/>
              </w:rPr>
              <w:t>震波球囊扩张导管用于冠状动脉钙化病变部位的安全性和有效性</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研究设计</w:t>
            </w:r>
          </w:p>
        </w:tc>
        <w:tc>
          <w:tcPr>
            <w:tcW w:w="4199" w:type="pct"/>
            <w:tcMar>
              <w:left w:w="227" w:type="dxa"/>
              <w:right w:w="227" w:type="dxa"/>
            </w:tcMar>
            <w:vAlign w:val="center"/>
          </w:tcPr>
          <w:p w:rsidR="00CA2089" w:rsidRDefault="00035E4E">
            <w:pPr>
              <w:spacing w:line="300" w:lineRule="auto"/>
              <w:rPr>
                <w:kern w:val="0"/>
                <w:sz w:val="24"/>
              </w:rPr>
            </w:pPr>
            <w:r>
              <w:rPr>
                <w:kern w:val="0"/>
                <w:sz w:val="24"/>
              </w:rPr>
              <w:t>本研究是一项</w:t>
            </w:r>
            <w:r>
              <w:rPr>
                <w:sz w:val="24"/>
              </w:rPr>
              <w:t>前瞻性、多中心、单组、目标值法的</w:t>
            </w:r>
            <w:r>
              <w:rPr>
                <w:kern w:val="0"/>
                <w:sz w:val="24"/>
              </w:rPr>
              <w:t>临床试验，选择</w:t>
            </w:r>
            <w:r>
              <w:rPr>
                <w:rFonts w:hint="eastAsia"/>
                <w:kern w:val="0"/>
                <w:sz w:val="24"/>
              </w:rPr>
              <w:t>205</w:t>
            </w:r>
            <w:proofErr w:type="gramStart"/>
            <w:r>
              <w:rPr>
                <w:kern w:val="0"/>
                <w:sz w:val="24"/>
              </w:rPr>
              <w:t>例经过</w:t>
            </w:r>
            <w:proofErr w:type="gramEnd"/>
            <w:r>
              <w:rPr>
                <w:kern w:val="0"/>
                <w:sz w:val="24"/>
              </w:rPr>
              <w:t>筛选合格并签署知情同意书的</w:t>
            </w:r>
            <w:r>
              <w:rPr>
                <w:color w:val="000000" w:themeColor="text1"/>
                <w:sz w:val="24"/>
              </w:rPr>
              <w:t>冠状动脉钙化病变的</w:t>
            </w:r>
            <w:r>
              <w:rPr>
                <w:kern w:val="0"/>
                <w:sz w:val="24"/>
              </w:rPr>
              <w:t>受试者，并使用</w:t>
            </w:r>
            <w:r>
              <w:rPr>
                <w:sz w:val="24"/>
              </w:rPr>
              <w:t>血管内冲击波治疗设备</w:t>
            </w:r>
            <w:r>
              <w:rPr>
                <w:rFonts w:hint="eastAsia"/>
                <w:kern w:val="0"/>
                <w:sz w:val="24"/>
              </w:rPr>
              <w:t>和</w:t>
            </w:r>
            <w:r>
              <w:rPr>
                <w:kern w:val="0"/>
                <w:sz w:val="24"/>
              </w:rPr>
              <w:t>震波球囊扩张导管进行冠状动脉手术治疗。所有参加研究的受试者均进行出院前（术后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天随访</w:t>
            </w:r>
            <w:r>
              <w:rPr>
                <w:sz w:val="24"/>
              </w:rPr>
              <w:t>。</w:t>
            </w:r>
            <w:r>
              <w:rPr>
                <w:kern w:val="0"/>
                <w:sz w:val="24"/>
              </w:rPr>
              <w:t>通过观察、记录治疗和随访过程中的相关有效性指标和安全性指标，验证上海科亚方舟医疗科技有限公司生产的</w:t>
            </w:r>
            <w:r>
              <w:rPr>
                <w:sz w:val="24"/>
              </w:rPr>
              <w:t>血管内冲击波治疗设备</w:t>
            </w:r>
            <w:r>
              <w:rPr>
                <w:rFonts w:hint="eastAsia"/>
                <w:color w:val="000000" w:themeColor="text1"/>
                <w:sz w:val="24"/>
              </w:rPr>
              <w:t>和</w:t>
            </w:r>
            <w:r>
              <w:rPr>
                <w:color w:val="000000" w:themeColor="text1"/>
                <w:sz w:val="24"/>
              </w:rPr>
              <w:t>震波球囊扩张导管</w:t>
            </w:r>
            <w:r>
              <w:rPr>
                <w:kern w:val="0"/>
                <w:sz w:val="24"/>
              </w:rPr>
              <w:t>用于治疗</w:t>
            </w:r>
            <w:r>
              <w:rPr>
                <w:color w:val="000000" w:themeColor="text1"/>
                <w:sz w:val="24"/>
              </w:rPr>
              <w:t>冠状动脉钙化病变</w:t>
            </w:r>
            <w:r>
              <w:rPr>
                <w:kern w:val="0"/>
                <w:sz w:val="24"/>
              </w:rPr>
              <w:t>的有效性和安全性。</w:t>
            </w:r>
          </w:p>
          <w:p w:rsidR="00CA2089" w:rsidRDefault="00035E4E">
            <w:pPr>
              <w:spacing w:line="300" w:lineRule="auto"/>
              <w:rPr>
                <w:kern w:val="0"/>
                <w:sz w:val="24"/>
              </w:rPr>
            </w:pPr>
            <w:r>
              <w:rPr>
                <w:rFonts w:hint="eastAsia"/>
                <w:color w:val="000000"/>
                <w:sz w:val="24"/>
              </w:rPr>
              <w:t>本研究计划在</w:t>
            </w:r>
            <w:r>
              <w:rPr>
                <w:rFonts w:hint="eastAsia"/>
                <w:color w:val="000000"/>
                <w:sz w:val="24"/>
              </w:rPr>
              <w:t>1-2</w:t>
            </w:r>
            <w:r>
              <w:rPr>
                <w:rFonts w:hint="eastAsia"/>
                <w:color w:val="000000"/>
                <w:sz w:val="24"/>
              </w:rPr>
              <w:t>家中心选取总样本量</w:t>
            </w:r>
            <w:r>
              <w:rPr>
                <w:rFonts w:hint="eastAsia"/>
                <w:color w:val="000000"/>
                <w:sz w:val="24"/>
              </w:rPr>
              <w:t>1/3</w:t>
            </w:r>
            <w:r>
              <w:rPr>
                <w:rFonts w:hint="eastAsia"/>
                <w:color w:val="000000"/>
                <w:sz w:val="24"/>
              </w:rPr>
              <w:t>的受试者（</w:t>
            </w:r>
            <w:r>
              <w:rPr>
                <w:rFonts w:hint="eastAsia"/>
                <w:color w:val="000000"/>
                <w:sz w:val="24"/>
              </w:rPr>
              <w:t>68</w:t>
            </w:r>
            <w:r>
              <w:rPr>
                <w:rFonts w:hint="eastAsia"/>
                <w:color w:val="000000"/>
                <w:sz w:val="24"/>
              </w:rPr>
              <w:t>例）组成腔内超声导管（</w:t>
            </w:r>
            <w:r>
              <w:rPr>
                <w:color w:val="000000"/>
                <w:sz w:val="24"/>
              </w:rPr>
              <w:t>IVUS</w:t>
            </w:r>
            <w:r>
              <w:rPr>
                <w:rFonts w:hint="eastAsia"/>
                <w:color w:val="000000"/>
                <w:sz w:val="24"/>
              </w:rPr>
              <w:t>）亚组，以便准确地评估钙化病变的治疗效果。</w:t>
            </w:r>
          </w:p>
          <w:p w:rsidR="00CA2089" w:rsidRDefault="00035E4E">
            <w:pPr>
              <w:spacing w:line="300" w:lineRule="auto"/>
              <w:rPr>
                <w:color w:val="000000"/>
                <w:sz w:val="24"/>
              </w:rPr>
            </w:pPr>
            <w:r>
              <w:rPr>
                <w:kern w:val="0"/>
                <w:sz w:val="24"/>
              </w:rPr>
              <w:t>当所有受试者完成术后</w:t>
            </w:r>
            <w:r>
              <w:rPr>
                <w:kern w:val="0"/>
                <w:sz w:val="24"/>
              </w:rPr>
              <w:t>1</w:t>
            </w:r>
            <w:r>
              <w:rPr>
                <w:kern w:val="0"/>
                <w:sz w:val="24"/>
              </w:rPr>
              <w:t>个月的随访后，先出具临床总结报告用于产品的注册申请，并在此基础上继续随访至术后</w:t>
            </w:r>
            <w:r>
              <w:rPr>
                <w:kern w:val="0"/>
                <w:sz w:val="24"/>
              </w:rPr>
              <w:t>6</w:t>
            </w:r>
            <w:r>
              <w:rPr>
                <w:kern w:val="0"/>
                <w:sz w:val="24"/>
              </w:rPr>
              <w:t>个月，当所有受试者完成术后</w:t>
            </w:r>
            <w:r>
              <w:rPr>
                <w:kern w:val="0"/>
                <w:sz w:val="24"/>
              </w:rPr>
              <w:t>6</w:t>
            </w:r>
            <w:r>
              <w:rPr>
                <w:kern w:val="0"/>
                <w:sz w:val="24"/>
              </w:rPr>
              <w:t>个月随访后再次出具临床总结报告用于产品</w:t>
            </w:r>
            <w:r>
              <w:rPr>
                <w:rFonts w:hint="eastAsia"/>
                <w:kern w:val="0"/>
                <w:sz w:val="24"/>
              </w:rPr>
              <w:t>注册补充材料提交</w:t>
            </w:r>
            <w:r>
              <w:rPr>
                <w:color w:val="000000"/>
                <w:sz w:val="24"/>
              </w:rPr>
              <w:t>。</w:t>
            </w:r>
          </w:p>
          <w:p w:rsidR="00B80404" w:rsidRPr="00B80404" w:rsidRDefault="00ED4DCD" w:rsidP="00977DB4">
            <w:pPr>
              <w:spacing w:line="300" w:lineRule="auto"/>
              <w:rPr>
                <w:sz w:val="24"/>
              </w:rPr>
            </w:pPr>
            <w:r w:rsidRPr="00ED4DCD">
              <w:rPr>
                <w:rFonts w:hint="eastAsia"/>
                <w:sz w:val="24"/>
              </w:rPr>
              <w:t>本试验由</w:t>
            </w:r>
            <w:r w:rsidR="00977DB4">
              <w:rPr>
                <w:rFonts w:hint="eastAsia"/>
                <w:sz w:val="24"/>
              </w:rPr>
              <w:t>研究者对</w:t>
            </w:r>
            <w:r w:rsidR="00977DB4" w:rsidRPr="00ED4DCD">
              <w:rPr>
                <w:rFonts w:hint="eastAsia"/>
                <w:sz w:val="24"/>
              </w:rPr>
              <w:t>所有影像资料进行收集、整理</w:t>
            </w:r>
            <w:r w:rsidR="00977DB4">
              <w:rPr>
                <w:rFonts w:hint="eastAsia"/>
                <w:sz w:val="24"/>
              </w:rPr>
              <w:t>，交由</w:t>
            </w:r>
            <w:r w:rsidRPr="00ED4DCD">
              <w:rPr>
                <w:rFonts w:hint="eastAsia"/>
                <w:sz w:val="24"/>
              </w:rPr>
              <w:t>专业的冠状动脉影像核心实验室</w:t>
            </w:r>
            <w:r w:rsidR="00977DB4">
              <w:rPr>
                <w:rFonts w:hint="eastAsia"/>
                <w:sz w:val="24"/>
              </w:rPr>
              <w:t>进行</w:t>
            </w:r>
            <w:r w:rsidRPr="00ED4DCD">
              <w:rPr>
                <w:rFonts w:hint="eastAsia"/>
                <w:sz w:val="24"/>
              </w:rPr>
              <w:t>分析及判定</w:t>
            </w:r>
            <w:r>
              <w:rPr>
                <w:rFonts w:hint="eastAsia"/>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产品预期用途</w:t>
            </w:r>
          </w:p>
        </w:tc>
        <w:tc>
          <w:tcPr>
            <w:tcW w:w="4199" w:type="pct"/>
            <w:tcMar>
              <w:left w:w="227" w:type="dxa"/>
              <w:right w:w="227" w:type="dxa"/>
            </w:tcMar>
            <w:vAlign w:val="center"/>
          </w:tcPr>
          <w:p w:rsidR="00CA2089" w:rsidRDefault="00035E4E">
            <w:pPr>
              <w:spacing w:line="300" w:lineRule="auto"/>
            </w:pPr>
            <w:r>
              <w:rPr>
                <w:kern w:val="0"/>
                <w:sz w:val="24"/>
              </w:rPr>
              <w:t>用于治疗</w:t>
            </w:r>
            <w:r>
              <w:rPr>
                <w:sz w:val="24"/>
              </w:rPr>
              <w:t>中、重度钙化、原发性的冠状动脉狭窄</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研究人群</w:t>
            </w:r>
          </w:p>
        </w:tc>
        <w:tc>
          <w:tcPr>
            <w:tcW w:w="4199" w:type="pct"/>
            <w:tcMar>
              <w:left w:w="227" w:type="dxa"/>
              <w:right w:w="227" w:type="dxa"/>
            </w:tcMar>
            <w:vAlign w:val="center"/>
          </w:tcPr>
          <w:p w:rsidR="00CA2089" w:rsidRDefault="00035E4E">
            <w:pPr>
              <w:spacing w:line="300" w:lineRule="auto"/>
            </w:pPr>
            <w:r>
              <w:rPr>
                <w:kern w:val="0"/>
                <w:sz w:val="24"/>
              </w:rPr>
              <w:t>患有</w:t>
            </w:r>
            <w:r>
              <w:rPr>
                <w:sz w:val="24"/>
              </w:rPr>
              <w:t>中、重度钙化、原发性的冠状动脉狭窄</w:t>
            </w:r>
            <w:r>
              <w:rPr>
                <w:kern w:val="0"/>
                <w:sz w:val="24"/>
              </w:rPr>
              <w:t>且需要手术介入治疗的人群</w:t>
            </w:r>
          </w:p>
        </w:tc>
      </w:tr>
      <w:tr w:rsidR="00CA2089">
        <w:trPr>
          <w:trHeight w:val="90"/>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入选标准</w:t>
            </w:r>
          </w:p>
        </w:tc>
        <w:tc>
          <w:tcPr>
            <w:tcW w:w="4199" w:type="pct"/>
            <w:tcMar>
              <w:left w:w="227" w:type="dxa"/>
              <w:right w:w="227" w:type="dxa"/>
            </w:tcMar>
            <w:vAlign w:val="center"/>
          </w:tcPr>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年龄</w:t>
            </w:r>
            <w:r>
              <w:rPr>
                <w:rFonts w:eastAsia="宋体" w:cs="Times New Roman"/>
                <w:kern w:val="0"/>
                <w:sz w:val="24"/>
                <w:szCs w:val="24"/>
              </w:rPr>
              <w:t>≥18</w:t>
            </w:r>
            <w:r>
              <w:rPr>
                <w:rFonts w:eastAsia="宋体" w:cs="Times New Roman"/>
                <w:kern w:val="0"/>
                <w:sz w:val="24"/>
                <w:szCs w:val="24"/>
              </w:rPr>
              <w:t>岁，性别不限；</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kern w:val="0"/>
                <w:sz w:val="24"/>
                <w:szCs w:val="24"/>
              </w:rPr>
              <w:t>存在明显的冠状动脉疾病（包括稳定型或不稳定型心绞痛和无症状心肌缺血）且适用于</w:t>
            </w:r>
            <w:r>
              <w:rPr>
                <w:rFonts w:eastAsia="宋体" w:cs="Times New Roman"/>
                <w:kern w:val="0"/>
                <w:sz w:val="24"/>
                <w:szCs w:val="24"/>
              </w:rPr>
              <w:t>PCI</w:t>
            </w:r>
            <w:r>
              <w:rPr>
                <w:rFonts w:eastAsia="宋体" w:cs="Times New Roman"/>
                <w:kern w:val="0"/>
                <w:sz w:val="24"/>
                <w:szCs w:val="24"/>
              </w:rPr>
              <w:t>治疗的患者；</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hint="eastAsia"/>
                <w:kern w:val="0"/>
                <w:sz w:val="24"/>
                <w:szCs w:val="24"/>
              </w:rPr>
              <w:lastRenderedPageBreak/>
              <w:t>靶血管为前降支、</w:t>
            </w:r>
            <w:proofErr w:type="gramStart"/>
            <w:r>
              <w:rPr>
                <w:rFonts w:eastAsia="宋体" w:cs="Times New Roman" w:hint="eastAsia"/>
                <w:kern w:val="0"/>
                <w:sz w:val="24"/>
                <w:szCs w:val="24"/>
              </w:rPr>
              <w:t>右冠或</w:t>
            </w:r>
            <w:proofErr w:type="gramEnd"/>
            <w:r>
              <w:rPr>
                <w:rFonts w:eastAsia="宋体" w:cs="Times New Roman" w:hint="eastAsia"/>
                <w:kern w:val="0"/>
                <w:sz w:val="24"/>
                <w:szCs w:val="24"/>
              </w:rPr>
              <w:t>回旋支（或其分支）的单一新发狭窄</w:t>
            </w:r>
            <w:r>
              <w:rPr>
                <w:rFonts w:eastAsia="宋体" w:cs="Times New Roman"/>
                <w:kern w:val="0"/>
                <w:sz w:val="24"/>
                <w:szCs w:val="24"/>
              </w:rPr>
              <w:t>，且狭窄程度</w:t>
            </w:r>
            <w:r>
              <w:rPr>
                <w:rFonts w:eastAsia="宋体" w:cs="Times New Roman"/>
                <w:kern w:val="0"/>
                <w:sz w:val="24"/>
                <w:szCs w:val="24"/>
              </w:rPr>
              <w:t>≥70%</w:t>
            </w:r>
            <w:r>
              <w:rPr>
                <w:rFonts w:eastAsia="宋体" w:cs="Times New Roman"/>
                <w:kern w:val="0"/>
                <w:sz w:val="24"/>
                <w:szCs w:val="24"/>
              </w:rPr>
              <w:t>或</w:t>
            </w:r>
            <w:r>
              <w:rPr>
                <w:rFonts w:eastAsia="宋体" w:cs="Times New Roman"/>
                <w:kern w:val="0"/>
                <w:sz w:val="24"/>
                <w:szCs w:val="24"/>
              </w:rPr>
              <w:t>≥50%</w:t>
            </w:r>
            <w:r>
              <w:rPr>
                <w:rFonts w:eastAsia="宋体" w:cs="Times New Roman"/>
                <w:kern w:val="0"/>
                <w:sz w:val="24"/>
                <w:szCs w:val="24"/>
              </w:rPr>
              <w:t>（目测）并伴有缺血证据；</w:t>
            </w:r>
          </w:p>
          <w:p w:rsidR="00CA2089" w:rsidRDefault="00035E4E">
            <w:pPr>
              <w:pStyle w:val="05220"/>
              <w:numPr>
                <w:ilvl w:val="0"/>
                <w:numId w:val="2"/>
              </w:numPr>
              <w:spacing w:line="300" w:lineRule="auto"/>
              <w:ind w:left="0" w:firstLine="0"/>
              <w:rPr>
                <w:rFonts w:eastAsia="宋体" w:cs="Times New Roman"/>
                <w:kern w:val="0"/>
                <w:sz w:val="24"/>
                <w:szCs w:val="24"/>
              </w:rPr>
            </w:pPr>
            <w:r>
              <w:rPr>
                <w:rFonts w:eastAsia="宋体" w:cs="Times New Roman" w:hint="eastAsia"/>
                <w:kern w:val="0"/>
                <w:sz w:val="24"/>
                <w:szCs w:val="24"/>
              </w:rPr>
              <w:t>靶病变为原发、原位冠状动脉病变；</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靶病变参考血管直径为</w:t>
            </w:r>
            <w:r>
              <w:rPr>
                <w:rFonts w:eastAsia="宋体" w:cs="Times New Roman"/>
                <w:kern w:val="0"/>
                <w:sz w:val="24"/>
                <w:szCs w:val="24"/>
              </w:rPr>
              <w:t>2.0-4.0mm</w:t>
            </w:r>
            <w:r>
              <w:rPr>
                <w:rFonts w:eastAsia="宋体" w:cs="Times New Roman"/>
                <w:kern w:val="0"/>
                <w:sz w:val="24"/>
                <w:szCs w:val="24"/>
              </w:rPr>
              <w:t>，靶病变长度</w:t>
            </w:r>
            <w:r>
              <w:rPr>
                <w:rFonts w:eastAsia="宋体" w:cs="Times New Roman"/>
                <w:kern w:val="0"/>
                <w:sz w:val="24"/>
                <w:szCs w:val="24"/>
              </w:rPr>
              <w:t>≤40mm</w:t>
            </w:r>
            <w:r>
              <w:rPr>
                <w:rFonts w:eastAsia="宋体" w:cs="Times New Roman"/>
                <w:kern w:val="0"/>
                <w:sz w:val="24"/>
                <w:szCs w:val="24"/>
              </w:rPr>
              <w:t>（目测）；</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hint="eastAsia"/>
                <w:kern w:val="0"/>
                <w:sz w:val="24"/>
                <w:szCs w:val="24"/>
              </w:rPr>
              <w:t>目测靶病变位置能够容纳预扩张器械或试验器械穿过病灶</w:t>
            </w:r>
            <w:r>
              <w:rPr>
                <w:rFonts w:eastAsia="宋体" w:cs="Times New Roman"/>
                <w:kern w:val="0"/>
                <w:sz w:val="24"/>
                <w:szCs w:val="24"/>
              </w:rPr>
              <w:t>；</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靶病变部位存在中重度钙化（满足以下条件之一即可）；</w:t>
            </w:r>
          </w:p>
          <w:p w:rsidR="00CA2089" w:rsidRDefault="00035E4E">
            <w:pPr>
              <w:pStyle w:val="05220"/>
              <w:numPr>
                <w:ilvl w:val="1"/>
                <w:numId w:val="2"/>
              </w:numPr>
              <w:spacing w:line="300" w:lineRule="auto"/>
              <w:rPr>
                <w:rFonts w:eastAsia="宋体" w:cs="Times New Roman"/>
                <w:kern w:val="0"/>
                <w:sz w:val="24"/>
                <w:szCs w:val="24"/>
              </w:rPr>
            </w:pPr>
            <w:r>
              <w:rPr>
                <w:rFonts w:eastAsia="宋体" w:cs="Times New Roman"/>
                <w:kern w:val="0"/>
                <w:sz w:val="24"/>
                <w:szCs w:val="24"/>
              </w:rPr>
              <w:t>血管造影：中度钙化，在心脏搏动时看到较清晰、较容易看到的高密度阴影；重度钙化，在心脏搏动和不搏动时均可看到清晰高密度阴影；</w:t>
            </w:r>
          </w:p>
          <w:p w:rsidR="00CA2089" w:rsidRDefault="00035E4E">
            <w:pPr>
              <w:pStyle w:val="05220"/>
              <w:numPr>
                <w:ilvl w:val="1"/>
                <w:numId w:val="2"/>
              </w:numPr>
              <w:spacing w:line="300" w:lineRule="auto"/>
              <w:rPr>
                <w:rFonts w:eastAsia="宋体" w:cs="Times New Roman"/>
                <w:kern w:val="0"/>
                <w:sz w:val="24"/>
                <w:szCs w:val="24"/>
              </w:rPr>
            </w:pPr>
            <w:r>
              <w:rPr>
                <w:rFonts w:eastAsia="宋体" w:cs="Times New Roman"/>
                <w:kern w:val="0"/>
                <w:sz w:val="24"/>
                <w:szCs w:val="24"/>
              </w:rPr>
              <w:t>IVUS</w:t>
            </w:r>
            <w:r>
              <w:rPr>
                <w:rFonts w:eastAsia="宋体" w:cs="Times New Roman"/>
                <w:kern w:val="0"/>
                <w:sz w:val="24"/>
                <w:szCs w:val="24"/>
              </w:rPr>
              <w:t>钙化评分</w:t>
            </w:r>
            <w:r>
              <w:rPr>
                <w:rFonts w:eastAsia="宋体" w:cs="Times New Roman"/>
                <w:kern w:val="0"/>
                <w:sz w:val="24"/>
                <w:szCs w:val="24"/>
              </w:rPr>
              <w:t>≥2</w:t>
            </w:r>
            <w:r>
              <w:rPr>
                <w:rFonts w:eastAsia="宋体" w:cs="Times New Roman"/>
                <w:kern w:val="0"/>
                <w:sz w:val="24"/>
                <w:szCs w:val="24"/>
              </w:rPr>
              <w:t>分的内膜浅层、中膜深层和混合性钙化；</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登记</w:t>
            </w:r>
            <w:proofErr w:type="gramStart"/>
            <w:r>
              <w:rPr>
                <w:rFonts w:eastAsia="宋体" w:cs="Times New Roman"/>
                <w:kern w:val="0"/>
                <w:sz w:val="24"/>
                <w:szCs w:val="24"/>
              </w:rPr>
              <w:t>入组前靶血管</w:t>
            </w:r>
            <w:proofErr w:type="gramEnd"/>
            <w:r>
              <w:rPr>
                <w:rFonts w:eastAsia="宋体" w:cs="Times New Roman"/>
                <w:kern w:val="0"/>
                <w:sz w:val="24"/>
                <w:szCs w:val="24"/>
              </w:rPr>
              <w:t>TIMI</w:t>
            </w:r>
            <w:r>
              <w:rPr>
                <w:rFonts w:eastAsia="宋体" w:cs="Times New Roman"/>
                <w:kern w:val="0"/>
                <w:sz w:val="24"/>
                <w:szCs w:val="24"/>
              </w:rPr>
              <w:t>血流</w:t>
            </w:r>
            <w:r>
              <w:rPr>
                <w:rFonts w:eastAsia="宋体" w:cs="Times New Roman"/>
                <w:kern w:val="0"/>
                <w:sz w:val="24"/>
                <w:szCs w:val="24"/>
              </w:rPr>
              <w:t>3</w:t>
            </w:r>
            <w:r>
              <w:rPr>
                <w:rFonts w:eastAsia="宋体" w:cs="Times New Roman"/>
                <w:kern w:val="0"/>
                <w:sz w:val="24"/>
                <w:szCs w:val="24"/>
              </w:rPr>
              <w:t>级（允许进行预扩张）；</w:t>
            </w:r>
          </w:p>
          <w:p w:rsidR="00CA2089" w:rsidRDefault="00035E4E">
            <w:pPr>
              <w:pStyle w:val="05220"/>
              <w:numPr>
                <w:ilvl w:val="0"/>
                <w:numId w:val="2"/>
              </w:numPr>
              <w:spacing w:line="300" w:lineRule="auto"/>
              <w:rPr>
                <w:rFonts w:eastAsia="宋体" w:cs="Times New Roman"/>
                <w:kern w:val="0"/>
                <w:sz w:val="24"/>
                <w:szCs w:val="24"/>
              </w:rPr>
            </w:pPr>
            <w:r>
              <w:rPr>
                <w:rFonts w:eastAsia="宋体" w:cs="Times New Roman"/>
                <w:kern w:val="0"/>
                <w:sz w:val="24"/>
                <w:szCs w:val="24"/>
              </w:rPr>
              <w:t>自愿参加并签署知情同意书，愿意接受相关检查和临床随访。</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排除标准</w:t>
            </w:r>
          </w:p>
        </w:tc>
        <w:tc>
          <w:tcPr>
            <w:tcW w:w="4199" w:type="pct"/>
            <w:tcMar>
              <w:left w:w="227" w:type="dxa"/>
              <w:right w:w="227" w:type="dxa"/>
            </w:tcMar>
            <w:vAlign w:val="center"/>
          </w:tcPr>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左心室射血分数</w:t>
            </w:r>
            <w:r>
              <w:rPr>
                <w:rFonts w:eastAsia="宋体" w:cs="Times New Roman"/>
                <w:kern w:val="0"/>
                <w:sz w:val="24"/>
                <w:szCs w:val="24"/>
              </w:rPr>
              <w:t>&lt; 40%</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心功能分级（</w:t>
            </w:r>
            <w:r>
              <w:rPr>
                <w:rFonts w:eastAsia="宋体" w:cs="Times New Roman"/>
                <w:kern w:val="0"/>
                <w:sz w:val="24"/>
                <w:szCs w:val="24"/>
                <w:lang w:eastAsia="zh-Hans"/>
              </w:rPr>
              <w:t>NYHA</w:t>
            </w:r>
            <w:r>
              <w:rPr>
                <w:rFonts w:eastAsia="宋体" w:cs="Times New Roman"/>
                <w:kern w:val="0"/>
                <w:sz w:val="24"/>
                <w:szCs w:val="24"/>
              </w:rPr>
              <w:t>）</w:t>
            </w:r>
            <w:r>
              <w:rPr>
                <w:rFonts w:eastAsia="宋体" w:cs="Times New Roman"/>
                <w:kern w:val="0"/>
                <w:sz w:val="24"/>
                <w:szCs w:val="24"/>
                <w:lang w:eastAsia="zh-Hans"/>
              </w:rPr>
              <w:t xml:space="preserve">III </w:t>
            </w:r>
            <w:r>
              <w:rPr>
                <w:rFonts w:eastAsia="宋体" w:cs="Times New Roman"/>
                <w:kern w:val="0"/>
                <w:sz w:val="24"/>
                <w:szCs w:val="24"/>
                <w:lang w:eastAsia="zh-Hans"/>
              </w:rPr>
              <w:t>级或</w:t>
            </w:r>
            <w:r>
              <w:rPr>
                <w:rFonts w:eastAsia="宋体" w:cs="Times New Roman"/>
                <w:kern w:val="0"/>
                <w:sz w:val="24"/>
                <w:szCs w:val="24"/>
                <w:lang w:eastAsia="zh-Hans"/>
              </w:rPr>
              <w:t>IV</w:t>
            </w:r>
            <w:r>
              <w:rPr>
                <w:rFonts w:eastAsia="宋体" w:cs="Times New Roman"/>
                <w:kern w:val="0"/>
                <w:sz w:val="24"/>
                <w:szCs w:val="24"/>
                <w:lang w:eastAsia="zh-Hans"/>
              </w:rPr>
              <w:t>级心力衰竭</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单一冠状动脉供血的患者；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造影提示病变部位存在夹层的患者；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造影提示血管路径迂回，</w:t>
            </w:r>
            <w:r>
              <w:rPr>
                <w:rFonts w:eastAsia="宋体" w:cs="Times New Roman" w:hint="eastAsia"/>
                <w:kern w:val="0"/>
                <w:sz w:val="24"/>
                <w:szCs w:val="24"/>
              </w:rPr>
              <w:t>预扩张器械</w:t>
            </w:r>
            <w:r>
              <w:rPr>
                <w:rFonts w:eastAsia="宋体" w:cs="Times New Roman"/>
                <w:kern w:val="0"/>
                <w:sz w:val="24"/>
                <w:szCs w:val="24"/>
              </w:rPr>
              <w:t>难以达到目标位置或难以回收；</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存在活动性全身感染的患者；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存在不可控制的重度高血压（收缩压</w:t>
            </w:r>
            <w:r>
              <w:rPr>
                <w:rFonts w:eastAsia="宋体" w:cs="Times New Roman"/>
                <w:kern w:val="0"/>
                <w:sz w:val="24"/>
                <w:szCs w:val="24"/>
              </w:rPr>
              <w:t>&gt;180 mmHg</w:t>
            </w:r>
            <w:r>
              <w:rPr>
                <w:rFonts w:eastAsia="宋体" w:cs="Times New Roman"/>
                <w:kern w:val="0"/>
                <w:sz w:val="24"/>
                <w:szCs w:val="24"/>
              </w:rPr>
              <w:t>或舒张压</w:t>
            </w:r>
            <w:r>
              <w:rPr>
                <w:rFonts w:eastAsia="宋体" w:cs="Times New Roman"/>
                <w:kern w:val="0"/>
                <w:sz w:val="24"/>
                <w:szCs w:val="24"/>
              </w:rPr>
              <w:t>&gt;110 mmHg</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rPr>
            </w:pPr>
            <w:r>
              <w:rPr>
                <w:rFonts w:eastAsia="宋体" w:cs="Times New Roman"/>
                <w:kern w:val="0"/>
                <w:sz w:val="24"/>
                <w:szCs w:val="24"/>
              </w:rPr>
              <w:t>存在凝血功能障碍、高凝状态或明显出血倾向（血红蛋白</w:t>
            </w:r>
            <w:r>
              <w:rPr>
                <w:rFonts w:eastAsia="宋体" w:cs="Times New Roman"/>
                <w:kern w:val="0"/>
                <w:sz w:val="24"/>
                <w:szCs w:val="24"/>
              </w:rPr>
              <w:t>&lt;10g/dL</w:t>
            </w:r>
            <w:r>
              <w:rPr>
                <w:rFonts w:eastAsia="宋体" w:cs="Times New Roman"/>
                <w:kern w:val="0"/>
                <w:sz w:val="24"/>
                <w:szCs w:val="24"/>
              </w:rPr>
              <w:t>或血小板计数</w:t>
            </w:r>
            <w:r>
              <w:rPr>
                <w:rFonts w:eastAsia="宋体" w:cs="Times New Roman"/>
                <w:kern w:val="0"/>
                <w:sz w:val="24"/>
                <w:szCs w:val="24"/>
              </w:rPr>
              <w:t>&lt;80×10</w:t>
            </w:r>
            <w:r>
              <w:rPr>
                <w:rFonts w:eastAsia="宋体" w:cs="Times New Roman"/>
                <w:kern w:val="0"/>
                <w:sz w:val="24"/>
                <w:szCs w:val="24"/>
                <w:vertAlign w:val="superscript"/>
              </w:rPr>
              <w:t>9</w:t>
            </w:r>
            <w:r>
              <w:rPr>
                <w:rFonts w:eastAsia="宋体" w:cs="Times New Roman"/>
                <w:kern w:val="0"/>
                <w:sz w:val="24"/>
                <w:szCs w:val="24"/>
              </w:rPr>
              <w:t>/ L</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存在严重肾功能损害，转氨酶超过正常值</w:t>
            </w:r>
            <w:r>
              <w:rPr>
                <w:rFonts w:eastAsia="宋体" w:cs="Times New Roman" w:hint="eastAsia"/>
                <w:kern w:val="0"/>
                <w:sz w:val="24"/>
                <w:szCs w:val="24"/>
              </w:rPr>
              <w:t>5</w:t>
            </w:r>
            <w:r>
              <w:rPr>
                <w:rFonts w:eastAsia="宋体" w:cs="Times New Roman"/>
                <w:kern w:val="0"/>
                <w:sz w:val="24"/>
                <w:szCs w:val="24"/>
              </w:rPr>
              <w:t>倍以上，</w:t>
            </w:r>
            <w:r>
              <w:rPr>
                <w:rFonts w:eastAsia="宋体" w:cs="Times New Roman" w:hint="eastAsia"/>
                <w:kern w:val="0"/>
                <w:sz w:val="24"/>
                <w:szCs w:val="24"/>
              </w:rPr>
              <w:t>eGFR</w:t>
            </w:r>
            <w:r>
              <w:rPr>
                <w:rFonts w:eastAsia="宋体" w:cs="Times New Roman" w:hint="eastAsia"/>
                <w:kern w:val="0"/>
                <w:sz w:val="24"/>
                <w:szCs w:val="24"/>
              </w:rPr>
              <w:t>＜</w:t>
            </w:r>
            <w:r>
              <w:rPr>
                <w:rFonts w:eastAsia="宋体" w:cs="Times New Roman" w:hint="eastAsia"/>
                <w:kern w:val="0"/>
                <w:sz w:val="24"/>
                <w:szCs w:val="24"/>
              </w:rPr>
              <w:t xml:space="preserve"> 45 mL</w:t>
            </w:r>
            <w:r>
              <w:rPr>
                <w:rFonts w:eastAsia="宋体" w:cs="Times New Roman" w:hint="eastAsia"/>
                <w:kern w:val="0"/>
                <w:sz w:val="24"/>
                <w:szCs w:val="24"/>
              </w:rPr>
              <w:t>·</w:t>
            </w:r>
            <w:r>
              <w:rPr>
                <w:rFonts w:eastAsia="宋体" w:cs="Times New Roman" w:hint="eastAsia"/>
                <w:kern w:val="0"/>
                <w:sz w:val="24"/>
                <w:szCs w:val="24"/>
              </w:rPr>
              <w:t>min</w:t>
            </w:r>
            <w:r>
              <w:rPr>
                <w:rFonts w:eastAsia="宋体" w:cs="Times New Roman" w:hint="eastAsia"/>
                <w:kern w:val="0"/>
                <w:sz w:val="24"/>
                <w:szCs w:val="24"/>
                <w:vertAlign w:val="superscript"/>
              </w:rPr>
              <w:t>-1</w:t>
            </w:r>
            <w:r>
              <w:rPr>
                <w:rFonts w:eastAsia="宋体" w:cs="Times New Roman" w:hint="eastAsia"/>
                <w:kern w:val="0"/>
                <w:sz w:val="24"/>
                <w:szCs w:val="24"/>
              </w:rPr>
              <w:t>·</w:t>
            </w:r>
            <w:r>
              <w:rPr>
                <w:rFonts w:eastAsia="宋体" w:cs="Times New Roman" w:hint="eastAsia"/>
                <w:kern w:val="0"/>
                <w:sz w:val="24"/>
                <w:szCs w:val="24"/>
              </w:rPr>
              <w:t>1.73m</w:t>
            </w:r>
            <w:r>
              <w:rPr>
                <w:rFonts w:eastAsia="宋体" w:cs="Times New Roman" w:hint="eastAsia"/>
                <w:kern w:val="0"/>
                <w:sz w:val="24"/>
                <w:szCs w:val="24"/>
                <w:vertAlign w:val="superscript"/>
              </w:rPr>
              <w:t>-2</w:t>
            </w:r>
            <w:r>
              <w:rPr>
                <w:rFonts w:eastAsia="宋体" w:cs="Times New Roman" w:hint="eastAsia"/>
                <w:kern w:val="0"/>
                <w:sz w:val="24"/>
                <w:szCs w:val="24"/>
              </w:rPr>
              <w:t xml:space="preserve"> </w:t>
            </w:r>
            <w:r>
              <w:rPr>
                <w:rFonts w:eastAsia="宋体" w:cs="Times New Roman"/>
                <w:kern w:val="0"/>
                <w:sz w:val="24"/>
                <w:szCs w:val="24"/>
              </w:rPr>
              <w:t>或需要长期透析的慢性肾功能衰竭患者；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已知桥血管病变</w:t>
            </w:r>
            <w:r>
              <w:rPr>
                <w:rFonts w:eastAsia="宋体" w:cs="Times New Roman" w:hint="eastAsia"/>
                <w:kern w:val="0"/>
                <w:sz w:val="24"/>
                <w:szCs w:val="24"/>
              </w:rPr>
              <w:t>、</w:t>
            </w:r>
            <w:r>
              <w:rPr>
                <w:rFonts w:eastAsia="宋体" w:cs="Times New Roman"/>
                <w:kern w:val="0"/>
                <w:sz w:val="24"/>
                <w:szCs w:val="24"/>
              </w:rPr>
              <w:t>血栓性病变</w:t>
            </w:r>
            <w:r>
              <w:rPr>
                <w:rFonts w:eastAsia="宋体" w:cs="Times New Roman" w:hint="eastAsia"/>
                <w:kern w:val="0"/>
                <w:sz w:val="24"/>
                <w:szCs w:val="24"/>
              </w:rPr>
              <w:t>、左主干病变、闭塞病变、分叉病变</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已知对</w:t>
            </w:r>
            <w:r>
              <w:rPr>
                <w:rFonts w:eastAsia="宋体" w:cs="Times New Roman" w:hint="eastAsia"/>
                <w:kern w:val="0"/>
                <w:sz w:val="24"/>
                <w:szCs w:val="24"/>
              </w:rPr>
              <w:t>抗血小板药物、抗凝药物</w:t>
            </w:r>
            <w:r>
              <w:rPr>
                <w:rFonts w:eastAsia="宋体" w:cs="Times New Roman"/>
                <w:kern w:val="0"/>
                <w:sz w:val="24"/>
                <w:szCs w:val="24"/>
              </w:rPr>
              <w:t>、造影剂、</w:t>
            </w:r>
            <w:r>
              <w:rPr>
                <w:rFonts w:eastAsia="宋体" w:cs="Times New Roman" w:hint="eastAsia"/>
                <w:kern w:val="0"/>
                <w:sz w:val="24"/>
                <w:szCs w:val="24"/>
              </w:rPr>
              <w:t>试验产品</w:t>
            </w:r>
            <w:r>
              <w:rPr>
                <w:rFonts w:eastAsia="宋体" w:cs="Times New Roman"/>
                <w:kern w:val="0"/>
                <w:sz w:val="24"/>
                <w:szCs w:val="24"/>
              </w:rPr>
              <w:t>导管材料等过敏</w:t>
            </w:r>
            <w:r>
              <w:rPr>
                <w:rFonts w:eastAsia="宋体" w:cs="Times New Roman" w:hint="eastAsia"/>
                <w:kern w:val="0"/>
                <w:sz w:val="24"/>
                <w:szCs w:val="24"/>
              </w:rPr>
              <w:t>或不能耐受</w:t>
            </w:r>
            <w:r>
              <w:rPr>
                <w:rFonts w:eastAsia="宋体" w:cs="Times New Roman"/>
                <w:kern w:val="0"/>
                <w:sz w:val="24"/>
                <w:szCs w:val="24"/>
              </w:rPr>
              <w:t>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计划术后</w:t>
            </w:r>
            <w:r>
              <w:rPr>
                <w:rFonts w:eastAsia="宋体" w:cs="Times New Roman"/>
                <w:kern w:val="0"/>
                <w:sz w:val="24"/>
                <w:szCs w:val="24"/>
              </w:rPr>
              <w:t>30</w:t>
            </w:r>
            <w:r>
              <w:rPr>
                <w:rFonts w:eastAsia="宋体" w:cs="Times New Roman"/>
                <w:kern w:val="0"/>
                <w:sz w:val="24"/>
                <w:szCs w:val="24"/>
              </w:rPr>
              <w:t>天内进行心血管干预治疗的患者；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计划同时使用动脉粥样硬化切除术或</w:t>
            </w:r>
            <w:r>
              <w:rPr>
                <w:rFonts w:eastAsia="宋体" w:cs="Times New Roman" w:hint="eastAsia"/>
                <w:kern w:val="0"/>
                <w:sz w:val="24"/>
                <w:szCs w:val="24"/>
              </w:rPr>
              <w:t>试验器械外的其它类似功能</w:t>
            </w:r>
            <w:r>
              <w:rPr>
                <w:rFonts w:eastAsia="宋体" w:cs="Times New Roman"/>
                <w:kern w:val="0"/>
                <w:sz w:val="24"/>
                <w:szCs w:val="24"/>
              </w:rPr>
              <w:t>球囊</w:t>
            </w:r>
            <w:r>
              <w:rPr>
                <w:rFonts w:eastAsia="宋体" w:cs="Times New Roman" w:hint="eastAsia"/>
                <w:kern w:val="0"/>
                <w:sz w:val="24"/>
                <w:szCs w:val="24"/>
              </w:rPr>
              <w:t>（预扩张相关球囊除外）</w:t>
            </w:r>
            <w:r>
              <w:rPr>
                <w:rFonts w:eastAsia="宋体" w:cs="Times New Roman"/>
                <w:kern w:val="0"/>
                <w:sz w:val="24"/>
                <w:szCs w:val="24"/>
              </w:rPr>
              <w:t>或研究性冠状动脉装置的患者；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lastRenderedPageBreak/>
              <w:t>术前</w:t>
            </w:r>
            <w:r>
              <w:rPr>
                <w:rFonts w:eastAsia="宋体" w:cs="Times New Roman"/>
                <w:kern w:val="0"/>
                <w:sz w:val="24"/>
                <w:szCs w:val="24"/>
              </w:rPr>
              <w:t>3</w:t>
            </w:r>
            <w:r>
              <w:rPr>
                <w:rFonts w:eastAsia="宋体" w:cs="Times New Roman"/>
                <w:kern w:val="0"/>
                <w:sz w:val="24"/>
                <w:szCs w:val="24"/>
              </w:rPr>
              <w:t>个月内靶病变部位接受过血管介入治疗手术或重大外科手术的患者；</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hint="eastAsia"/>
                <w:kern w:val="0"/>
                <w:sz w:val="24"/>
                <w:szCs w:val="24"/>
              </w:rPr>
              <w:t>入组前</w:t>
            </w:r>
            <w:r>
              <w:rPr>
                <w:rFonts w:eastAsia="宋体" w:cs="Times New Roman" w:hint="eastAsia"/>
                <w:kern w:val="0"/>
                <w:sz w:val="24"/>
                <w:szCs w:val="24"/>
              </w:rPr>
              <w:t>1</w:t>
            </w:r>
            <w:r>
              <w:rPr>
                <w:rFonts w:eastAsia="宋体" w:cs="Times New Roman" w:hint="eastAsia"/>
                <w:kern w:val="0"/>
                <w:sz w:val="24"/>
                <w:szCs w:val="24"/>
              </w:rPr>
              <w:t>个月内发生急性心肌梗死（</w:t>
            </w:r>
            <w:r>
              <w:rPr>
                <w:rFonts w:eastAsia="宋体" w:cs="Times New Roman" w:hint="eastAsia"/>
                <w:kern w:val="0"/>
                <w:sz w:val="24"/>
                <w:szCs w:val="24"/>
              </w:rPr>
              <w:t>MI</w:t>
            </w:r>
            <w:r>
              <w:rPr>
                <w:rFonts w:eastAsia="宋体" w:cs="Times New Roman" w:hint="eastAsia"/>
                <w:kern w:val="0"/>
                <w:sz w:val="24"/>
                <w:szCs w:val="24"/>
              </w:rPr>
              <w:t>）的患者</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入组前</w:t>
            </w:r>
            <w:r>
              <w:rPr>
                <w:rFonts w:eastAsia="宋体" w:cs="Times New Roman"/>
                <w:kern w:val="0"/>
                <w:sz w:val="24"/>
                <w:szCs w:val="24"/>
                <w:lang w:eastAsia="zh-Hans"/>
              </w:rPr>
              <w:t>3</w:t>
            </w:r>
            <w:r>
              <w:rPr>
                <w:rFonts w:eastAsia="宋体" w:cs="Times New Roman"/>
                <w:kern w:val="0"/>
                <w:sz w:val="24"/>
                <w:szCs w:val="24"/>
                <w:lang w:eastAsia="zh-Hans"/>
              </w:rPr>
              <w:t>个月内有卒中或短暂性脑缺血发作（</w:t>
            </w:r>
            <w:r>
              <w:rPr>
                <w:rFonts w:eastAsia="宋体" w:cs="Times New Roman"/>
                <w:kern w:val="0"/>
                <w:sz w:val="24"/>
                <w:szCs w:val="24"/>
                <w:lang w:eastAsia="zh-Hans"/>
              </w:rPr>
              <w:t>TIA</w:t>
            </w:r>
            <w:r>
              <w:rPr>
                <w:rFonts w:eastAsia="宋体" w:cs="Times New Roman"/>
                <w:kern w:val="0"/>
                <w:sz w:val="24"/>
                <w:szCs w:val="24"/>
                <w:lang w:eastAsia="zh-Hans"/>
              </w:rPr>
              <w:t>）病史</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kern w:val="0"/>
                <w:sz w:val="24"/>
                <w:szCs w:val="24"/>
              </w:rPr>
            </w:pPr>
            <w:r>
              <w:rPr>
                <w:rFonts w:eastAsia="宋体" w:cs="Times New Roman"/>
                <w:kern w:val="0"/>
                <w:sz w:val="24"/>
                <w:szCs w:val="24"/>
              </w:rPr>
              <w:t>入组前</w:t>
            </w:r>
            <w:r>
              <w:rPr>
                <w:rFonts w:eastAsia="宋体" w:cs="Times New Roman"/>
                <w:kern w:val="0"/>
                <w:sz w:val="24"/>
                <w:szCs w:val="24"/>
                <w:lang w:eastAsia="zh-Hans"/>
              </w:rPr>
              <w:t xml:space="preserve">6 </w:t>
            </w:r>
            <w:proofErr w:type="gramStart"/>
            <w:r>
              <w:rPr>
                <w:rFonts w:eastAsia="宋体" w:cs="Times New Roman"/>
                <w:kern w:val="0"/>
                <w:sz w:val="24"/>
                <w:szCs w:val="24"/>
                <w:lang w:eastAsia="zh-Hans"/>
              </w:rPr>
              <w:t>个</w:t>
            </w:r>
            <w:proofErr w:type="gramEnd"/>
            <w:r>
              <w:rPr>
                <w:rFonts w:eastAsia="宋体" w:cs="Times New Roman"/>
                <w:kern w:val="0"/>
                <w:sz w:val="24"/>
                <w:szCs w:val="24"/>
                <w:lang w:eastAsia="zh-Hans"/>
              </w:rPr>
              <w:t>月内存在活动性消化性溃疡或上消化道（</w:t>
            </w:r>
            <w:r>
              <w:rPr>
                <w:rFonts w:eastAsia="宋体" w:cs="Times New Roman"/>
                <w:kern w:val="0"/>
                <w:sz w:val="24"/>
                <w:szCs w:val="24"/>
                <w:lang w:eastAsia="zh-Hans"/>
              </w:rPr>
              <w:t>GI</w:t>
            </w:r>
            <w:r>
              <w:rPr>
                <w:rFonts w:eastAsia="宋体" w:cs="Times New Roman"/>
                <w:kern w:val="0"/>
                <w:sz w:val="24"/>
                <w:szCs w:val="24"/>
                <w:lang w:eastAsia="zh-Hans"/>
              </w:rPr>
              <w:t>）出血病史</w:t>
            </w:r>
            <w:r>
              <w:rPr>
                <w:rFonts w:eastAsia="宋体" w:cs="Times New Roman"/>
                <w:kern w:val="0"/>
                <w:sz w:val="24"/>
                <w:szCs w:val="24"/>
              </w:rPr>
              <w:t>；</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lang w:eastAsia="zh-Hans"/>
              </w:rPr>
              <w:t>妊娠、哺乳期</w:t>
            </w:r>
            <w:r>
              <w:rPr>
                <w:rFonts w:eastAsia="宋体" w:cs="Times New Roman"/>
                <w:sz w:val="24"/>
                <w:szCs w:val="24"/>
              </w:rPr>
              <w:t>或试验期间有生育计划的</w:t>
            </w:r>
            <w:r>
              <w:rPr>
                <w:rFonts w:eastAsia="宋体" w:cs="Times New Roman"/>
                <w:sz w:val="24"/>
                <w:szCs w:val="24"/>
                <w:lang w:eastAsia="zh-Hans"/>
              </w:rPr>
              <w:t>女性</w:t>
            </w:r>
            <w:r>
              <w:rPr>
                <w:rFonts w:eastAsia="宋体" w:cs="Times New Roman"/>
                <w:sz w:val="24"/>
                <w:szCs w:val="24"/>
              </w:rPr>
              <w:t>；</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rPr>
              <w:t>正在参加其他器械或药物的干预性临床研究；</w:t>
            </w:r>
          </w:p>
          <w:p w:rsidR="00CA2089" w:rsidRDefault="00035E4E">
            <w:pPr>
              <w:pStyle w:val="05220"/>
              <w:numPr>
                <w:ilvl w:val="0"/>
                <w:numId w:val="3"/>
              </w:numPr>
              <w:spacing w:line="300" w:lineRule="auto"/>
              <w:ind w:left="0" w:firstLine="0"/>
              <w:rPr>
                <w:rFonts w:eastAsia="宋体" w:cs="Times New Roman"/>
                <w:sz w:val="24"/>
                <w:szCs w:val="24"/>
              </w:rPr>
            </w:pPr>
            <w:r>
              <w:rPr>
                <w:rFonts w:eastAsia="宋体" w:cs="Times New Roman"/>
                <w:sz w:val="24"/>
                <w:szCs w:val="24"/>
                <w:lang w:eastAsia="zh-Hans"/>
              </w:rPr>
              <w:t>研究者认为不适宜参加本次临床研究的其他情况</w:t>
            </w:r>
            <w:r>
              <w:rPr>
                <w:rFonts w:eastAsia="宋体" w:cs="Times New Roman"/>
                <w:sz w:val="24"/>
                <w:szCs w:val="24"/>
              </w:rPr>
              <w:t>。</w:t>
            </w:r>
          </w:p>
        </w:tc>
      </w:tr>
      <w:tr w:rsidR="00CA2089">
        <w:trPr>
          <w:trHeight w:val="55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主要疗效指标</w:t>
            </w:r>
          </w:p>
        </w:tc>
        <w:tc>
          <w:tcPr>
            <w:tcW w:w="4199" w:type="pct"/>
            <w:tcMar>
              <w:left w:w="227" w:type="dxa"/>
              <w:right w:w="227" w:type="dxa"/>
            </w:tcMar>
            <w:vAlign w:val="center"/>
          </w:tcPr>
          <w:p w:rsidR="00CA2089" w:rsidRDefault="00035E4E">
            <w:pPr>
              <w:pStyle w:val="af9"/>
              <w:numPr>
                <w:ilvl w:val="0"/>
                <w:numId w:val="4"/>
              </w:numPr>
              <w:autoSpaceDE w:val="0"/>
              <w:autoSpaceDN w:val="0"/>
              <w:snapToGrid w:val="0"/>
              <w:spacing w:line="300" w:lineRule="auto"/>
              <w:ind w:firstLineChars="0"/>
              <w:rPr>
                <w:sz w:val="24"/>
              </w:rPr>
            </w:pPr>
            <w:r>
              <w:rPr>
                <w:sz w:val="24"/>
              </w:rPr>
              <w:t>手术成功率</w:t>
            </w:r>
          </w:p>
          <w:p w:rsidR="00CA2089" w:rsidRDefault="00035E4E">
            <w:pPr>
              <w:pStyle w:val="05220"/>
              <w:spacing w:line="300" w:lineRule="auto"/>
              <w:ind w:firstLine="480"/>
              <w:rPr>
                <w:rFonts w:eastAsia="宋体" w:cs="Times New Roman"/>
                <w:sz w:val="24"/>
                <w:szCs w:val="24"/>
              </w:rPr>
            </w:pPr>
            <w:r>
              <w:rPr>
                <w:rFonts w:eastAsia="宋体" w:cs="Times New Roman"/>
                <w:sz w:val="24"/>
                <w:szCs w:val="24"/>
              </w:rPr>
              <w:t>评价时间：术后即刻至出院前（术后</w:t>
            </w:r>
            <w:r>
              <w:rPr>
                <w:rFonts w:eastAsia="宋体" w:cs="Times New Roman"/>
                <w:sz w:val="24"/>
                <w:szCs w:val="24"/>
              </w:rPr>
              <w:t>0-7</w:t>
            </w:r>
            <w:r>
              <w:rPr>
                <w:rFonts w:eastAsia="宋体" w:cs="Times New Roman"/>
                <w:sz w:val="24"/>
                <w:szCs w:val="24"/>
              </w:rPr>
              <w:t>天）</w:t>
            </w:r>
          </w:p>
          <w:p w:rsidR="00CA2089" w:rsidRDefault="00035E4E">
            <w:pPr>
              <w:widowControl/>
              <w:spacing w:line="300" w:lineRule="auto"/>
              <w:ind w:firstLine="480"/>
              <w:rPr>
                <w:color w:val="000000"/>
                <w:sz w:val="24"/>
              </w:rPr>
            </w:pPr>
            <w:r>
              <w:rPr>
                <w:sz w:val="24"/>
              </w:rPr>
              <w:t>手术成功定义：术中通过血管造影评估，使用试验器械</w:t>
            </w:r>
            <w:r>
              <w:rPr>
                <w:rFonts w:hint="eastAsia"/>
                <w:sz w:val="24"/>
              </w:rPr>
              <w:t>成功</w:t>
            </w:r>
            <w:r>
              <w:rPr>
                <w:sz w:val="24"/>
              </w:rPr>
              <w:t>对管腔进行</w:t>
            </w:r>
            <w:r>
              <w:rPr>
                <w:rFonts w:hint="eastAsia"/>
                <w:sz w:val="24"/>
              </w:rPr>
              <w:t>预处理</w:t>
            </w:r>
            <w:r>
              <w:rPr>
                <w:sz w:val="24"/>
              </w:rPr>
              <w:t>，</w:t>
            </w:r>
            <w:r>
              <w:rPr>
                <w:rFonts w:hint="eastAsia"/>
                <w:sz w:val="24"/>
              </w:rPr>
              <w:t>支架植入后即刻靶病变残余直径狭窄≤</w:t>
            </w:r>
            <w:r>
              <w:rPr>
                <w:rFonts w:hint="eastAsia"/>
                <w:sz w:val="24"/>
              </w:rPr>
              <w:t>30%</w:t>
            </w:r>
            <w:r>
              <w:rPr>
                <w:sz w:val="24"/>
              </w:rPr>
              <w:t>且</w:t>
            </w:r>
            <w:r>
              <w:rPr>
                <w:color w:val="000000"/>
                <w:sz w:val="24"/>
              </w:rPr>
              <w:t>住院期间无心脏血管主要不良事件（</w:t>
            </w:r>
            <w:r>
              <w:rPr>
                <w:color w:val="000000"/>
                <w:sz w:val="24"/>
              </w:rPr>
              <w:t>MACE</w:t>
            </w:r>
            <w:r>
              <w:rPr>
                <w:color w:val="000000"/>
                <w:sz w:val="24"/>
              </w:rPr>
              <w:t>）发生。</w:t>
            </w:r>
          </w:p>
          <w:p w:rsidR="00CA2089" w:rsidRDefault="00035E4E">
            <w:pPr>
              <w:widowControl/>
              <w:spacing w:line="300" w:lineRule="auto"/>
              <w:ind w:firstLine="480"/>
              <w:rPr>
                <w:sz w:val="24"/>
              </w:rPr>
            </w:pPr>
            <w:r>
              <w:rPr>
                <w:sz w:val="24"/>
              </w:rPr>
              <w:t>MACE</w:t>
            </w:r>
            <w:r>
              <w:rPr>
                <w:sz w:val="24"/>
              </w:rPr>
              <w:t>事件定义：心源性死亡、心肌梗死、靶血管血运重建。</w:t>
            </w:r>
          </w:p>
          <w:p w:rsidR="00CA2089" w:rsidRDefault="00035E4E">
            <w:pPr>
              <w:pStyle w:val="05220"/>
              <w:widowControl/>
              <w:spacing w:line="300" w:lineRule="auto"/>
              <w:ind w:firstLine="480"/>
              <w:rPr>
                <w:rFonts w:eastAsia="宋体" w:cs="Times New Roman"/>
              </w:rPr>
            </w:pPr>
            <w:r>
              <w:rPr>
                <w:rFonts w:eastAsia="宋体" w:cs="Times New Roman"/>
                <w:sz w:val="24"/>
                <w:szCs w:val="24"/>
              </w:rPr>
              <w:t>计算公式：手术成功率</w:t>
            </w:r>
            <w:r>
              <w:rPr>
                <w:rFonts w:eastAsia="宋体" w:cs="Times New Roman"/>
                <w:sz w:val="24"/>
                <w:szCs w:val="24"/>
              </w:rPr>
              <w:t>=</w:t>
            </w:r>
            <w:r>
              <w:rPr>
                <w:rFonts w:eastAsia="宋体" w:cs="Times New Roman"/>
                <w:sz w:val="24"/>
                <w:szCs w:val="24"/>
              </w:rPr>
              <w:t>手术成功病例数</w:t>
            </w:r>
            <w:r>
              <w:rPr>
                <w:rFonts w:eastAsia="宋体" w:cs="Times New Roman"/>
                <w:sz w:val="24"/>
                <w:szCs w:val="24"/>
              </w:rPr>
              <w:t>÷</w:t>
            </w:r>
            <w:r>
              <w:rPr>
                <w:rFonts w:eastAsia="宋体" w:cs="Times New Roman"/>
                <w:sz w:val="24"/>
                <w:szCs w:val="24"/>
              </w:rPr>
              <w:t>总病例数</w:t>
            </w:r>
            <w:r>
              <w:rPr>
                <w:rFonts w:eastAsia="宋体" w:cs="Times New Roman"/>
                <w:sz w:val="24"/>
                <w:szCs w:val="24"/>
              </w:rPr>
              <w:t>×100%</w:t>
            </w:r>
            <w:r>
              <w:rPr>
                <w:rFonts w:eastAsia="宋体" w:cs="Times New Roman"/>
                <w:sz w:val="24"/>
              </w:rPr>
              <w:t>。</w:t>
            </w:r>
          </w:p>
        </w:tc>
      </w:tr>
      <w:tr w:rsidR="00CA2089">
        <w:trPr>
          <w:trHeight w:val="55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rFonts w:hint="eastAsia"/>
                <w:b/>
                <w:color w:val="000000"/>
                <w:sz w:val="24"/>
                <w:szCs w:val="22"/>
              </w:rPr>
              <w:t>主要安全性指标</w:t>
            </w:r>
          </w:p>
        </w:tc>
        <w:tc>
          <w:tcPr>
            <w:tcW w:w="4199" w:type="pct"/>
            <w:tcMar>
              <w:left w:w="227" w:type="dxa"/>
              <w:right w:w="227" w:type="dxa"/>
            </w:tcMar>
            <w:vAlign w:val="center"/>
          </w:tcPr>
          <w:p w:rsidR="00CA2089" w:rsidRDefault="00035E4E">
            <w:pPr>
              <w:pStyle w:val="af9"/>
              <w:numPr>
                <w:ilvl w:val="0"/>
                <w:numId w:val="4"/>
              </w:numPr>
              <w:autoSpaceDE w:val="0"/>
              <w:autoSpaceDN w:val="0"/>
              <w:snapToGrid w:val="0"/>
              <w:spacing w:line="300" w:lineRule="auto"/>
              <w:ind w:firstLineChars="0"/>
              <w:rPr>
                <w:sz w:val="24"/>
              </w:rPr>
            </w:pPr>
            <w:r>
              <w:rPr>
                <w:rFonts w:hint="eastAsia"/>
                <w:sz w:val="24"/>
              </w:rPr>
              <w:t>术后</w:t>
            </w:r>
            <w:r>
              <w:rPr>
                <w:rFonts w:hint="eastAsia"/>
                <w:sz w:val="24"/>
              </w:rPr>
              <w:t>1</w:t>
            </w:r>
            <w:r>
              <w:rPr>
                <w:rFonts w:hint="eastAsia"/>
                <w:sz w:val="24"/>
              </w:rPr>
              <w:t>个月无</w:t>
            </w:r>
            <w:r>
              <w:rPr>
                <w:color w:val="000000"/>
                <w:sz w:val="24"/>
              </w:rPr>
              <w:t>主要不良事件（</w:t>
            </w:r>
            <w:r>
              <w:rPr>
                <w:color w:val="000000"/>
                <w:sz w:val="24"/>
              </w:rPr>
              <w:t>MACE</w:t>
            </w:r>
            <w:r>
              <w:rPr>
                <w:color w:val="000000"/>
                <w:sz w:val="24"/>
              </w:rPr>
              <w:t>）发生</w:t>
            </w:r>
            <w:r>
              <w:rPr>
                <w:rFonts w:hint="eastAsia"/>
                <w:color w:val="000000"/>
                <w:sz w:val="24"/>
              </w:rPr>
              <w:t>率</w:t>
            </w:r>
          </w:p>
          <w:p w:rsidR="00CA2089" w:rsidRDefault="00035E4E">
            <w:pPr>
              <w:widowControl/>
              <w:spacing w:line="300" w:lineRule="auto"/>
              <w:ind w:firstLine="480"/>
              <w:rPr>
                <w:sz w:val="24"/>
              </w:rPr>
            </w:pPr>
            <w:r>
              <w:rPr>
                <w:rFonts w:hint="eastAsia"/>
                <w:sz w:val="24"/>
              </w:rPr>
              <w:t>评价时间：术后</w:t>
            </w:r>
            <w:r>
              <w:rPr>
                <w:rFonts w:hint="eastAsia"/>
                <w:sz w:val="24"/>
              </w:rPr>
              <w:t>1</w:t>
            </w:r>
            <w:r>
              <w:rPr>
                <w:rFonts w:hint="eastAsia"/>
                <w:sz w:val="24"/>
              </w:rPr>
              <w:t>个月±</w:t>
            </w:r>
            <w:r>
              <w:rPr>
                <w:rFonts w:hint="eastAsia"/>
                <w:sz w:val="24"/>
              </w:rPr>
              <w:t>7</w:t>
            </w:r>
            <w:r>
              <w:rPr>
                <w:rFonts w:hint="eastAsia"/>
                <w:sz w:val="24"/>
              </w:rPr>
              <w:t>天</w:t>
            </w:r>
          </w:p>
          <w:p w:rsidR="00CA2089" w:rsidRDefault="00035E4E">
            <w:pPr>
              <w:widowControl/>
              <w:spacing w:line="300" w:lineRule="auto"/>
              <w:ind w:firstLine="480"/>
              <w:rPr>
                <w:sz w:val="24"/>
              </w:rPr>
            </w:pPr>
            <w:r>
              <w:rPr>
                <w:rFonts w:hint="eastAsia"/>
                <w:sz w:val="24"/>
              </w:rPr>
              <w:t>MACE</w:t>
            </w:r>
            <w:r>
              <w:rPr>
                <w:rFonts w:hint="eastAsia"/>
                <w:sz w:val="24"/>
              </w:rPr>
              <w:t>事件定义：心源性死亡、心肌梗死、靶血管血运重建。</w:t>
            </w:r>
          </w:p>
          <w:p w:rsidR="00CA2089" w:rsidRDefault="00035E4E">
            <w:pPr>
              <w:widowControl/>
              <w:spacing w:line="300" w:lineRule="auto"/>
              <w:ind w:firstLine="480"/>
              <w:rPr>
                <w:sz w:val="24"/>
              </w:rPr>
            </w:pPr>
            <w:r>
              <w:rPr>
                <w:rFonts w:hint="eastAsia"/>
                <w:sz w:val="24"/>
              </w:rPr>
              <w:t>评价方法：记录术后</w:t>
            </w:r>
            <w:r>
              <w:rPr>
                <w:rFonts w:hint="eastAsia"/>
                <w:sz w:val="24"/>
              </w:rPr>
              <w:t>1</w:t>
            </w:r>
            <w:r>
              <w:rPr>
                <w:rFonts w:hint="eastAsia"/>
                <w:sz w:val="24"/>
              </w:rPr>
              <w:t>个月内器械相关心脏不良事件的发生情况。</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t>次要疗效指标</w:t>
            </w:r>
          </w:p>
        </w:tc>
        <w:tc>
          <w:tcPr>
            <w:tcW w:w="4199" w:type="pct"/>
            <w:tcMar>
              <w:left w:w="227" w:type="dxa"/>
              <w:right w:w="227" w:type="dxa"/>
            </w:tcMar>
            <w:vAlign w:val="center"/>
          </w:tcPr>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器械成功率</w:t>
            </w:r>
          </w:p>
          <w:p w:rsidR="00CA2089" w:rsidRDefault="00035E4E">
            <w:pPr>
              <w:pStyle w:val="af9"/>
              <w:autoSpaceDE w:val="0"/>
              <w:autoSpaceDN w:val="0"/>
              <w:snapToGrid w:val="0"/>
              <w:spacing w:line="300" w:lineRule="auto"/>
              <w:ind w:firstLine="480"/>
              <w:rPr>
                <w:sz w:val="24"/>
              </w:rPr>
            </w:pPr>
            <w:r>
              <w:rPr>
                <w:sz w:val="24"/>
              </w:rPr>
              <w:t>评价时间：术后即刻</w:t>
            </w:r>
          </w:p>
          <w:p w:rsidR="00CA2089" w:rsidRDefault="00035E4E">
            <w:pPr>
              <w:pStyle w:val="af9"/>
              <w:autoSpaceDE w:val="0"/>
              <w:autoSpaceDN w:val="0"/>
              <w:snapToGrid w:val="0"/>
              <w:spacing w:line="300" w:lineRule="auto"/>
              <w:ind w:firstLine="480"/>
              <w:rPr>
                <w:sz w:val="24"/>
              </w:rPr>
            </w:pPr>
            <w:r>
              <w:rPr>
                <w:sz w:val="24"/>
              </w:rPr>
              <w:t>器械成功定义：震波球囊扩张导管能够通过靶病变，并在导管就位后立即进行治疗而无严重血管造影并发症发生，严重血管造影并发症包括严重夹层（</w:t>
            </w:r>
            <w:r>
              <w:rPr>
                <w:sz w:val="24"/>
              </w:rPr>
              <w:t>D</w:t>
            </w:r>
            <w:proofErr w:type="gramStart"/>
            <w:r>
              <w:rPr>
                <w:sz w:val="24"/>
              </w:rPr>
              <w:t>型至</w:t>
            </w:r>
            <w:proofErr w:type="gramEnd"/>
            <w:r>
              <w:rPr>
                <w:sz w:val="24"/>
              </w:rPr>
              <w:t>F</w:t>
            </w:r>
            <w:r>
              <w:rPr>
                <w:sz w:val="24"/>
              </w:rPr>
              <w:t>型）、穿孔、急性闭合及持续性血流缓慢或持续性无复流。</w:t>
            </w:r>
          </w:p>
          <w:p w:rsidR="00CA2089" w:rsidRDefault="00035E4E">
            <w:pPr>
              <w:pStyle w:val="af9"/>
              <w:autoSpaceDE w:val="0"/>
              <w:autoSpaceDN w:val="0"/>
              <w:snapToGrid w:val="0"/>
              <w:spacing w:line="300" w:lineRule="auto"/>
              <w:ind w:firstLine="480"/>
              <w:rPr>
                <w:sz w:val="24"/>
              </w:rPr>
            </w:pPr>
            <w:r>
              <w:rPr>
                <w:sz w:val="24"/>
              </w:rPr>
              <w:t>计算公式：器械成功率</w:t>
            </w:r>
            <w:r>
              <w:rPr>
                <w:sz w:val="24"/>
              </w:rPr>
              <w:t>=</w:t>
            </w:r>
            <w:r>
              <w:rPr>
                <w:sz w:val="24"/>
              </w:rPr>
              <w:t>器械成功病例数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血管造影成功率</w:t>
            </w:r>
          </w:p>
          <w:p w:rsidR="00CA2089" w:rsidRDefault="00035E4E">
            <w:pPr>
              <w:pStyle w:val="af9"/>
              <w:autoSpaceDE w:val="0"/>
              <w:autoSpaceDN w:val="0"/>
              <w:snapToGrid w:val="0"/>
              <w:spacing w:line="300" w:lineRule="auto"/>
              <w:ind w:firstLine="480"/>
              <w:rPr>
                <w:kern w:val="0"/>
                <w:sz w:val="24"/>
              </w:rPr>
            </w:pPr>
            <w:r>
              <w:rPr>
                <w:sz w:val="24"/>
              </w:rPr>
              <w:t>评价时间：</w:t>
            </w:r>
            <w:r>
              <w:rPr>
                <w:kern w:val="0"/>
                <w:sz w:val="24"/>
              </w:rPr>
              <w:t>术后即刻</w:t>
            </w:r>
          </w:p>
          <w:p w:rsidR="00CA2089" w:rsidRDefault="00035E4E">
            <w:pPr>
              <w:pStyle w:val="af9"/>
              <w:widowControl/>
              <w:autoSpaceDE w:val="0"/>
              <w:autoSpaceDN w:val="0"/>
              <w:snapToGrid w:val="0"/>
              <w:spacing w:line="300" w:lineRule="auto"/>
              <w:ind w:firstLine="480"/>
              <w:rPr>
                <w:sz w:val="24"/>
              </w:rPr>
            </w:pPr>
            <w:r>
              <w:rPr>
                <w:sz w:val="24"/>
              </w:rPr>
              <w:t>血管造影成功定义：完成支架置入后残余狭窄</w:t>
            </w:r>
            <w:r>
              <w:rPr>
                <w:sz w:val="24"/>
              </w:rPr>
              <w:t>&lt;30%</w:t>
            </w:r>
            <w:r>
              <w:rPr>
                <w:sz w:val="24"/>
              </w:rPr>
              <w:t>且无严重血管造影并发症发生，严重血管造影并发症包括严重夹层（</w:t>
            </w:r>
            <w:r>
              <w:rPr>
                <w:sz w:val="24"/>
              </w:rPr>
              <w:t>D</w:t>
            </w:r>
            <w:proofErr w:type="gramStart"/>
            <w:r>
              <w:rPr>
                <w:sz w:val="24"/>
              </w:rPr>
              <w:t>型至</w:t>
            </w:r>
            <w:proofErr w:type="gramEnd"/>
            <w:r>
              <w:rPr>
                <w:sz w:val="24"/>
              </w:rPr>
              <w:t>F</w:t>
            </w:r>
            <w:r>
              <w:rPr>
                <w:sz w:val="24"/>
              </w:rPr>
              <w:t>型）、穿孔、急性闭合及持续性血流缓慢或持续性无复流。</w:t>
            </w:r>
          </w:p>
          <w:p w:rsidR="00CA2089" w:rsidRDefault="00035E4E">
            <w:pPr>
              <w:pStyle w:val="af9"/>
              <w:autoSpaceDE w:val="0"/>
              <w:autoSpaceDN w:val="0"/>
              <w:snapToGrid w:val="0"/>
              <w:spacing w:line="300" w:lineRule="auto"/>
              <w:ind w:firstLine="480"/>
              <w:rPr>
                <w:sz w:val="24"/>
              </w:rPr>
            </w:pPr>
            <w:r>
              <w:rPr>
                <w:sz w:val="24"/>
              </w:rPr>
              <w:lastRenderedPageBreak/>
              <w:t>计算公式：血管造影成功率</w:t>
            </w:r>
            <w:r>
              <w:rPr>
                <w:sz w:val="24"/>
              </w:rPr>
              <w:t>=</w:t>
            </w:r>
            <w:r>
              <w:rPr>
                <w:sz w:val="24"/>
              </w:rPr>
              <w:t>血管造影成功病例数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靶病变失败（</w:t>
            </w:r>
            <w:r>
              <w:rPr>
                <w:sz w:val="24"/>
              </w:rPr>
              <w:t>TLF</w:t>
            </w:r>
            <w:r>
              <w:rPr>
                <w:sz w:val="24"/>
              </w:rPr>
              <w:t>）发生率</w:t>
            </w:r>
          </w:p>
          <w:p w:rsidR="00CA2089" w:rsidRDefault="00035E4E">
            <w:pPr>
              <w:pStyle w:val="af9"/>
              <w:autoSpaceDE w:val="0"/>
              <w:autoSpaceDN w:val="0"/>
              <w:snapToGrid w:val="0"/>
              <w:spacing w:line="300" w:lineRule="auto"/>
              <w:ind w:firstLine="480"/>
              <w:rPr>
                <w:kern w:val="0"/>
                <w:sz w:val="24"/>
              </w:rPr>
            </w:pPr>
            <w:r>
              <w:rPr>
                <w:sz w:val="24"/>
              </w:rPr>
              <w:t>评价时间：</w:t>
            </w:r>
            <w:r>
              <w:rPr>
                <w:kern w:val="0"/>
                <w:sz w:val="24"/>
              </w:rPr>
              <w:t>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kern w:val="0"/>
                <w:sz w:val="24"/>
              </w:rPr>
            </w:pPr>
            <w:r>
              <w:rPr>
                <w:kern w:val="0"/>
                <w:sz w:val="24"/>
              </w:rPr>
              <w:t>靶病变失败定义：包括心源性死亡、靶病变心肌梗死（</w:t>
            </w:r>
            <w:r>
              <w:rPr>
                <w:kern w:val="0"/>
                <w:sz w:val="24"/>
              </w:rPr>
              <w:t>Q</w:t>
            </w:r>
            <w:r>
              <w:rPr>
                <w:kern w:val="0"/>
                <w:sz w:val="24"/>
              </w:rPr>
              <w:t>波和非</w:t>
            </w:r>
            <w:r>
              <w:rPr>
                <w:kern w:val="0"/>
                <w:sz w:val="24"/>
              </w:rPr>
              <w:t>Q</w:t>
            </w:r>
            <w:r>
              <w:rPr>
                <w:kern w:val="0"/>
                <w:sz w:val="24"/>
              </w:rPr>
              <w:t>波）或通过经皮或手术方法进行缺血驱动的靶病变血运重建。</w:t>
            </w:r>
          </w:p>
          <w:p w:rsidR="00CA2089" w:rsidRDefault="00035E4E">
            <w:pPr>
              <w:pStyle w:val="af9"/>
              <w:autoSpaceDE w:val="0"/>
              <w:autoSpaceDN w:val="0"/>
              <w:snapToGrid w:val="0"/>
              <w:spacing w:line="300" w:lineRule="auto"/>
              <w:ind w:firstLine="480"/>
              <w:rPr>
                <w:sz w:val="24"/>
              </w:rPr>
            </w:pPr>
            <w:r>
              <w:rPr>
                <w:sz w:val="24"/>
              </w:rPr>
              <w:t>靶病变血运重建：指的是针对靶病变再狭窄或其他并发症对靶病变再次进行经皮</w:t>
            </w:r>
            <w:proofErr w:type="gramStart"/>
            <w:r>
              <w:rPr>
                <w:sz w:val="24"/>
              </w:rPr>
              <w:t>介入治疗或靶血管</w:t>
            </w:r>
            <w:proofErr w:type="gramEnd"/>
            <w:r>
              <w:rPr>
                <w:sz w:val="24"/>
              </w:rPr>
              <w:t>旁路移植术。</w:t>
            </w:r>
          </w:p>
          <w:p w:rsidR="00CA2089" w:rsidRDefault="00035E4E">
            <w:pPr>
              <w:pStyle w:val="af9"/>
              <w:autoSpaceDE w:val="0"/>
              <w:autoSpaceDN w:val="0"/>
              <w:snapToGrid w:val="0"/>
              <w:spacing w:line="300" w:lineRule="auto"/>
              <w:ind w:firstLine="480"/>
              <w:rPr>
                <w:sz w:val="24"/>
              </w:rPr>
            </w:pPr>
            <w:r>
              <w:rPr>
                <w:sz w:val="24"/>
              </w:rPr>
              <w:t>计算公式：</w:t>
            </w:r>
            <w:r>
              <w:rPr>
                <w:kern w:val="0"/>
                <w:sz w:val="24"/>
              </w:rPr>
              <w:t>靶病变失败发生率</w:t>
            </w:r>
            <w:r>
              <w:rPr>
                <w:sz w:val="24"/>
              </w:rPr>
              <w:t>=</w:t>
            </w:r>
            <w:r>
              <w:rPr>
                <w:kern w:val="0"/>
                <w:sz w:val="24"/>
              </w:rPr>
              <w:t>靶病变失败</w:t>
            </w:r>
            <w:r>
              <w:rPr>
                <w:sz w:val="24"/>
              </w:rPr>
              <w:t>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靶血管血运重建发生率</w:t>
            </w:r>
          </w:p>
          <w:p w:rsidR="00CA2089" w:rsidRDefault="00035E4E">
            <w:pPr>
              <w:pStyle w:val="af9"/>
              <w:autoSpaceDE w:val="0"/>
              <w:autoSpaceDN w:val="0"/>
              <w:snapToGrid w:val="0"/>
              <w:spacing w:line="300" w:lineRule="auto"/>
              <w:ind w:firstLine="480"/>
              <w:rPr>
                <w:sz w:val="24"/>
              </w:rPr>
            </w:pPr>
            <w:r>
              <w:rPr>
                <w:kern w:val="0"/>
                <w:sz w:val="24"/>
              </w:rPr>
              <w:t>评价时间：</w:t>
            </w:r>
            <w:r>
              <w:rPr>
                <w:sz w:val="24"/>
              </w:rPr>
              <w:t>术</w:t>
            </w:r>
            <w:r>
              <w:rPr>
                <w:kern w:val="0"/>
                <w:sz w:val="24"/>
              </w:rPr>
              <w:t>后即刻、术后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kern w:val="0"/>
                <w:sz w:val="24"/>
              </w:rPr>
            </w:pPr>
            <w:r>
              <w:rPr>
                <w:kern w:val="0"/>
                <w:sz w:val="24"/>
              </w:rPr>
              <w:t>靶血管血运重建：靶血管的任何一段再次出现的任何经皮介入治疗或旁路移植术。</w:t>
            </w:r>
          </w:p>
          <w:p w:rsidR="00CA2089" w:rsidRDefault="00035E4E">
            <w:pPr>
              <w:pStyle w:val="af9"/>
              <w:autoSpaceDE w:val="0"/>
              <w:autoSpaceDN w:val="0"/>
              <w:snapToGrid w:val="0"/>
              <w:spacing w:line="300" w:lineRule="auto"/>
              <w:ind w:firstLine="480"/>
              <w:rPr>
                <w:kern w:val="0"/>
                <w:sz w:val="24"/>
              </w:rPr>
            </w:pPr>
            <w:r>
              <w:rPr>
                <w:kern w:val="0"/>
                <w:sz w:val="24"/>
              </w:rPr>
              <w:t>靶血管：靶病变血管上游或下游的整支主要冠脉血管，包括上、下游分支及靶病变血管本身。</w:t>
            </w:r>
          </w:p>
          <w:p w:rsidR="00CA2089" w:rsidRDefault="00035E4E">
            <w:pPr>
              <w:pStyle w:val="af9"/>
              <w:autoSpaceDE w:val="0"/>
              <w:autoSpaceDN w:val="0"/>
              <w:snapToGrid w:val="0"/>
              <w:spacing w:line="300" w:lineRule="auto"/>
              <w:ind w:firstLine="480"/>
              <w:rPr>
                <w:sz w:val="24"/>
              </w:rPr>
            </w:pPr>
            <w:r>
              <w:rPr>
                <w:kern w:val="0"/>
                <w:sz w:val="24"/>
              </w:rPr>
              <w:t>计算公式：靶血管血运重建发生率</w:t>
            </w:r>
            <w:r>
              <w:rPr>
                <w:sz w:val="24"/>
              </w:rPr>
              <w:t>=</w:t>
            </w:r>
            <w:r>
              <w:rPr>
                <w:kern w:val="0"/>
                <w:sz w:val="24"/>
              </w:rPr>
              <w:t>靶血管血运重建</w:t>
            </w:r>
            <w:r>
              <w:rPr>
                <w:sz w:val="24"/>
              </w:rPr>
              <w:t>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试验器械</w:t>
            </w:r>
            <w:proofErr w:type="gramStart"/>
            <w:r>
              <w:rPr>
                <w:sz w:val="24"/>
              </w:rPr>
              <w:t>预处理后靶病变</w:t>
            </w:r>
            <w:proofErr w:type="gramEnd"/>
            <w:r>
              <w:rPr>
                <w:sz w:val="24"/>
              </w:rPr>
              <w:t>残余狭窄率</w:t>
            </w:r>
          </w:p>
          <w:p w:rsidR="00CA2089" w:rsidRDefault="00035E4E">
            <w:pPr>
              <w:pStyle w:val="af9"/>
              <w:autoSpaceDE w:val="0"/>
              <w:autoSpaceDN w:val="0"/>
              <w:snapToGrid w:val="0"/>
              <w:spacing w:line="300" w:lineRule="auto"/>
              <w:ind w:firstLine="480"/>
              <w:rPr>
                <w:kern w:val="0"/>
                <w:sz w:val="24"/>
              </w:rPr>
            </w:pPr>
            <w:r>
              <w:rPr>
                <w:kern w:val="0"/>
                <w:sz w:val="24"/>
              </w:rPr>
              <w:t>评价时间：术中</w:t>
            </w:r>
          </w:p>
          <w:p w:rsidR="00CA2089" w:rsidRDefault="00035E4E">
            <w:pPr>
              <w:pStyle w:val="af9"/>
              <w:autoSpaceDE w:val="0"/>
              <w:autoSpaceDN w:val="0"/>
              <w:snapToGrid w:val="0"/>
              <w:spacing w:line="300" w:lineRule="auto"/>
              <w:ind w:firstLine="480"/>
              <w:rPr>
                <w:kern w:val="0"/>
                <w:sz w:val="24"/>
              </w:rPr>
            </w:pPr>
            <w:r>
              <w:rPr>
                <w:kern w:val="0"/>
                <w:sz w:val="24"/>
              </w:rPr>
              <w:t>评价方法：术中使用试验器械对靶血管进行预处理达到满意效果后（支架植入前）对靶病变残余狭窄进行造影评价。</w:t>
            </w:r>
          </w:p>
          <w:p w:rsidR="00CA2089" w:rsidRDefault="00035E4E">
            <w:pPr>
              <w:pStyle w:val="af9"/>
              <w:autoSpaceDE w:val="0"/>
              <w:autoSpaceDN w:val="0"/>
              <w:snapToGrid w:val="0"/>
              <w:spacing w:line="300" w:lineRule="auto"/>
              <w:ind w:firstLine="480"/>
              <w:rPr>
                <w:kern w:val="0"/>
                <w:sz w:val="24"/>
              </w:rPr>
            </w:pPr>
            <w:r>
              <w:rPr>
                <w:rFonts w:hint="eastAsia"/>
                <w:kern w:val="0"/>
                <w:sz w:val="24"/>
              </w:rPr>
              <w:t>计算公式：（靶病变血管参考直径</w:t>
            </w:r>
            <w:r>
              <w:rPr>
                <w:rFonts w:hint="eastAsia"/>
                <w:kern w:val="0"/>
                <w:sz w:val="24"/>
              </w:rPr>
              <w:t>-</w:t>
            </w:r>
            <w:r>
              <w:rPr>
                <w:rFonts w:hint="eastAsia"/>
                <w:kern w:val="0"/>
                <w:sz w:val="24"/>
              </w:rPr>
              <w:t>血管最小管</w:t>
            </w:r>
            <w:proofErr w:type="gramStart"/>
            <w:r>
              <w:rPr>
                <w:rFonts w:hint="eastAsia"/>
                <w:kern w:val="0"/>
                <w:sz w:val="24"/>
              </w:rPr>
              <w:t>腔</w:t>
            </w:r>
            <w:proofErr w:type="gramEnd"/>
            <w:r>
              <w:rPr>
                <w:rFonts w:hint="eastAsia"/>
                <w:kern w:val="0"/>
                <w:sz w:val="24"/>
              </w:rPr>
              <w:t>直径）÷靶病变血管参考直径×</w:t>
            </w:r>
            <w:r>
              <w:rPr>
                <w:rFonts w:hint="eastAsia"/>
                <w:kern w:val="0"/>
                <w:sz w:val="24"/>
              </w:rPr>
              <w:t>100%</w:t>
            </w:r>
            <w:r>
              <w:rPr>
                <w:rFonts w:hint="eastAsia"/>
                <w:kern w:val="0"/>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术后即刻靶病变残余狭窄率</w:t>
            </w:r>
          </w:p>
          <w:p w:rsidR="00CA2089" w:rsidRDefault="00035E4E">
            <w:pPr>
              <w:pStyle w:val="af9"/>
              <w:autoSpaceDE w:val="0"/>
              <w:autoSpaceDN w:val="0"/>
              <w:snapToGrid w:val="0"/>
              <w:spacing w:line="300" w:lineRule="auto"/>
              <w:ind w:firstLine="480"/>
              <w:rPr>
                <w:kern w:val="0"/>
                <w:sz w:val="24"/>
              </w:rPr>
            </w:pPr>
            <w:r>
              <w:rPr>
                <w:kern w:val="0"/>
                <w:sz w:val="24"/>
              </w:rPr>
              <w:t>评价时间：术后即刻</w:t>
            </w:r>
          </w:p>
          <w:p w:rsidR="00CA2089" w:rsidRDefault="00035E4E">
            <w:pPr>
              <w:pStyle w:val="af9"/>
              <w:autoSpaceDE w:val="0"/>
              <w:autoSpaceDN w:val="0"/>
              <w:snapToGrid w:val="0"/>
              <w:spacing w:line="300" w:lineRule="auto"/>
              <w:ind w:firstLine="480"/>
              <w:rPr>
                <w:kern w:val="0"/>
                <w:sz w:val="24"/>
              </w:rPr>
            </w:pPr>
            <w:r>
              <w:rPr>
                <w:kern w:val="0"/>
                <w:sz w:val="24"/>
              </w:rPr>
              <w:t>评价方法：完成支架置入后，对靶病变残余狭窄进行造影评价。</w:t>
            </w:r>
          </w:p>
          <w:p w:rsidR="00CA2089" w:rsidRDefault="00035E4E">
            <w:pPr>
              <w:pStyle w:val="af9"/>
              <w:autoSpaceDE w:val="0"/>
              <w:autoSpaceDN w:val="0"/>
              <w:snapToGrid w:val="0"/>
              <w:spacing w:line="300" w:lineRule="auto"/>
              <w:ind w:firstLine="480"/>
              <w:rPr>
                <w:kern w:val="0"/>
                <w:sz w:val="24"/>
              </w:rPr>
            </w:pPr>
            <w:r>
              <w:rPr>
                <w:rFonts w:hint="eastAsia"/>
                <w:kern w:val="0"/>
                <w:sz w:val="24"/>
              </w:rPr>
              <w:t>计算公式：（靶病变血管参考直径</w:t>
            </w:r>
            <w:r>
              <w:rPr>
                <w:rFonts w:hint="eastAsia"/>
                <w:kern w:val="0"/>
                <w:sz w:val="24"/>
              </w:rPr>
              <w:t>-</w:t>
            </w:r>
            <w:r>
              <w:rPr>
                <w:rFonts w:hint="eastAsia"/>
                <w:kern w:val="0"/>
                <w:sz w:val="24"/>
              </w:rPr>
              <w:t>血管最小管</w:t>
            </w:r>
            <w:proofErr w:type="gramStart"/>
            <w:r>
              <w:rPr>
                <w:rFonts w:hint="eastAsia"/>
                <w:kern w:val="0"/>
                <w:sz w:val="24"/>
              </w:rPr>
              <w:t>腔</w:t>
            </w:r>
            <w:proofErr w:type="gramEnd"/>
            <w:r>
              <w:rPr>
                <w:rFonts w:hint="eastAsia"/>
                <w:kern w:val="0"/>
                <w:sz w:val="24"/>
              </w:rPr>
              <w:t>直径）÷靶病变血管参考直径×</w:t>
            </w:r>
            <w:r>
              <w:rPr>
                <w:rFonts w:hint="eastAsia"/>
                <w:kern w:val="0"/>
                <w:sz w:val="24"/>
              </w:rPr>
              <w:t>100%</w:t>
            </w:r>
            <w:r>
              <w:rPr>
                <w:rFonts w:hint="eastAsia"/>
                <w:kern w:val="0"/>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rFonts w:hint="eastAsia"/>
                <w:b/>
                <w:color w:val="000000"/>
                <w:sz w:val="24"/>
                <w:szCs w:val="22"/>
              </w:rPr>
              <w:lastRenderedPageBreak/>
              <w:t>次要</w:t>
            </w:r>
            <w:r>
              <w:rPr>
                <w:b/>
                <w:color w:val="000000"/>
                <w:sz w:val="24"/>
                <w:szCs w:val="22"/>
              </w:rPr>
              <w:t>安全性指标</w:t>
            </w:r>
          </w:p>
        </w:tc>
        <w:tc>
          <w:tcPr>
            <w:tcW w:w="4199" w:type="pct"/>
            <w:tcMar>
              <w:left w:w="227" w:type="dxa"/>
              <w:right w:w="227" w:type="dxa"/>
            </w:tcMar>
            <w:vAlign w:val="center"/>
          </w:tcPr>
          <w:p w:rsidR="00CA2089" w:rsidRDefault="00035E4E">
            <w:pPr>
              <w:pStyle w:val="af9"/>
              <w:numPr>
                <w:ilvl w:val="0"/>
                <w:numId w:val="6"/>
              </w:numPr>
              <w:autoSpaceDE w:val="0"/>
              <w:autoSpaceDN w:val="0"/>
              <w:snapToGrid w:val="0"/>
              <w:spacing w:line="300" w:lineRule="auto"/>
              <w:ind w:firstLineChars="0"/>
              <w:rPr>
                <w:sz w:val="24"/>
              </w:rPr>
            </w:pPr>
            <w:r>
              <w:rPr>
                <w:sz w:val="24"/>
              </w:rPr>
              <w:t>主要心脏血管不良事件（</w:t>
            </w:r>
            <w:r>
              <w:rPr>
                <w:sz w:val="24"/>
              </w:rPr>
              <w:t>MACE</w:t>
            </w:r>
            <w:r>
              <w:rPr>
                <w:sz w:val="24"/>
              </w:rPr>
              <w:t>）发生情况</w:t>
            </w:r>
          </w:p>
          <w:p w:rsidR="00CA2089" w:rsidRDefault="00035E4E">
            <w:pPr>
              <w:spacing w:line="300" w:lineRule="auto"/>
              <w:ind w:firstLine="480"/>
              <w:rPr>
                <w:sz w:val="24"/>
              </w:rPr>
            </w:pPr>
            <w:r>
              <w:rPr>
                <w:sz w:val="24"/>
              </w:rPr>
              <w:t>评价时间：术</w:t>
            </w:r>
            <w:r>
              <w:rPr>
                <w:kern w:val="0"/>
                <w:sz w:val="24"/>
              </w:rPr>
              <w:t>后即刻、术后</w:t>
            </w:r>
            <w:r>
              <w:rPr>
                <w:kern w:val="0"/>
                <w:sz w:val="24"/>
              </w:rPr>
              <w:t>0-7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spacing w:line="300" w:lineRule="auto"/>
              <w:ind w:firstLine="480"/>
              <w:rPr>
                <w:sz w:val="24"/>
              </w:rPr>
            </w:pPr>
            <w:r>
              <w:rPr>
                <w:sz w:val="24"/>
              </w:rPr>
              <w:t>MACE</w:t>
            </w:r>
            <w:r>
              <w:rPr>
                <w:sz w:val="24"/>
              </w:rPr>
              <w:t>事件定义：心源性死亡、心肌梗死、靶血管血运重建。</w:t>
            </w:r>
          </w:p>
          <w:p w:rsidR="00CA2089" w:rsidRDefault="00035E4E">
            <w:pPr>
              <w:pStyle w:val="05220"/>
              <w:spacing w:line="300" w:lineRule="auto"/>
              <w:ind w:firstLine="480"/>
              <w:rPr>
                <w:rFonts w:eastAsia="宋体" w:cs="Times New Roman"/>
                <w:sz w:val="24"/>
                <w:szCs w:val="24"/>
              </w:rPr>
            </w:pPr>
            <w:r>
              <w:rPr>
                <w:rFonts w:eastAsia="宋体" w:cs="Times New Roman"/>
                <w:sz w:val="24"/>
                <w:szCs w:val="24"/>
              </w:rPr>
              <w:lastRenderedPageBreak/>
              <w:t>评价方法：记录研究期间器械相关心脏不良事件的发生类型、发生率（</w:t>
            </w:r>
            <w:r>
              <w:rPr>
                <w:rFonts w:eastAsia="宋体" w:cs="Times New Roman"/>
                <w:sz w:val="24"/>
                <w:szCs w:val="24"/>
              </w:rPr>
              <w:t>%</w:t>
            </w:r>
            <w:r>
              <w:rPr>
                <w:rFonts w:eastAsia="宋体" w:cs="Times New Roman"/>
                <w:sz w:val="24"/>
                <w:szCs w:val="24"/>
              </w:rPr>
              <w:t>）及发生频率（事件数目）等。</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心源性死亡发生率</w:t>
            </w:r>
          </w:p>
          <w:p w:rsidR="00CA2089" w:rsidRDefault="00035E4E">
            <w:pPr>
              <w:pStyle w:val="af9"/>
              <w:autoSpaceDE w:val="0"/>
              <w:autoSpaceDN w:val="0"/>
              <w:snapToGrid w:val="0"/>
              <w:spacing w:line="300" w:lineRule="auto"/>
              <w:ind w:firstLine="480"/>
              <w:rPr>
                <w:kern w:val="0"/>
                <w:sz w:val="24"/>
              </w:rPr>
            </w:pPr>
            <w:r>
              <w:rPr>
                <w:sz w:val="24"/>
              </w:rPr>
              <w:t>评价时间：术</w:t>
            </w:r>
            <w:r>
              <w:rPr>
                <w:kern w:val="0"/>
                <w:sz w:val="24"/>
              </w:rPr>
              <w:t>后即刻、</w:t>
            </w:r>
            <w:r>
              <w:rPr>
                <w:sz w:val="24"/>
              </w:rPr>
              <w:t>术后</w:t>
            </w:r>
            <w:r>
              <w:rPr>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sz w:val="24"/>
              </w:rPr>
            </w:pPr>
            <w:r>
              <w:rPr>
                <w:sz w:val="24"/>
              </w:rPr>
              <w:t>心源性死亡定义：由心源性原因（如心肌梗死、低心排出量心力衰竭、致死性心律失常）直接导致的任何死亡事件。无佐证的死亡和未知原因的死亡，包括所有手术（包括合并治疗相关的手术）相关的死亡均应被界定为心源性死亡。</w:t>
            </w:r>
          </w:p>
          <w:p w:rsidR="00CA2089" w:rsidRDefault="00035E4E">
            <w:pPr>
              <w:pStyle w:val="af9"/>
              <w:autoSpaceDE w:val="0"/>
              <w:autoSpaceDN w:val="0"/>
              <w:snapToGrid w:val="0"/>
              <w:spacing w:line="300" w:lineRule="auto"/>
              <w:ind w:firstLine="480"/>
              <w:rPr>
                <w:kern w:val="0"/>
                <w:sz w:val="24"/>
              </w:rPr>
            </w:pPr>
            <w:r>
              <w:rPr>
                <w:kern w:val="0"/>
                <w:sz w:val="24"/>
              </w:rPr>
              <w:t>评价方法：记录研究期间患者发生心源性死亡情况。</w:t>
            </w:r>
          </w:p>
          <w:p w:rsidR="00CA2089" w:rsidRDefault="00035E4E">
            <w:pPr>
              <w:pStyle w:val="af9"/>
              <w:autoSpaceDE w:val="0"/>
              <w:autoSpaceDN w:val="0"/>
              <w:snapToGrid w:val="0"/>
              <w:spacing w:line="300" w:lineRule="auto"/>
              <w:ind w:firstLine="480"/>
              <w:rPr>
                <w:sz w:val="24"/>
              </w:rPr>
            </w:pPr>
            <w:r>
              <w:rPr>
                <w:kern w:val="0"/>
                <w:sz w:val="24"/>
              </w:rPr>
              <w:t>计算公式：心源性死亡发生率</w:t>
            </w:r>
            <w:r>
              <w:rPr>
                <w:sz w:val="24"/>
              </w:rPr>
              <w:t>=</w:t>
            </w:r>
            <w:r>
              <w:rPr>
                <w:sz w:val="24"/>
              </w:rPr>
              <w:t>心源性死亡病例数</w:t>
            </w:r>
            <w:r>
              <w:rPr>
                <w:sz w:val="24"/>
              </w:rPr>
              <w:t>÷</w:t>
            </w:r>
            <w:r>
              <w:rPr>
                <w:sz w:val="24"/>
              </w:rPr>
              <w:t>总病例数</w:t>
            </w:r>
            <w:r>
              <w:rPr>
                <w:sz w:val="24"/>
              </w:rPr>
              <w:t>×100%</w:t>
            </w:r>
            <w:r>
              <w:rPr>
                <w:sz w:val="24"/>
              </w:rPr>
              <w:t>。</w:t>
            </w:r>
          </w:p>
          <w:p w:rsidR="00CA2089" w:rsidRDefault="00035E4E">
            <w:pPr>
              <w:pStyle w:val="af9"/>
              <w:numPr>
                <w:ilvl w:val="0"/>
                <w:numId w:val="5"/>
              </w:numPr>
              <w:autoSpaceDE w:val="0"/>
              <w:autoSpaceDN w:val="0"/>
              <w:snapToGrid w:val="0"/>
              <w:spacing w:line="300" w:lineRule="auto"/>
              <w:ind w:left="442" w:firstLineChars="0" w:hanging="442"/>
              <w:rPr>
                <w:sz w:val="24"/>
              </w:rPr>
            </w:pPr>
            <w:r>
              <w:rPr>
                <w:sz w:val="24"/>
              </w:rPr>
              <w:t>心肌梗死发生率</w:t>
            </w:r>
          </w:p>
          <w:p w:rsidR="00CA2089" w:rsidRDefault="00035E4E">
            <w:pPr>
              <w:pStyle w:val="af9"/>
              <w:autoSpaceDE w:val="0"/>
              <w:autoSpaceDN w:val="0"/>
              <w:snapToGrid w:val="0"/>
              <w:spacing w:line="300" w:lineRule="auto"/>
              <w:ind w:firstLine="480"/>
              <w:rPr>
                <w:sz w:val="24"/>
              </w:rPr>
            </w:pPr>
            <w:r>
              <w:rPr>
                <w:color w:val="000000"/>
                <w:sz w:val="24"/>
              </w:rPr>
              <w:t>评价时间：</w:t>
            </w:r>
            <w:r>
              <w:rPr>
                <w:sz w:val="24"/>
              </w:rPr>
              <w:t>术</w:t>
            </w:r>
            <w:r>
              <w:rPr>
                <w:kern w:val="0"/>
                <w:sz w:val="24"/>
              </w:rPr>
              <w:t>后即刻、术后</w:t>
            </w:r>
            <w:r>
              <w:rPr>
                <w:kern w:val="0"/>
                <w:sz w:val="24"/>
              </w:rPr>
              <w:t>0-7</w:t>
            </w:r>
            <w:r>
              <w:rPr>
                <w:kern w:val="0"/>
                <w:sz w:val="24"/>
              </w:rPr>
              <w:t>天、术后</w:t>
            </w:r>
            <w:r>
              <w:rPr>
                <w:kern w:val="0"/>
                <w:sz w:val="24"/>
              </w:rPr>
              <w:t>1</w:t>
            </w:r>
            <w:r>
              <w:rPr>
                <w:kern w:val="0"/>
                <w:sz w:val="24"/>
              </w:rPr>
              <w:t>个月</w:t>
            </w:r>
            <w:r>
              <w:rPr>
                <w:kern w:val="0"/>
                <w:sz w:val="24"/>
              </w:rPr>
              <w:t>±7</w:t>
            </w:r>
            <w:r>
              <w:rPr>
                <w:kern w:val="0"/>
                <w:sz w:val="24"/>
              </w:rPr>
              <w:t>天、术后</w:t>
            </w:r>
            <w:r>
              <w:rPr>
                <w:kern w:val="0"/>
                <w:sz w:val="24"/>
              </w:rPr>
              <w:t>6</w:t>
            </w:r>
            <w:r>
              <w:rPr>
                <w:kern w:val="0"/>
                <w:sz w:val="24"/>
              </w:rPr>
              <w:t>个月</w:t>
            </w:r>
            <w:r>
              <w:rPr>
                <w:kern w:val="0"/>
                <w:sz w:val="24"/>
              </w:rPr>
              <w:t>±14</w:t>
            </w:r>
            <w:r>
              <w:rPr>
                <w:kern w:val="0"/>
                <w:sz w:val="24"/>
              </w:rPr>
              <w:t>天</w:t>
            </w:r>
          </w:p>
          <w:p w:rsidR="00CA2089" w:rsidRDefault="00035E4E">
            <w:pPr>
              <w:pStyle w:val="af9"/>
              <w:autoSpaceDE w:val="0"/>
              <w:autoSpaceDN w:val="0"/>
              <w:snapToGrid w:val="0"/>
              <w:spacing w:line="300" w:lineRule="auto"/>
              <w:ind w:firstLine="480"/>
              <w:rPr>
                <w:sz w:val="24"/>
              </w:rPr>
            </w:pPr>
            <w:r>
              <w:rPr>
                <w:kern w:val="0"/>
                <w:sz w:val="24"/>
              </w:rPr>
              <w:t>心肌梗死定义：</w:t>
            </w:r>
          </w:p>
          <w:p w:rsidR="00CA2089" w:rsidRDefault="00035E4E">
            <w:pPr>
              <w:pStyle w:val="af9"/>
              <w:autoSpaceDE w:val="0"/>
              <w:autoSpaceDN w:val="0"/>
              <w:snapToGrid w:val="0"/>
              <w:spacing w:line="300" w:lineRule="auto"/>
              <w:ind w:firstLine="480"/>
              <w:rPr>
                <w:sz w:val="24"/>
              </w:rPr>
            </w:pPr>
            <w:r>
              <w:rPr>
                <w:rFonts w:hint="eastAsia"/>
                <w:sz w:val="24"/>
              </w:rPr>
              <w:t>（</w:t>
            </w:r>
            <w:r>
              <w:rPr>
                <w:rFonts w:hint="eastAsia"/>
                <w:sz w:val="24"/>
              </w:rPr>
              <w:t>a</w:t>
            </w:r>
            <w:r>
              <w:rPr>
                <w:rFonts w:hint="eastAsia"/>
                <w:sz w:val="24"/>
              </w:rPr>
              <w:t>）</w:t>
            </w:r>
            <w:proofErr w:type="gramStart"/>
            <w:r>
              <w:rPr>
                <w:rFonts w:hint="eastAsia"/>
                <w:sz w:val="24"/>
              </w:rPr>
              <w:t>围术期心肌梗死</w:t>
            </w:r>
            <w:proofErr w:type="gramEnd"/>
            <w:r>
              <w:rPr>
                <w:rFonts w:hint="eastAsia"/>
                <w:sz w:val="24"/>
              </w:rPr>
              <w:t>：实验室检查</w:t>
            </w:r>
            <w:r>
              <w:rPr>
                <w:rFonts w:hint="eastAsia"/>
                <w:sz w:val="24"/>
              </w:rPr>
              <w:t>CK-MB</w:t>
            </w:r>
            <w:r>
              <w:rPr>
                <w:rFonts w:hint="eastAsia"/>
                <w:sz w:val="24"/>
              </w:rPr>
              <w:t>水平大于</w:t>
            </w:r>
            <w:r>
              <w:rPr>
                <w:rFonts w:hint="eastAsia"/>
                <w:sz w:val="24"/>
              </w:rPr>
              <w:t>3</w:t>
            </w:r>
            <w:r>
              <w:rPr>
                <w:rFonts w:hint="eastAsia"/>
                <w:sz w:val="24"/>
              </w:rPr>
              <w:t>倍正常</w:t>
            </w:r>
            <w:r>
              <w:rPr>
                <w:rFonts w:hint="eastAsia"/>
                <w:sz w:val="24"/>
              </w:rPr>
              <w:t>(ULN)</w:t>
            </w:r>
            <w:r>
              <w:rPr>
                <w:rFonts w:hint="eastAsia"/>
                <w:sz w:val="24"/>
              </w:rPr>
              <w:t>值上限，无论是否有新的病理</w:t>
            </w:r>
            <w:r>
              <w:rPr>
                <w:rFonts w:hint="eastAsia"/>
                <w:sz w:val="24"/>
              </w:rPr>
              <w:t>Q</w:t>
            </w:r>
            <w:proofErr w:type="gramStart"/>
            <w:r>
              <w:rPr>
                <w:rFonts w:hint="eastAsia"/>
                <w:sz w:val="24"/>
              </w:rPr>
              <w:t>波出现</w:t>
            </w:r>
            <w:proofErr w:type="gramEnd"/>
            <w:r>
              <w:rPr>
                <w:rFonts w:hint="eastAsia"/>
                <w:sz w:val="24"/>
                <w:vertAlign w:val="superscript"/>
              </w:rPr>
              <w:t>[</w:t>
            </w:r>
            <w:r>
              <w:rPr>
                <w:sz w:val="24"/>
                <w:vertAlign w:val="superscript"/>
              </w:rPr>
              <w:t>13]</w:t>
            </w:r>
            <w:r>
              <w:rPr>
                <w:rFonts w:hint="eastAsia"/>
                <w:sz w:val="24"/>
              </w:rPr>
              <w:t>；</w:t>
            </w:r>
          </w:p>
          <w:p w:rsidR="00CA2089" w:rsidRDefault="00035E4E">
            <w:pPr>
              <w:pStyle w:val="af9"/>
              <w:autoSpaceDE w:val="0"/>
              <w:autoSpaceDN w:val="0"/>
              <w:snapToGrid w:val="0"/>
              <w:spacing w:line="300" w:lineRule="auto"/>
              <w:ind w:firstLine="480"/>
              <w:rPr>
                <w:sz w:val="24"/>
              </w:rPr>
            </w:pPr>
            <w:r>
              <w:rPr>
                <w:rFonts w:hint="eastAsia"/>
                <w:sz w:val="24"/>
              </w:rPr>
              <w:t>（</w:t>
            </w:r>
            <w:r>
              <w:rPr>
                <w:rFonts w:hint="eastAsia"/>
                <w:sz w:val="24"/>
              </w:rPr>
              <w:t>b</w:t>
            </w:r>
            <w:r>
              <w:rPr>
                <w:rFonts w:hint="eastAsia"/>
                <w:sz w:val="24"/>
              </w:rPr>
              <w:t>）自发性心肌梗死：使用第四版心肌梗死通用定义</w:t>
            </w:r>
            <w:r>
              <w:rPr>
                <w:rFonts w:hint="eastAsia"/>
                <w:sz w:val="24"/>
                <w:vertAlign w:val="superscript"/>
              </w:rPr>
              <w:t>[</w:t>
            </w:r>
            <w:r>
              <w:rPr>
                <w:sz w:val="24"/>
                <w:vertAlign w:val="superscript"/>
              </w:rPr>
              <w:t>14]</w:t>
            </w:r>
            <w:r>
              <w:rPr>
                <w:rFonts w:hint="eastAsia"/>
                <w:sz w:val="24"/>
              </w:rPr>
              <w:t>。</w:t>
            </w:r>
          </w:p>
          <w:p w:rsidR="00CA2089" w:rsidRDefault="00035E4E">
            <w:pPr>
              <w:pStyle w:val="af9"/>
              <w:autoSpaceDE w:val="0"/>
              <w:autoSpaceDN w:val="0"/>
              <w:snapToGrid w:val="0"/>
              <w:spacing w:line="300" w:lineRule="auto"/>
              <w:ind w:firstLine="480"/>
              <w:rPr>
                <w:sz w:val="24"/>
              </w:rPr>
            </w:pPr>
            <w:r>
              <w:rPr>
                <w:rFonts w:hint="eastAsia"/>
                <w:sz w:val="24"/>
              </w:rPr>
              <w:t>依据全球心</w:t>
            </w:r>
            <w:proofErr w:type="gramStart"/>
            <w:r>
              <w:rPr>
                <w:rFonts w:hint="eastAsia"/>
                <w:sz w:val="24"/>
              </w:rPr>
              <w:t>梗</w:t>
            </w:r>
            <w:proofErr w:type="gramEnd"/>
            <w:r>
              <w:rPr>
                <w:rFonts w:hint="eastAsia"/>
                <w:sz w:val="24"/>
              </w:rPr>
              <w:t>2018</w:t>
            </w:r>
            <w:r>
              <w:rPr>
                <w:rFonts w:hint="eastAsia"/>
                <w:sz w:val="24"/>
              </w:rPr>
              <w:t>年第四版定义：检测到心脏生物标记物（主要为</w:t>
            </w:r>
            <w:r>
              <w:rPr>
                <w:rFonts w:hint="eastAsia"/>
                <w:sz w:val="24"/>
              </w:rPr>
              <w:t>cTn</w:t>
            </w:r>
            <w:r>
              <w:rPr>
                <w:rFonts w:hint="eastAsia"/>
                <w:sz w:val="24"/>
              </w:rPr>
              <w:t>）水平升高和（或）下降，至少有一个检测值超过参考值上限（</w:t>
            </w:r>
            <w:r>
              <w:rPr>
                <w:rFonts w:hint="eastAsia"/>
                <w:sz w:val="24"/>
              </w:rPr>
              <w:t>URL</w:t>
            </w:r>
            <w:r>
              <w:rPr>
                <w:rFonts w:hint="eastAsia"/>
                <w:sz w:val="24"/>
              </w:rPr>
              <w:t>）第</w:t>
            </w:r>
            <w:r>
              <w:rPr>
                <w:rFonts w:hint="eastAsia"/>
                <w:sz w:val="24"/>
              </w:rPr>
              <w:t>99</w:t>
            </w:r>
            <w:proofErr w:type="gramStart"/>
            <w:r>
              <w:rPr>
                <w:rFonts w:hint="eastAsia"/>
                <w:sz w:val="24"/>
              </w:rPr>
              <w:t>百</w:t>
            </w:r>
            <w:proofErr w:type="gramEnd"/>
            <w:r>
              <w:rPr>
                <w:rFonts w:hint="eastAsia"/>
                <w:sz w:val="24"/>
              </w:rPr>
              <w:t>分位，且至少具备下列条件之一：</w:t>
            </w:r>
            <w:r>
              <w:rPr>
                <w:rFonts w:hint="eastAsia"/>
                <w:sz w:val="24"/>
              </w:rPr>
              <w:t xml:space="preserve"> </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心肌缺血性临床症状；</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新发缺血性心电图改变；</w:t>
            </w:r>
            <w:r>
              <w:rPr>
                <w:sz w:val="24"/>
              </w:rPr>
              <w:t xml:space="preserve"> </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新出现的病理性</w:t>
            </w:r>
            <w:r>
              <w:rPr>
                <w:sz w:val="24"/>
              </w:rPr>
              <w:t>Q</w:t>
            </w:r>
            <w:r>
              <w:rPr>
                <w:rFonts w:hint="eastAsia"/>
                <w:sz w:val="24"/>
              </w:rPr>
              <w:t>波；</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影像学检查证实有新的存活心肌的丢失或新出现的局部室壁运动异常；</w:t>
            </w:r>
          </w:p>
          <w:p w:rsidR="00CA2089" w:rsidRDefault="00035E4E">
            <w:pPr>
              <w:pStyle w:val="af9"/>
              <w:numPr>
                <w:ilvl w:val="0"/>
                <w:numId w:val="7"/>
              </w:numPr>
              <w:autoSpaceDE w:val="0"/>
              <w:autoSpaceDN w:val="0"/>
              <w:snapToGrid w:val="0"/>
              <w:spacing w:line="300" w:lineRule="auto"/>
              <w:ind w:firstLineChars="0"/>
              <w:rPr>
                <w:sz w:val="24"/>
              </w:rPr>
            </w:pPr>
            <w:r>
              <w:rPr>
                <w:rFonts w:hint="eastAsia"/>
                <w:sz w:val="24"/>
              </w:rPr>
              <w:t>冠脉造影或尸检证实冠脉内血栓形成。</w:t>
            </w:r>
          </w:p>
          <w:p w:rsidR="00CA2089" w:rsidRDefault="00035E4E">
            <w:pPr>
              <w:pStyle w:val="af9"/>
              <w:autoSpaceDE w:val="0"/>
              <w:autoSpaceDN w:val="0"/>
              <w:snapToGrid w:val="0"/>
              <w:spacing w:line="300" w:lineRule="auto"/>
              <w:ind w:firstLine="480"/>
              <w:rPr>
                <w:sz w:val="24"/>
              </w:rPr>
            </w:pPr>
            <w:r>
              <w:rPr>
                <w:sz w:val="24"/>
              </w:rPr>
              <w:t>计算公式：心肌梗死发生率</w:t>
            </w:r>
            <w:r>
              <w:rPr>
                <w:sz w:val="24"/>
              </w:rPr>
              <w:t>=</w:t>
            </w:r>
            <w:r>
              <w:rPr>
                <w:sz w:val="24"/>
              </w:rPr>
              <w:t>心肌梗死病例数</w:t>
            </w:r>
            <w:r>
              <w:rPr>
                <w:sz w:val="24"/>
              </w:rPr>
              <w:t>÷</w:t>
            </w:r>
            <w:r>
              <w:rPr>
                <w:sz w:val="24"/>
              </w:rPr>
              <w:t>总病例数</w:t>
            </w:r>
            <w:r>
              <w:rPr>
                <w:sz w:val="24"/>
              </w:rPr>
              <w:t>×100%</w:t>
            </w:r>
            <w:r>
              <w:rPr>
                <w:sz w:val="24"/>
              </w:rPr>
              <w:t>。</w:t>
            </w:r>
          </w:p>
          <w:p w:rsidR="00CA2089" w:rsidRDefault="00035E4E">
            <w:pPr>
              <w:pStyle w:val="af9"/>
              <w:numPr>
                <w:ilvl w:val="0"/>
                <w:numId w:val="6"/>
              </w:numPr>
              <w:autoSpaceDE w:val="0"/>
              <w:autoSpaceDN w:val="0"/>
              <w:snapToGrid w:val="0"/>
              <w:spacing w:line="300" w:lineRule="auto"/>
              <w:ind w:firstLineChars="0"/>
              <w:rPr>
                <w:sz w:val="24"/>
              </w:rPr>
            </w:pPr>
            <w:r>
              <w:rPr>
                <w:sz w:val="24"/>
              </w:rPr>
              <w:t>严重血管造影并发症发生情况</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评价方法：记录研究期间严重血管造影并发症（严重夹层（</w:t>
            </w:r>
            <w:r>
              <w:rPr>
                <w:sz w:val="24"/>
              </w:rPr>
              <w:t>D</w:t>
            </w:r>
            <w:proofErr w:type="gramStart"/>
            <w:r>
              <w:rPr>
                <w:sz w:val="24"/>
              </w:rPr>
              <w:t>型</w:t>
            </w:r>
            <w:r>
              <w:rPr>
                <w:sz w:val="24"/>
              </w:rPr>
              <w:lastRenderedPageBreak/>
              <w:t>至</w:t>
            </w:r>
            <w:proofErr w:type="gramEnd"/>
            <w:r>
              <w:rPr>
                <w:sz w:val="24"/>
              </w:rPr>
              <w:t>F</w:t>
            </w:r>
            <w:r>
              <w:rPr>
                <w:sz w:val="24"/>
              </w:rPr>
              <w:t>型）、穿孔、急性闭合及持续性血流缓慢或持续性无复流）发生率（</w:t>
            </w:r>
            <w:r>
              <w:rPr>
                <w:sz w:val="24"/>
              </w:rPr>
              <w:t>%</w:t>
            </w:r>
            <w:r>
              <w:rPr>
                <w:sz w:val="24"/>
              </w:rPr>
              <w:t>）及发生频率（事件数目）等。</w:t>
            </w:r>
          </w:p>
          <w:p w:rsidR="00CA2089" w:rsidRDefault="00035E4E">
            <w:pPr>
              <w:pStyle w:val="af9"/>
              <w:numPr>
                <w:ilvl w:val="0"/>
                <w:numId w:val="6"/>
              </w:numPr>
              <w:autoSpaceDE w:val="0"/>
              <w:autoSpaceDN w:val="0"/>
              <w:snapToGrid w:val="0"/>
              <w:spacing w:line="300" w:lineRule="auto"/>
              <w:ind w:firstLineChars="0"/>
              <w:rPr>
                <w:sz w:val="24"/>
              </w:rPr>
            </w:pPr>
            <w:r>
              <w:rPr>
                <w:sz w:val="24"/>
              </w:rPr>
              <w:t>不良事件及严重不良事件发生情况</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评价方法：记录研究期间不良事件及严重不良事件发生率（</w:t>
            </w:r>
            <w:r>
              <w:rPr>
                <w:sz w:val="24"/>
              </w:rPr>
              <w:t>%</w:t>
            </w:r>
            <w:r>
              <w:rPr>
                <w:sz w:val="24"/>
              </w:rPr>
              <w:t>）及发生频率（事件数目）等。</w:t>
            </w:r>
          </w:p>
          <w:p w:rsidR="00CA2089" w:rsidRDefault="00035E4E">
            <w:pPr>
              <w:pStyle w:val="af9"/>
              <w:numPr>
                <w:ilvl w:val="0"/>
                <w:numId w:val="6"/>
              </w:numPr>
              <w:autoSpaceDE w:val="0"/>
              <w:autoSpaceDN w:val="0"/>
              <w:snapToGrid w:val="0"/>
              <w:spacing w:line="300" w:lineRule="auto"/>
              <w:ind w:firstLineChars="0"/>
              <w:rPr>
                <w:sz w:val="24"/>
              </w:rPr>
            </w:pPr>
            <w:r>
              <w:rPr>
                <w:sz w:val="24"/>
              </w:rPr>
              <w:t>全因死亡率</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评价方法：记录研究期间受试者全因死亡情况。</w:t>
            </w:r>
          </w:p>
          <w:p w:rsidR="00CA2089" w:rsidRDefault="00035E4E">
            <w:pPr>
              <w:spacing w:line="300" w:lineRule="auto"/>
              <w:ind w:firstLine="480"/>
              <w:rPr>
                <w:sz w:val="24"/>
              </w:rPr>
            </w:pPr>
            <w:r>
              <w:rPr>
                <w:sz w:val="24"/>
              </w:rPr>
              <w:t>计算公式：全因死亡率</w:t>
            </w:r>
            <w:r>
              <w:rPr>
                <w:sz w:val="24"/>
              </w:rPr>
              <w:t>=</w:t>
            </w:r>
            <w:r>
              <w:rPr>
                <w:sz w:val="24"/>
              </w:rPr>
              <w:t>全因死亡病例数</w:t>
            </w:r>
            <w:r>
              <w:rPr>
                <w:sz w:val="24"/>
              </w:rPr>
              <w:t>÷</w:t>
            </w:r>
            <w:r>
              <w:rPr>
                <w:sz w:val="24"/>
              </w:rPr>
              <w:t>总病例数</w:t>
            </w:r>
            <w:r>
              <w:rPr>
                <w:sz w:val="24"/>
              </w:rPr>
              <w:t>×100%</w:t>
            </w:r>
            <w:r>
              <w:rPr>
                <w:sz w:val="24"/>
              </w:rPr>
              <w:t>。</w:t>
            </w:r>
          </w:p>
          <w:p w:rsidR="00CA2089" w:rsidRDefault="00035E4E">
            <w:pPr>
              <w:pStyle w:val="af9"/>
              <w:numPr>
                <w:ilvl w:val="0"/>
                <w:numId w:val="6"/>
              </w:numPr>
              <w:autoSpaceDE w:val="0"/>
              <w:autoSpaceDN w:val="0"/>
              <w:snapToGrid w:val="0"/>
              <w:spacing w:line="300" w:lineRule="auto"/>
              <w:ind w:firstLineChars="0"/>
              <w:rPr>
                <w:sz w:val="24"/>
              </w:rPr>
            </w:pPr>
            <w:r>
              <w:rPr>
                <w:sz w:val="24"/>
              </w:rPr>
              <w:t>器械缺陷发生率</w:t>
            </w:r>
          </w:p>
          <w:p w:rsidR="00CA2089" w:rsidRDefault="00035E4E">
            <w:pPr>
              <w:spacing w:line="300" w:lineRule="auto"/>
              <w:ind w:firstLine="480"/>
              <w:rPr>
                <w:sz w:val="24"/>
              </w:rPr>
            </w:pPr>
            <w:r>
              <w:rPr>
                <w:sz w:val="24"/>
              </w:rPr>
              <w:t>评价时间：术后即刻、术后</w:t>
            </w:r>
            <w:r>
              <w:rPr>
                <w:sz w:val="24"/>
              </w:rPr>
              <w:t>0-7</w:t>
            </w:r>
            <w:r>
              <w:rPr>
                <w:sz w:val="24"/>
              </w:rPr>
              <w:t>天、术后</w:t>
            </w:r>
            <w:r>
              <w:rPr>
                <w:sz w:val="24"/>
              </w:rPr>
              <w:t>1</w:t>
            </w:r>
            <w:r>
              <w:rPr>
                <w:sz w:val="24"/>
              </w:rPr>
              <w:t>个月</w:t>
            </w:r>
            <w:r>
              <w:rPr>
                <w:sz w:val="24"/>
              </w:rPr>
              <w:t>±7</w:t>
            </w:r>
            <w:r>
              <w:rPr>
                <w:sz w:val="24"/>
              </w:rPr>
              <w:t>天、术后</w:t>
            </w:r>
            <w:r>
              <w:rPr>
                <w:sz w:val="24"/>
              </w:rPr>
              <w:t>6</w:t>
            </w:r>
            <w:r>
              <w:rPr>
                <w:sz w:val="24"/>
              </w:rPr>
              <w:t>个月</w:t>
            </w:r>
            <w:r>
              <w:rPr>
                <w:sz w:val="24"/>
              </w:rPr>
              <w:t>±14</w:t>
            </w:r>
            <w:r>
              <w:rPr>
                <w:sz w:val="24"/>
              </w:rPr>
              <w:t>天</w:t>
            </w:r>
          </w:p>
          <w:p w:rsidR="00CA2089" w:rsidRDefault="00035E4E">
            <w:pPr>
              <w:spacing w:line="300" w:lineRule="auto"/>
              <w:ind w:firstLine="480"/>
              <w:rPr>
                <w:sz w:val="24"/>
              </w:rPr>
            </w:pPr>
            <w:r>
              <w:rPr>
                <w:sz w:val="24"/>
              </w:rPr>
              <w:t>评价方法：记录研究期间器械缺陷发生情况。</w:t>
            </w:r>
          </w:p>
          <w:p w:rsidR="00CA2089" w:rsidRDefault="00035E4E">
            <w:pPr>
              <w:spacing w:line="300" w:lineRule="auto"/>
              <w:ind w:firstLine="480"/>
              <w:rPr>
                <w:sz w:val="24"/>
              </w:rPr>
            </w:pPr>
            <w:r>
              <w:rPr>
                <w:sz w:val="24"/>
              </w:rPr>
              <w:t>计算公式：器械缺陷发生率</w:t>
            </w:r>
            <w:r>
              <w:rPr>
                <w:sz w:val="24"/>
              </w:rPr>
              <w:t>=</w:t>
            </w:r>
            <w:r>
              <w:rPr>
                <w:sz w:val="24"/>
              </w:rPr>
              <w:t>发生器械缺陷病例数</w:t>
            </w:r>
            <w:r>
              <w:rPr>
                <w:sz w:val="24"/>
              </w:rPr>
              <w:t>÷</w:t>
            </w:r>
            <w:r>
              <w:rPr>
                <w:sz w:val="24"/>
              </w:rPr>
              <w:t>总病例数</w:t>
            </w:r>
            <w:r>
              <w:rPr>
                <w:sz w:val="24"/>
              </w:rPr>
              <w:t>×100%</w:t>
            </w:r>
            <w:r>
              <w:rPr>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IVUS</w:t>
            </w:r>
            <w:r>
              <w:rPr>
                <w:rFonts w:hint="eastAsia"/>
                <w:b/>
                <w:color w:val="000000"/>
                <w:sz w:val="24"/>
                <w:szCs w:val="22"/>
              </w:rPr>
              <w:t>亚组次要疗效指标</w:t>
            </w:r>
          </w:p>
        </w:tc>
        <w:tc>
          <w:tcPr>
            <w:tcW w:w="4199" w:type="pct"/>
            <w:tcMar>
              <w:left w:w="227" w:type="dxa"/>
              <w:right w:w="227" w:type="dxa"/>
            </w:tcMar>
          </w:tcPr>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术后即刻最小支架面积</w:t>
            </w:r>
            <w:r>
              <w:rPr>
                <w:sz w:val="24"/>
              </w:rPr>
              <w:t>MSA</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评价方法：术后</w:t>
            </w:r>
            <w:r>
              <w:rPr>
                <w:sz w:val="24"/>
              </w:rPr>
              <w:t>支架内最小处的管腔面积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w:t>
            </w:r>
            <w:proofErr w:type="gramStart"/>
            <w:r>
              <w:rPr>
                <w:rFonts w:hint="eastAsia"/>
                <w:sz w:val="24"/>
              </w:rPr>
              <w:t>即刻最小管腔</w:t>
            </w:r>
            <w:proofErr w:type="gramEnd"/>
            <w:r>
              <w:rPr>
                <w:rFonts w:hint="eastAsia"/>
                <w:sz w:val="24"/>
              </w:rPr>
              <w:t>直径</w:t>
            </w:r>
            <w:r>
              <w:rPr>
                <w:sz w:val="24"/>
              </w:rPr>
              <w:t>MLD</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直径</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直径</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直径</w:t>
            </w:r>
            <w:r>
              <w:rPr>
                <w:sz w:val="24"/>
              </w:rPr>
              <w:t>-</w:t>
            </w:r>
            <w:r>
              <w:rPr>
                <w:sz w:val="24"/>
              </w:rPr>
              <w:t>术前最小管</w:t>
            </w:r>
            <w:proofErr w:type="gramStart"/>
            <w:r>
              <w:rPr>
                <w:sz w:val="24"/>
              </w:rPr>
              <w:t>腔</w:t>
            </w:r>
            <w:proofErr w:type="gramEnd"/>
            <w:r>
              <w:rPr>
                <w:sz w:val="24"/>
              </w:rPr>
              <w:t>直径</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面积</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面积</w:t>
            </w:r>
            <w:r>
              <w:rPr>
                <w:sz w:val="24"/>
              </w:rPr>
              <w:t>-</w:t>
            </w:r>
            <w:r>
              <w:rPr>
                <w:sz w:val="24"/>
              </w:rPr>
              <w:t>术前最小管</w:t>
            </w:r>
            <w:proofErr w:type="gramStart"/>
            <w:r>
              <w:rPr>
                <w:sz w:val="24"/>
              </w:rPr>
              <w:t>腔</w:t>
            </w:r>
            <w:proofErr w:type="gramEnd"/>
            <w:r>
              <w:rPr>
                <w:sz w:val="24"/>
              </w:rPr>
              <w:t>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术后即刻管</w:t>
            </w:r>
            <w:proofErr w:type="gramStart"/>
            <w:r>
              <w:rPr>
                <w:rFonts w:hint="eastAsia"/>
                <w:sz w:val="24"/>
              </w:rPr>
              <w:t>腔获得</w:t>
            </w:r>
            <w:proofErr w:type="gramEnd"/>
            <w:r>
              <w:rPr>
                <w:rFonts w:hint="eastAsia"/>
                <w:sz w:val="24"/>
              </w:rPr>
              <w:t>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sz w:val="24"/>
              </w:rPr>
              <w:t>（术后支架内最小管</w:t>
            </w:r>
            <w:proofErr w:type="gramStart"/>
            <w:r>
              <w:rPr>
                <w:sz w:val="24"/>
              </w:rPr>
              <w:t>腔</w:t>
            </w:r>
            <w:proofErr w:type="gramEnd"/>
            <w:r>
              <w:rPr>
                <w:sz w:val="24"/>
              </w:rPr>
              <w:t>面积</w:t>
            </w:r>
            <w:r>
              <w:rPr>
                <w:sz w:val="24"/>
              </w:rPr>
              <w:t>-</w:t>
            </w:r>
            <w:r>
              <w:rPr>
                <w:sz w:val="24"/>
              </w:rPr>
              <w:t>术前最小管</w:t>
            </w:r>
            <w:proofErr w:type="gramStart"/>
            <w:r>
              <w:rPr>
                <w:sz w:val="24"/>
              </w:rPr>
              <w:t>腔</w:t>
            </w:r>
            <w:proofErr w:type="gramEnd"/>
            <w:r>
              <w:rPr>
                <w:sz w:val="24"/>
              </w:rPr>
              <w:t>面积）</w:t>
            </w:r>
            <w:r>
              <w:rPr>
                <w:sz w:val="24"/>
              </w:rPr>
              <w:t>/</w:t>
            </w:r>
            <w:r>
              <w:rPr>
                <w:sz w:val="24"/>
              </w:rPr>
              <w:t>术</w:t>
            </w:r>
            <w:r>
              <w:rPr>
                <w:sz w:val="24"/>
              </w:rPr>
              <w:lastRenderedPageBreak/>
              <w:t>前最小管</w:t>
            </w:r>
            <w:proofErr w:type="gramStart"/>
            <w:r>
              <w:rPr>
                <w:sz w:val="24"/>
              </w:rPr>
              <w:t>腔</w:t>
            </w:r>
            <w:proofErr w:type="gramEnd"/>
            <w:r>
              <w:rPr>
                <w:sz w:val="24"/>
              </w:rPr>
              <w:t>面积</w:t>
            </w:r>
            <w:r>
              <w:rPr>
                <w:rFonts w:hint="eastAsia"/>
                <w:sz w:val="24"/>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支架膨胀率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lang w:val="zh-CN"/>
              </w:rPr>
            </w:pPr>
            <w:r>
              <w:rPr>
                <w:rFonts w:hint="eastAsia"/>
                <w:sz w:val="24"/>
              </w:rPr>
              <w:t>评价方法：</w:t>
            </w:r>
            <w:r>
              <w:rPr>
                <w:sz w:val="24"/>
              </w:rPr>
              <w:t>支架内最小管</w:t>
            </w:r>
            <w:proofErr w:type="gramStart"/>
            <w:r>
              <w:rPr>
                <w:sz w:val="24"/>
              </w:rPr>
              <w:t>腔</w:t>
            </w:r>
            <w:proofErr w:type="gramEnd"/>
            <w:r>
              <w:rPr>
                <w:sz w:val="24"/>
              </w:rPr>
              <w:t>面积</w:t>
            </w:r>
            <w:r>
              <w:rPr>
                <w:sz w:val="24"/>
              </w:rPr>
              <w:t>/</w:t>
            </w:r>
            <w:r>
              <w:rPr>
                <w:color w:val="000000" w:themeColor="text1"/>
                <w:sz w:val="24"/>
              </w:rPr>
              <w:t>（</w:t>
            </w:r>
            <w:r>
              <w:rPr>
                <w:sz w:val="24"/>
              </w:rPr>
              <w:t>远端参考血管面积</w:t>
            </w:r>
            <w:r>
              <w:rPr>
                <w:sz w:val="24"/>
              </w:rPr>
              <w:t>+</w:t>
            </w:r>
            <w:r>
              <w:rPr>
                <w:sz w:val="24"/>
              </w:rPr>
              <w:t>近段参考血管面积</w:t>
            </w:r>
            <w:r>
              <w:rPr>
                <w:color w:val="000000" w:themeColor="text1"/>
                <w:sz w:val="24"/>
              </w:rPr>
              <w:t>）</w:t>
            </w:r>
            <w:r>
              <w:rPr>
                <w:sz w:val="24"/>
              </w:rPr>
              <w:t>*</w:t>
            </w:r>
            <w:r>
              <w:rPr>
                <w:sz w:val="24"/>
                <w:lang w:val="zh-CN"/>
              </w:rPr>
              <w:t>1/2</w:t>
            </w:r>
            <w:r>
              <w:rPr>
                <w:rFonts w:hint="eastAsia"/>
                <w:sz w:val="24"/>
                <w:lang w:val="zh-CN"/>
              </w:rPr>
              <w:t>。</w:t>
            </w:r>
          </w:p>
          <w:p w:rsidR="00CA2089" w:rsidRDefault="00035E4E">
            <w:pPr>
              <w:pStyle w:val="af9"/>
              <w:numPr>
                <w:ilvl w:val="0"/>
                <w:numId w:val="6"/>
              </w:numPr>
              <w:autoSpaceDE w:val="0"/>
              <w:autoSpaceDN w:val="0"/>
              <w:snapToGrid w:val="0"/>
              <w:spacing w:line="300" w:lineRule="auto"/>
              <w:ind w:firstLineChars="0"/>
              <w:rPr>
                <w:sz w:val="24"/>
              </w:rPr>
            </w:pPr>
            <w:r>
              <w:rPr>
                <w:rFonts w:hint="eastAsia"/>
                <w:sz w:val="24"/>
              </w:rPr>
              <w:t>支架梁不完全贴壁率</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评价时间：术后即刻</w:t>
            </w:r>
          </w:p>
          <w:p w:rsidR="00CA2089" w:rsidRDefault="00035E4E">
            <w:pPr>
              <w:pStyle w:val="af9"/>
              <w:autoSpaceDE w:val="0"/>
              <w:autoSpaceDN w:val="0"/>
              <w:snapToGrid w:val="0"/>
              <w:spacing w:line="300" w:lineRule="auto"/>
              <w:ind w:left="420" w:firstLineChars="0" w:firstLine="0"/>
              <w:rPr>
                <w:sz w:val="24"/>
              </w:rPr>
            </w:pPr>
            <w:r>
              <w:rPr>
                <w:rFonts w:hint="eastAsia"/>
                <w:sz w:val="24"/>
              </w:rPr>
              <w:t>评价方法：</w:t>
            </w:r>
            <w:r>
              <w:rPr>
                <w:color w:val="000000"/>
                <w:sz w:val="24"/>
              </w:rPr>
              <w:t>支架</w:t>
            </w:r>
            <w:r>
              <w:rPr>
                <w:rFonts w:hint="eastAsia"/>
                <w:color w:val="000000"/>
                <w:sz w:val="24"/>
              </w:rPr>
              <w:t>置入</w:t>
            </w:r>
            <w:r>
              <w:rPr>
                <w:color w:val="000000"/>
                <w:sz w:val="24"/>
              </w:rPr>
              <w:t>后，至少有</w:t>
            </w:r>
            <w:r>
              <w:rPr>
                <w:color w:val="000000"/>
                <w:sz w:val="24"/>
              </w:rPr>
              <w:t>1</w:t>
            </w:r>
            <w:r>
              <w:rPr>
                <w:color w:val="000000"/>
                <w:sz w:val="24"/>
              </w:rPr>
              <w:t>处或以上的支架梁与内膜未能完全贴合，且在支架梁后存在血流</w:t>
            </w:r>
            <w:r>
              <w:rPr>
                <w:rFonts w:hint="eastAsia"/>
                <w:color w:val="000000"/>
                <w:sz w:val="24"/>
              </w:rPr>
              <w:t>。</w:t>
            </w:r>
          </w:p>
        </w:tc>
      </w:tr>
      <w:tr w:rsidR="00CA2089">
        <w:trPr>
          <w:trHeight w:val="567"/>
        </w:trPr>
        <w:tc>
          <w:tcPr>
            <w:tcW w:w="801" w:type="pct"/>
            <w:tcMar>
              <w:left w:w="227" w:type="dxa"/>
              <w:right w:w="227" w:type="dxa"/>
            </w:tcMar>
            <w:vAlign w:val="center"/>
          </w:tcPr>
          <w:p w:rsidR="00CA2089" w:rsidRDefault="00035E4E">
            <w:pPr>
              <w:spacing w:line="300" w:lineRule="auto"/>
              <w:jc w:val="center"/>
              <w:rPr>
                <w:b/>
                <w:color w:val="000000"/>
                <w:sz w:val="24"/>
                <w:szCs w:val="22"/>
              </w:rPr>
            </w:pPr>
            <w:r>
              <w:rPr>
                <w:b/>
                <w:color w:val="000000"/>
                <w:sz w:val="24"/>
                <w:szCs w:val="22"/>
              </w:rPr>
              <w:lastRenderedPageBreak/>
              <w:t>样本量设计</w:t>
            </w:r>
          </w:p>
        </w:tc>
        <w:tc>
          <w:tcPr>
            <w:tcW w:w="4199" w:type="pct"/>
            <w:tcMar>
              <w:left w:w="227" w:type="dxa"/>
              <w:right w:w="227" w:type="dxa"/>
            </w:tcMar>
            <w:vAlign w:val="center"/>
          </w:tcPr>
          <w:p w:rsidR="00CA2089" w:rsidRDefault="00035E4E">
            <w:pPr>
              <w:widowControl/>
              <w:spacing w:line="300" w:lineRule="auto"/>
              <w:ind w:firstLine="480"/>
              <w:rPr>
                <w:sz w:val="24"/>
              </w:rPr>
            </w:pPr>
            <w:r>
              <w:rPr>
                <w:rFonts w:hint="eastAsia"/>
                <w:sz w:val="24"/>
              </w:rPr>
              <w:t>样本量计算基于主要评价指标（主要疗效指标和主要安全性指标）对</w:t>
            </w:r>
            <w:proofErr w:type="gramStart"/>
            <w:r>
              <w:rPr>
                <w:rFonts w:hint="eastAsia"/>
                <w:sz w:val="24"/>
              </w:rPr>
              <w:t>两指标</w:t>
            </w:r>
            <w:proofErr w:type="gramEnd"/>
            <w:r>
              <w:rPr>
                <w:rFonts w:hint="eastAsia"/>
                <w:sz w:val="24"/>
              </w:rPr>
              <w:t>分别计算临床试验需完成可评价的病例数，取样本量大者作为试验需完成可评价的病例数。</w:t>
            </w:r>
            <w:proofErr w:type="gramStart"/>
            <w:r>
              <w:rPr>
                <w:rFonts w:hint="eastAsia"/>
                <w:sz w:val="24"/>
              </w:rPr>
              <w:t>两指标</w:t>
            </w:r>
            <w:proofErr w:type="gramEnd"/>
            <w:r>
              <w:rPr>
                <w:rFonts w:hint="eastAsia"/>
                <w:sz w:val="24"/>
              </w:rPr>
              <w:t>总把握度为</w:t>
            </w:r>
            <w:r>
              <w:rPr>
                <w:rFonts w:hint="eastAsia"/>
                <w:sz w:val="24"/>
              </w:rPr>
              <w:t>0.8</w:t>
            </w:r>
            <w:r>
              <w:rPr>
                <w:rFonts w:hint="eastAsia"/>
                <w:sz w:val="24"/>
              </w:rPr>
              <w:t>，经校正后，β</w:t>
            </w:r>
            <w:r>
              <w:rPr>
                <w:sz w:val="24"/>
              </w:rPr>
              <w:t xml:space="preserve"> </w:t>
            </w:r>
            <w:r>
              <w:rPr>
                <w:rFonts w:hint="eastAsia"/>
                <w:sz w:val="24"/>
              </w:rPr>
              <w:t>= 0.10</w:t>
            </w:r>
            <w:r>
              <w:rPr>
                <w:rFonts w:hint="eastAsia"/>
                <w:sz w:val="24"/>
              </w:rPr>
              <w:t>，每个指标的把握度为</w:t>
            </w:r>
            <w:r>
              <w:rPr>
                <w:rFonts w:hint="eastAsia"/>
                <w:sz w:val="24"/>
              </w:rPr>
              <w:t>90%</w:t>
            </w:r>
            <w:r>
              <w:rPr>
                <w:rFonts w:hint="eastAsia"/>
                <w:sz w:val="24"/>
              </w:rPr>
              <w:t>。</w:t>
            </w:r>
          </w:p>
          <w:p w:rsidR="00CA2089" w:rsidRDefault="00035E4E">
            <w:pPr>
              <w:widowControl/>
              <w:spacing w:line="300" w:lineRule="auto"/>
              <w:ind w:firstLine="480"/>
              <w:rPr>
                <w:sz w:val="24"/>
              </w:rPr>
            </w:pPr>
            <w:r>
              <w:rPr>
                <w:sz w:val="24"/>
              </w:rPr>
              <w:t>本试验</w:t>
            </w:r>
            <w:r>
              <w:rPr>
                <w:rFonts w:hint="eastAsia"/>
                <w:sz w:val="24"/>
              </w:rPr>
              <w:t>主要疗效指标为</w:t>
            </w:r>
            <w:r>
              <w:rPr>
                <w:sz w:val="24"/>
              </w:rPr>
              <w:t>手术成功率，采用目标值设计。根据</w:t>
            </w:r>
            <w:r>
              <w:rPr>
                <w:sz w:val="24"/>
              </w:rPr>
              <w:t>Disrupt CAD I</w:t>
            </w:r>
            <w:r>
              <w:rPr>
                <w:sz w:val="24"/>
                <w:vertAlign w:val="superscript"/>
              </w:rPr>
              <w:t>[2,11]</w:t>
            </w:r>
            <w:r>
              <w:rPr>
                <w:sz w:val="24"/>
              </w:rPr>
              <w:t>、</w:t>
            </w:r>
            <w:r>
              <w:rPr>
                <w:sz w:val="24"/>
              </w:rPr>
              <w:t>II</w:t>
            </w:r>
            <w:r>
              <w:rPr>
                <w:sz w:val="24"/>
                <w:vertAlign w:val="superscript"/>
              </w:rPr>
              <w:t>[7]</w:t>
            </w:r>
            <w:r>
              <w:rPr>
                <w:sz w:val="24"/>
              </w:rPr>
              <w:t>、</w:t>
            </w:r>
            <w:r>
              <w:rPr>
                <w:sz w:val="24"/>
              </w:rPr>
              <w:t>III</w:t>
            </w:r>
            <w:r>
              <w:rPr>
                <w:sz w:val="24"/>
                <w:vertAlign w:val="superscript"/>
              </w:rPr>
              <w:t>[13]</w:t>
            </w:r>
            <w:r>
              <w:rPr>
                <w:sz w:val="24"/>
              </w:rPr>
              <w:t>、</w:t>
            </w:r>
            <w:r>
              <w:rPr>
                <w:sz w:val="24"/>
              </w:rPr>
              <w:t>IV</w:t>
            </w:r>
            <w:r>
              <w:rPr>
                <w:sz w:val="24"/>
                <w:vertAlign w:val="superscript"/>
              </w:rPr>
              <w:t>[12]</w:t>
            </w:r>
            <w:r>
              <w:rPr>
                <w:sz w:val="24"/>
              </w:rPr>
              <w:t>及</w:t>
            </w:r>
            <w:r>
              <w:rPr>
                <w:sz w:val="24"/>
              </w:rPr>
              <w:t>ORBIT II IDE</w:t>
            </w:r>
            <w:r>
              <w:rPr>
                <w:sz w:val="24"/>
                <w:vertAlign w:val="superscript"/>
              </w:rPr>
              <w:t>[9]</w:t>
            </w:r>
            <w:r>
              <w:rPr>
                <w:sz w:val="24"/>
              </w:rPr>
              <w:t>研究数据得出手术成功率在</w:t>
            </w:r>
            <w:r>
              <w:rPr>
                <w:sz w:val="24"/>
              </w:rPr>
              <w:t>88.9%-95%</w:t>
            </w:r>
            <w:r>
              <w:rPr>
                <w:sz w:val="24"/>
              </w:rPr>
              <w:t>之间。在</w:t>
            </w:r>
            <w:r>
              <w:rPr>
                <w:sz w:val="24"/>
              </w:rPr>
              <w:t>ORBIT II IDE</w:t>
            </w:r>
            <w:r>
              <w:rPr>
                <w:sz w:val="24"/>
              </w:rPr>
              <w:t>研究中手术成功率为</w:t>
            </w:r>
            <w:r>
              <w:rPr>
                <w:sz w:val="24"/>
              </w:rPr>
              <w:t>88.9%</w:t>
            </w:r>
            <w:r>
              <w:rPr>
                <w:sz w:val="24"/>
                <w:vertAlign w:val="superscript"/>
              </w:rPr>
              <w:t>[9]</w:t>
            </w:r>
            <w:r>
              <w:rPr>
                <w:sz w:val="24"/>
              </w:rPr>
              <w:t>，</w:t>
            </w:r>
            <w:r>
              <w:rPr>
                <w:sz w:val="24"/>
              </w:rPr>
              <w:t>95%</w:t>
            </w:r>
            <w:r>
              <w:rPr>
                <w:sz w:val="24"/>
              </w:rPr>
              <w:t>置信区间为（</w:t>
            </w:r>
            <w:r>
              <w:rPr>
                <w:sz w:val="24"/>
              </w:rPr>
              <w:t>85.5%-91.6%</w:t>
            </w:r>
            <w:r>
              <w:rPr>
                <w:sz w:val="24"/>
              </w:rPr>
              <w:t>）；综合</w:t>
            </w:r>
            <w:r>
              <w:rPr>
                <w:sz w:val="24"/>
              </w:rPr>
              <w:t>Disrupt CAD I</w:t>
            </w:r>
            <w:r>
              <w:rPr>
                <w:sz w:val="24"/>
              </w:rPr>
              <w:t>、</w:t>
            </w:r>
            <w:r>
              <w:rPr>
                <w:sz w:val="24"/>
              </w:rPr>
              <w:t>II</w:t>
            </w:r>
            <w:r>
              <w:rPr>
                <w:sz w:val="24"/>
              </w:rPr>
              <w:t>、</w:t>
            </w:r>
            <w:r>
              <w:rPr>
                <w:sz w:val="24"/>
              </w:rPr>
              <w:t>III</w:t>
            </w:r>
            <w:r>
              <w:rPr>
                <w:sz w:val="24"/>
              </w:rPr>
              <w:t>、</w:t>
            </w:r>
            <w:r>
              <w:rPr>
                <w:sz w:val="24"/>
              </w:rPr>
              <w:t>IV</w:t>
            </w:r>
            <w:r>
              <w:rPr>
                <w:sz w:val="24"/>
              </w:rPr>
              <w:t>研究分析手术成功率为</w:t>
            </w:r>
            <w:r>
              <w:rPr>
                <w:sz w:val="24"/>
              </w:rPr>
              <w:t>93.2%</w:t>
            </w:r>
            <w:r>
              <w:rPr>
                <w:sz w:val="24"/>
                <w:vertAlign w:val="superscript"/>
              </w:rPr>
              <w:t>[10]</w:t>
            </w:r>
            <w:r>
              <w:rPr>
                <w:sz w:val="24"/>
              </w:rPr>
              <w:t>，</w:t>
            </w:r>
            <w:r>
              <w:rPr>
                <w:sz w:val="24"/>
              </w:rPr>
              <w:t>95%</w:t>
            </w:r>
            <w:r>
              <w:rPr>
                <w:sz w:val="24"/>
              </w:rPr>
              <w:t>置信区间为（</w:t>
            </w:r>
            <w:r>
              <w:rPr>
                <w:sz w:val="24"/>
              </w:rPr>
              <w:t>90.9%-95.0%</w:t>
            </w:r>
            <w:r>
              <w:rPr>
                <w:sz w:val="24"/>
              </w:rPr>
              <w:t>）。基于以上数据，将本试验手术成功率的目标值设为</w:t>
            </w:r>
            <w:r>
              <w:rPr>
                <w:sz w:val="24"/>
              </w:rPr>
              <w:t>85.5%</w:t>
            </w:r>
            <w:r>
              <w:rPr>
                <w:sz w:val="24"/>
              </w:rPr>
              <w:t>，</w:t>
            </w:r>
            <w:r>
              <w:rPr>
                <w:color w:val="000000"/>
                <w:kern w:val="0"/>
                <w:sz w:val="24"/>
                <w:lang w:bidi="ar"/>
              </w:rPr>
              <w:t>假设试验器械手术成功率能达到</w:t>
            </w:r>
            <w:r>
              <w:rPr>
                <w:color w:val="000000"/>
                <w:kern w:val="0"/>
                <w:sz w:val="24"/>
                <w:lang w:bidi="ar"/>
              </w:rPr>
              <w:t>93%</w:t>
            </w:r>
            <w:r>
              <w:rPr>
                <w:color w:val="000000"/>
                <w:kern w:val="0"/>
                <w:sz w:val="24"/>
                <w:lang w:bidi="ar"/>
              </w:rPr>
              <w:t>的水平</w:t>
            </w:r>
            <w:r>
              <w:rPr>
                <w:sz w:val="24"/>
              </w:rPr>
              <w:t>。根据统计学要求，检验水准为单侧</w:t>
            </w:r>
            <w:r>
              <w:rPr>
                <w:sz w:val="24"/>
              </w:rPr>
              <w:t>α=0.025</w:t>
            </w:r>
            <w:r>
              <w:rPr>
                <w:sz w:val="24"/>
              </w:rPr>
              <w:t>，把握度</w:t>
            </w:r>
            <w:r>
              <w:rPr>
                <w:rFonts w:hint="eastAsia"/>
                <w:sz w:val="24"/>
              </w:rPr>
              <w:t>为</w:t>
            </w:r>
            <w:r>
              <w:rPr>
                <w:sz w:val="24"/>
              </w:rPr>
              <w:t>0.90</w:t>
            </w:r>
            <w:r>
              <w:rPr>
                <w:sz w:val="24"/>
              </w:rPr>
              <w:t>，经计算样本量为</w:t>
            </w:r>
            <w:r>
              <w:rPr>
                <w:sz w:val="24"/>
              </w:rPr>
              <w:t>184</w:t>
            </w:r>
            <w:r>
              <w:rPr>
                <w:sz w:val="24"/>
              </w:rPr>
              <w:t>例。考虑</w:t>
            </w:r>
            <w:r>
              <w:rPr>
                <w:sz w:val="24"/>
              </w:rPr>
              <w:t>10%</w:t>
            </w:r>
            <w:r>
              <w:rPr>
                <w:sz w:val="24"/>
              </w:rPr>
              <w:t>的脱落率，样本量为</w:t>
            </w:r>
            <w:r>
              <w:rPr>
                <w:sz w:val="24"/>
              </w:rPr>
              <w:t>205</w:t>
            </w:r>
            <w:r>
              <w:rPr>
                <w:sz w:val="24"/>
              </w:rPr>
              <w:t>例。</w:t>
            </w:r>
          </w:p>
          <w:p w:rsidR="00CA2089" w:rsidRDefault="00035E4E">
            <w:pPr>
              <w:spacing w:line="300" w:lineRule="auto"/>
              <w:rPr>
                <w:sz w:val="24"/>
              </w:rPr>
            </w:pPr>
            <w:r>
              <w:rPr>
                <w:sz w:val="24"/>
              </w:rPr>
              <w:t>样本量计算公式为：</w:t>
            </w:r>
          </w:p>
          <w:p w:rsidR="00CA2089" w:rsidRDefault="00035E4E">
            <w:pPr>
              <w:spacing w:line="300" w:lineRule="auto"/>
              <w:ind w:firstLine="560"/>
              <w:rPr>
                <w:szCs w:val="28"/>
              </w:rPr>
            </w:pPr>
            <w:r>
              <w:rPr>
                <w:noProof/>
                <w:szCs w:val="28"/>
              </w:rPr>
              <w:drawing>
                <wp:inline distT="0" distB="0" distL="114300" distR="114300">
                  <wp:extent cx="3533775" cy="809625"/>
                  <wp:effectExtent l="0" t="0" r="9525" b="0"/>
                  <wp:docPr id="41" name="图片 4"/>
                  <wp:cNvGraphicFramePr/>
                  <a:graphic xmlns:a="http://schemas.openxmlformats.org/drawingml/2006/main">
                    <a:graphicData uri="http://schemas.openxmlformats.org/drawingml/2006/picture">
                      <pic:pic xmlns:pic="http://schemas.openxmlformats.org/drawingml/2006/picture">
                        <pic:nvPicPr>
                          <pic:cNvPr id="41" name="图片 4"/>
                          <pic:cNvPicPr/>
                        </pic:nvPicPr>
                        <pic:blipFill>
                          <a:blip r:embed="rId13"/>
                          <a:stretch>
                            <a:fillRect/>
                          </a:stretch>
                        </pic:blipFill>
                        <pic:spPr>
                          <a:xfrm>
                            <a:off x="0" y="0"/>
                            <a:ext cx="3533775" cy="809625"/>
                          </a:xfrm>
                          <a:prstGeom prst="rect">
                            <a:avLst/>
                          </a:prstGeom>
                          <a:noFill/>
                          <a:ln>
                            <a:noFill/>
                          </a:ln>
                        </pic:spPr>
                      </pic:pic>
                    </a:graphicData>
                  </a:graphic>
                </wp:inline>
              </w:drawing>
            </w:r>
          </w:p>
          <w:p w:rsidR="00CA2089" w:rsidRDefault="00035E4E">
            <w:pPr>
              <w:spacing w:line="300" w:lineRule="auto"/>
              <w:ind w:firstLine="480"/>
              <w:rPr>
                <w:sz w:val="24"/>
              </w:rPr>
            </w:pPr>
            <w:r>
              <w:rPr>
                <w:sz w:val="24"/>
              </w:rPr>
              <w:t>其中：</w:t>
            </w:r>
            <w:r>
              <w:rPr>
                <w:sz w:val="24"/>
              </w:rPr>
              <w:t>P</w:t>
            </w:r>
            <w:r>
              <w:rPr>
                <w:sz w:val="24"/>
                <w:vertAlign w:val="subscript"/>
              </w:rPr>
              <w:t>T</w:t>
            </w:r>
            <w:r>
              <w:rPr>
                <w:sz w:val="24"/>
              </w:rPr>
              <w:t>为试验器械预期率，</w:t>
            </w:r>
            <w:r>
              <w:rPr>
                <w:sz w:val="24"/>
              </w:rPr>
              <w:t>P</w:t>
            </w:r>
            <w:r>
              <w:rPr>
                <w:sz w:val="24"/>
                <w:vertAlign w:val="subscript"/>
              </w:rPr>
              <w:t>0</w:t>
            </w:r>
            <w:r>
              <w:rPr>
                <w:sz w:val="24"/>
              </w:rPr>
              <w:t>为目标值。</w:t>
            </w:r>
          </w:p>
          <w:p w:rsidR="00CA2089" w:rsidRDefault="00035E4E">
            <w:pPr>
              <w:widowControl/>
              <w:spacing w:line="300" w:lineRule="auto"/>
              <w:ind w:firstLine="480"/>
              <w:rPr>
                <w:sz w:val="24"/>
              </w:rPr>
            </w:pPr>
            <w:r>
              <w:rPr>
                <w:rFonts w:hint="eastAsia"/>
                <w:sz w:val="24"/>
                <w:szCs w:val="32"/>
              </w:rPr>
              <w:t>本试验主要安全性指标为术后</w:t>
            </w:r>
            <w:r>
              <w:rPr>
                <w:sz w:val="24"/>
                <w:szCs w:val="32"/>
              </w:rPr>
              <w:t>1</w:t>
            </w:r>
            <w:r>
              <w:rPr>
                <w:rFonts w:hint="eastAsia"/>
                <w:sz w:val="24"/>
                <w:szCs w:val="32"/>
              </w:rPr>
              <w:t>个月无主要不良事件（</w:t>
            </w:r>
            <w:r>
              <w:rPr>
                <w:sz w:val="24"/>
                <w:szCs w:val="32"/>
              </w:rPr>
              <w:t>MACE</w:t>
            </w:r>
            <w:r>
              <w:rPr>
                <w:rFonts w:hint="eastAsia"/>
                <w:sz w:val="24"/>
                <w:szCs w:val="32"/>
              </w:rPr>
              <w:t>）发生率，采用目标值设计。</w:t>
            </w:r>
            <w:r>
              <w:rPr>
                <w:sz w:val="24"/>
              </w:rPr>
              <w:t>根据</w:t>
            </w:r>
            <w:r>
              <w:rPr>
                <w:sz w:val="24"/>
              </w:rPr>
              <w:t>Disrupt CAD I</w:t>
            </w:r>
            <w:r>
              <w:rPr>
                <w:sz w:val="24"/>
                <w:vertAlign w:val="superscript"/>
              </w:rPr>
              <w:t>[2,11]</w:t>
            </w:r>
            <w:r>
              <w:rPr>
                <w:sz w:val="24"/>
              </w:rPr>
              <w:t>、</w:t>
            </w:r>
            <w:r>
              <w:rPr>
                <w:sz w:val="24"/>
              </w:rPr>
              <w:t>II</w:t>
            </w:r>
            <w:r>
              <w:rPr>
                <w:sz w:val="24"/>
                <w:vertAlign w:val="superscript"/>
              </w:rPr>
              <w:t>[7]</w:t>
            </w:r>
            <w:r>
              <w:rPr>
                <w:sz w:val="24"/>
              </w:rPr>
              <w:t>、</w:t>
            </w:r>
            <w:r>
              <w:rPr>
                <w:sz w:val="24"/>
              </w:rPr>
              <w:t>III</w:t>
            </w:r>
            <w:r>
              <w:rPr>
                <w:sz w:val="24"/>
                <w:vertAlign w:val="superscript"/>
              </w:rPr>
              <w:t>[13]</w:t>
            </w:r>
            <w:r>
              <w:rPr>
                <w:sz w:val="24"/>
              </w:rPr>
              <w:t>、</w:t>
            </w:r>
            <w:r>
              <w:rPr>
                <w:sz w:val="24"/>
              </w:rPr>
              <w:t>IV</w:t>
            </w:r>
            <w:r>
              <w:rPr>
                <w:sz w:val="24"/>
                <w:vertAlign w:val="superscript"/>
              </w:rPr>
              <w:t>[12]</w:t>
            </w:r>
            <w:r>
              <w:rPr>
                <w:sz w:val="24"/>
              </w:rPr>
              <w:t>及</w:t>
            </w:r>
            <w:r>
              <w:rPr>
                <w:rFonts w:hint="eastAsia"/>
                <w:sz w:val="24"/>
              </w:rPr>
              <w:t>乐普血管内冲击波治疗设备研究数据得出术后</w:t>
            </w:r>
            <w:r>
              <w:rPr>
                <w:rFonts w:hint="eastAsia"/>
                <w:sz w:val="24"/>
              </w:rPr>
              <w:t>1</w:t>
            </w:r>
            <w:r>
              <w:rPr>
                <w:rFonts w:hint="eastAsia"/>
                <w:sz w:val="24"/>
              </w:rPr>
              <w:t>个月无主要不良事件（</w:t>
            </w:r>
            <w:r>
              <w:rPr>
                <w:rFonts w:hint="eastAsia"/>
                <w:sz w:val="24"/>
              </w:rPr>
              <w:t>MACE</w:t>
            </w:r>
            <w:r>
              <w:rPr>
                <w:rFonts w:hint="eastAsia"/>
                <w:sz w:val="24"/>
              </w:rPr>
              <w:t>）发生率在</w:t>
            </w:r>
            <w:r>
              <w:rPr>
                <w:rFonts w:hint="eastAsia"/>
                <w:sz w:val="24"/>
              </w:rPr>
              <w:t>9</w:t>
            </w:r>
            <w:r>
              <w:rPr>
                <w:sz w:val="24"/>
              </w:rPr>
              <w:t>2.2-99.41%</w:t>
            </w:r>
            <w:r>
              <w:rPr>
                <w:rFonts w:hint="eastAsia"/>
                <w:sz w:val="24"/>
              </w:rPr>
              <w:t>之间，且</w:t>
            </w:r>
            <w:r>
              <w:rPr>
                <w:sz w:val="24"/>
              </w:rPr>
              <w:t>Disrupt CAD III</w:t>
            </w:r>
            <w:r>
              <w:rPr>
                <w:sz w:val="24"/>
                <w:vertAlign w:val="superscript"/>
              </w:rPr>
              <w:t>[13]</w:t>
            </w:r>
            <w:r>
              <w:rPr>
                <w:rFonts w:hint="eastAsia"/>
                <w:sz w:val="24"/>
              </w:rPr>
              <w:t>和乐普血管内冲击波治疗设备主要安全性终点目标值均设置为</w:t>
            </w:r>
            <w:r>
              <w:rPr>
                <w:rFonts w:hint="eastAsia"/>
                <w:sz w:val="24"/>
              </w:rPr>
              <w:t>8</w:t>
            </w:r>
            <w:r>
              <w:rPr>
                <w:sz w:val="24"/>
              </w:rPr>
              <w:t>4.4%</w:t>
            </w:r>
            <w:r>
              <w:rPr>
                <w:rFonts w:hint="eastAsia"/>
                <w:sz w:val="24"/>
              </w:rPr>
              <w:t>。</w:t>
            </w:r>
            <w:r>
              <w:rPr>
                <w:rFonts w:hint="eastAsia"/>
                <w:sz w:val="24"/>
              </w:rPr>
              <w:lastRenderedPageBreak/>
              <w:t>基于以上数据，将本试验</w:t>
            </w:r>
            <w:r>
              <w:rPr>
                <w:rFonts w:hint="eastAsia"/>
                <w:sz w:val="24"/>
                <w:szCs w:val="32"/>
              </w:rPr>
              <w:t>术后</w:t>
            </w:r>
            <w:r>
              <w:rPr>
                <w:sz w:val="24"/>
                <w:szCs w:val="32"/>
              </w:rPr>
              <w:t>1</w:t>
            </w:r>
            <w:r>
              <w:rPr>
                <w:rFonts w:hint="eastAsia"/>
                <w:sz w:val="24"/>
                <w:szCs w:val="32"/>
              </w:rPr>
              <w:t>个月无主要不良事件（</w:t>
            </w:r>
            <w:r>
              <w:rPr>
                <w:sz w:val="24"/>
                <w:szCs w:val="32"/>
              </w:rPr>
              <w:t>MACE</w:t>
            </w:r>
            <w:r>
              <w:rPr>
                <w:rFonts w:hint="eastAsia"/>
                <w:sz w:val="24"/>
                <w:szCs w:val="32"/>
              </w:rPr>
              <w:t>）发生率的目标值设为</w:t>
            </w:r>
            <w:r>
              <w:rPr>
                <w:sz w:val="24"/>
                <w:szCs w:val="32"/>
              </w:rPr>
              <w:t>84.4%</w:t>
            </w:r>
            <w:r>
              <w:rPr>
                <w:rFonts w:hint="eastAsia"/>
                <w:sz w:val="24"/>
                <w:szCs w:val="32"/>
              </w:rPr>
              <w:t>，</w:t>
            </w:r>
            <w:r>
              <w:rPr>
                <w:color w:val="000000"/>
                <w:kern w:val="0"/>
                <w:sz w:val="24"/>
                <w:lang w:bidi="ar"/>
              </w:rPr>
              <w:t>假设</w:t>
            </w:r>
            <w:r>
              <w:rPr>
                <w:rFonts w:hint="eastAsia"/>
                <w:sz w:val="24"/>
                <w:szCs w:val="32"/>
              </w:rPr>
              <w:t>术后</w:t>
            </w:r>
            <w:r>
              <w:rPr>
                <w:sz w:val="24"/>
                <w:szCs w:val="32"/>
              </w:rPr>
              <w:t>1</w:t>
            </w:r>
            <w:r>
              <w:rPr>
                <w:rFonts w:hint="eastAsia"/>
                <w:sz w:val="24"/>
                <w:szCs w:val="32"/>
              </w:rPr>
              <w:t>个月无主要不良事件（</w:t>
            </w:r>
            <w:r>
              <w:rPr>
                <w:sz w:val="24"/>
                <w:szCs w:val="32"/>
              </w:rPr>
              <w:t>MACE</w:t>
            </w:r>
            <w:r>
              <w:rPr>
                <w:rFonts w:hint="eastAsia"/>
                <w:sz w:val="24"/>
                <w:szCs w:val="32"/>
              </w:rPr>
              <w:t>）发生率</w:t>
            </w:r>
            <w:r>
              <w:rPr>
                <w:color w:val="000000"/>
                <w:kern w:val="0"/>
                <w:sz w:val="24"/>
                <w:lang w:bidi="ar"/>
              </w:rPr>
              <w:t>能达到</w:t>
            </w:r>
            <w:r>
              <w:rPr>
                <w:color w:val="000000"/>
                <w:kern w:val="0"/>
                <w:sz w:val="24"/>
                <w:lang w:bidi="ar"/>
              </w:rPr>
              <w:t>94%</w:t>
            </w:r>
            <w:r>
              <w:rPr>
                <w:color w:val="000000"/>
                <w:kern w:val="0"/>
                <w:sz w:val="24"/>
                <w:lang w:bidi="ar"/>
              </w:rPr>
              <w:t>的水平</w:t>
            </w:r>
            <w:r>
              <w:rPr>
                <w:sz w:val="24"/>
              </w:rPr>
              <w:t>。根据统计学要求，检验水准为单侧</w:t>
            </w:r>
            <w:r>
              <w:rPr>
                <w:sz w:val="24"/>
              </w:rPr>
              <w:t>α=0.025</w:t>
            </w:r>
            <w:r>
              <w:rPr>
                <w:sz w:val="24"/>
              </w:rPr>
              <w:t>，把握度</w:t>
            </w:r>
            <w:r>
              <w:rPr>
                <w:rFonts w:hint="eastAsia"/>
                <w:sz w:val="24"/>
              </w:rPr>
              <w:t>为</w:t>
            </w:r>
            <w:r>
              <w:rPr>
                <w:sz w:val="24"/>
              </w:rPr>
              <w:t>0.9</w:t>
            </w:r>
            <w:r>
              <w:rPr>
                <w:sz w:val="24"/>
              </w:rPr>
              <w:t>，经计算样本量为</w:t>
            </w:r>
            <w:r>
              <w:rPr>
                <w:sz w:val="24"/>
              </w:rPr>
              <w:t>112</w:t>
            </w:r>
            <w:r>
              <w:rPr>
                <w:sz w:val="24"/>
              </w:rPr>
              <w:t>例。考虑</w:t>
            </w:r>
            <w:r>
              <w:rPr>
                <w:sz w:val="24"/>
              </w:rPr>
              <w:t>10%</w:t>
            </w:r>
            <w:r>
              <w:rPr>
                <w:sz w:val="24"/>
              </w:rPr>
              <w:t>的脱落率，样本量为</w:t>
            </w:r>
            <w:r>
              <w:rPr>
                <w:sz w:val="24"/>
              </w:rPr>
              <w:t>125</w:t>
            </w:r>
            <w:r>
              <w:rPr>
                <w:sz w:val="24"/>
              </w:rPr>
              <w:t>例。</w:t>
            </w:r>
          </w:p>
          <w:p w:rsidR="00CA2089" w:rsidRDefault="00035E4E">
            <w:pPr>
              <w:spacing w:line="300" w:lineRule="auto"/>
              <w:rPr>
                <w:sz w:val="24"/>
              </w:rPr>
            </w:pPr>
            <w:r>
              <w:rPr>
                <w:sz w:val="24"/>
              </w:rPr>
              <w:t>样本量计算公式为：</w:t>
            </w:r>
          </w:p>
          <w:p w:rsidR="00CA2089" w:rsidRDefault="00035E4E">
            <w:pPr>
              <w:spacing w:line="300" w:lineRule="auto"/>
              <w:ind w:firstLine="560"/>
              <w:rPr>
                <w:szCs w:val="28"/>
              </w:rPr>
            </w:pPr>
            <w:r>
              <w:rPr>
                <w:noProof/>
                <w:szCs w:val="28"/>
              </w:rPr>
              <w:drawing>
                <wp:inline distT="0" distB="0" distL="114300" distR="114300">
                  <wp:extent cx="3533775" cy="809625"/>
                  <wp:effectExtent l="0" t="0" r="9525" b="0"/>
                  <wp:docPr id="1769834144" name="图片 4"/>
                  <wp:cNvGraphicFramePr/>
                  <a:graphic xmlns:a="http://schemas.openxmlformats.org/drawingml/2006/main">
                    <a:graphicData uri="http://schemas.openxmlformats.org/drawingml/2006/picture">
                      <pic:pic xmlns:pic="http://schemas.openxmlformats.org/drawingml/2006/picture">
                        <pic:nvPicPr>
                          <pic:cNvPr id="1769834144" name="图片 4"/>
                          <pic:cNvPicPr/>
                        </pic:nvPicPr>
                        <pic:blipFill>
                          <a:blip r:embed="rId13"/>
                          <a:stretch>
                            <a:fillRect/>
                          </a:stretch>
                        </pic:blipFill>
                        <pic:spPr>
                          <a:xfrm>
                            <a:off x="0" y="0"/>
                            <a:ext cx="3533775" cy="809625"/>
                          </a:xfrm>
                          <a:prstGeom prst="rect">
                            <a:avLst/>
                          </a:prstGeom>
                          <a:noFill/>
                          <a:ln>
                            <a:noFill/>
                          </a:ln>
                        </pic:spPr>
                      </pic:pic>
                    </a:graphicData>
                  </a:graphic>
                </wp:inline>
              </w:drawing>
            </w:r>
          </w:p>
          <w:p w:rsidR="00CA2089" w:rsidRDefault="00035E4E">
            <w:pPr>
              <w:spacing w:line="300" w:lineRule="auto"/>
              <w:ind w:firstLine="480"/>
              <w:rPr>
                <w:sz w:val="24"/>
              </w:rPr>
            </w:pPr>
            <w:r>
              <w:rPr>
                <w:sz w:val="24"/>
              </w:rPr>
              <w:t>其中：</w:t>
            </w:r>
            <w:r>
              <w:rPr>
                <w:sz w:val="24"/>
              </w:rPr>
              <w:t>P</w:t>
            </w:r>
            <w:r>
              <w:rPr>
                <w:sz w:val="24"/>
                <w:vertAlign w:val="subscript"/>
              </w:rPr>
              <w:t>T</w:t>
            </w:r>
            <w:r>
              <w:rPr>
                <w:sz w:val="24"/>
              </w:rPr>
              <w:t>为试验器械预期率，</w:t>
            </w:r>
            <w:r>
              <w:rPr>
                <w:sz w:val="24"/>
              </w:rPr>
              <w:t>P</w:t>
            </w:r>
            <w:r>
              <w:rPr>
                <w:sz w:val="24"/>
                <w:vertAlign w:val="subscript"/>
              </w:rPr>
              <w:t>0</w:t>
            </w:r>
            <w:r>
              <w:rPr>
                <w:sz w:val="24"/>
              </w:rPr>
              <w:t>为目标值。</w:t>
            </w:r>
          </w:p>
          <w:p w:rsidR="00CA2089" w:rsidRDefault="00035E4E">
            <w:pPr>
              <w:spacing w:line="300" w:lineRule="auto"/>
              <w:ind w:firstLine="480"/>
              <w:rPr>
                <w:sz w:val="24"/>
              </w:rPr>
            </w:pPr>
            <w:r>
              <w:rPr>
                <w:rFonts w:hint="eastAsia"/>
                <w:sz w:val="24"/>
              </w:rPr>
              <w:t>综上，两个主要指标分别计算得到的样本量为</w:t>
            </w:r>
            <w:r>
              <w:rPr>
                <w:sz w:val="24"/>
              </w:rPr>
              <w:t>205</w:t>
            </w:r>
            <w:r>
              <w:rPr>
                <w:rFonts w:hint="eastAsia"/>
                <w:sz w:val="24"/>
              </w:rPr>
              <w:t>例与</w:t>
            </w:r>
            <w:r>
              <w:rPr>
                <w:sz w:val="24"/>
              </w:rPr>
              <w:t>125</w:t>
            </w:r>
            <w:r>
              <w:rPr>
                <w:rFonts w:hint="eastAsia"/>
                <w:sz w:val="24"/>
              </w:rPr>
              <w:t>例，取较大者</w:t>
            </w:r>
            <w:proofErr w:type="gramStart"/>
            <w:r>
              <w:rPr>
                <w:rFonts w:hint="eastAsia"/>
                <w:sz w:val="24"/>
              </w:rPr>
              <w:t>做为</w:t>
            </w:r>
            <w:proofErr w:type="gramEnd"/>
            <w:r>
              <w:rPr>
                <w:rFonts w:hint="eastAsia"/>
                <w:sz w:val="24"/>
              </w:rPr>
              <w:t>总样本量，即所需样本量为</w:t>
            </w:r>
            <w:r>
              <w:rPr>
                <w:sz w:val="24"/>
              </w:rPr>
              <w:t>205</w:t>
            </w:r>
            <w:r>
              <w:rPr>
                <w:rFonts w:hint="eastAsia"/>
                <w:sz w:val="24"/>
              </w:rPr>
              <w:t>例。</w:t>
            </w:r>
          </w:p>
        </w:tc>
      </w:tr>
    </w:tbl>
    <w:p w:rsidR="00CA2089" w:rsidRDefault="00CA2089"/>
    <w:p w:rsidR="00CA2089" w:rsidRDefault="00035E4E">
      <w:pPr>
        <w:pStyle w:val="1"/>
        <w:pageBreakBefore/>
        <w:ind w:right="210" w:firstLineChars="200" w:firstLine="562"/>
        <w:jc w:val="center"/>
        <w:rPr>
          <w:rFonts w:ascii="Times New Roman" w:hAnsi="Times New Roman"/>
        </w:rPr>
      </w:pPr>
      <w:bookmarkStart w:id="15" w:name="_Toc14126"/>
      <w:bookmarkStart w:id="16" w:name="_Toc134753795"/>
      <w:r>
        <w:rPr>
          <w:rFonts w:ascii="Times New Roman" w:hAnsi="Times New Roman"/>
        </w:rPr>
        <w:lastRenderedPageBreak/>
        <w:t>缩略语</w:t>
      </w:r>
      <w:bookmarkEnd w:id="8"/>
      <w:bookmarkEnd w:id="9"/>
      <w:bookmarkEnd w:id="10"/>
      <w:bookmarkEnd w:id="15"/>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4177"/>
        <w:gridCol w:w="3394"/>
      </w:tblGrid>
      <w:tr w:rsidR="00CA2089">
        <w:trPr>
          <w:trHeight w:val="64"/>
          <w:tblHeader/>
        </w:trPr>
        <w:tc>
          <w:tcPr>
            <w:tcW w:w="715" w:type="pct"/>
            <w:shd w:val="clear" w:color="000000" w:fill="B8CCE4"/>
            <w:vAlign w:val="center"/>
          </w:tcPr>
          <w:p w:rsidR="00CA2089" w:rsidRDefault="00035E4E">
            <w:pPr>
              <w:snapToGrid w:val="0"/>
              <w:jc w:val="center"/>
              <w:rPr>
                <w:b/>
                <w:bCs/>
                <w:color w:val="000000"/>
              </w:rPr>
            </w:pPr>
            <w:r>
              <w:rPr>
                <w:b/>
                <w:bCs/>
                <w:color w:val="000000"/>
              </w:rPr>
              <w:t>缩略语</w:t>
            </w:r>
          </w:p>
        </w:tc>
        <w:tc>
          <w:tcPr>
            <w:tcW w:w="2364" w:type="pct"/>
            <w:shd w:val="clear" w:color="000000" w:fill="B8CCE4"/>
            <w:vAlign w:val="center"/>
          </w:tcPr>
          <w:p w:rsidR="00CA2089" w:rsidRDefault="00035E4E">
            <w:pPr>
              <w:snapToGrid w:val="0"/>
              <w:jc w:val="center"/>
              <w:rPr>
                <w:b/>
                <w:bCs/>
                <w:color w:val="000000"/>
              </w:rPr>
            </w:pPr>
            <w:r>
              <w:rPr>
                <w:b/>
                <w:bCs/>
                <w:color w:val="000000"/>
              </w:rPr>
              <w:t>英文全称</w:t>
            </w:r>
          </w:p>
        </w:tc>
        <w:tc>
          <w:tcPr>
            <w:tcW w:w="1921" w:type="pct"/>
            <w:shd w:val="clear" w:color="000000" w:fill="B8CCE4"/>
            <w:vAlign w:val="center"/>
          </w:tcPr>
          <w:p w:rsidR="00CA2089" w:rsidRDefault="00035E4E">
            <w:pPr>
              <w:snapToGrid w:val="0"/>
              <w:jc w:val="center"/>
              <w:rPr>
                <w:b/>
                <w:bCs/>
                <w:color w:val="000000"/>
              </w:rPr>
            </w:pPr>
            <w:r>
              <w:rPr>
                <w:b/>
                <w:bCs/>
                <w:color w:val="000000"/>
              </w:rPr>
              <w:t>中文定义</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AE</w:t>
            </w:r>
          </w:p>
        </w:tc>
        <w:tc>
          <w:tcPr>
            <w:tcW w:w="2364" w:type="pct"/>
            <w:shd w:val="clear" w:color="auto" w:fill="auto"/>
            <w:vAlign w:val="center"/>
          </w:tcPr>
          <w:p w:rsidR="00CA2089" w:rsidRDefault="00035E4E">
            <w:pPr>
              <w:snapToGrid w:val="0"/>
              <w:jc w:val="center"/>
              <w:rPr>
                <w:color w:val="000000"/>
                <w:szCs w:val="21"/>
              </w:rPr>
            </w:pPr>
            <w:r>
              <w:rPr>
                <w:color w:val="000000"/>
                <w:szCs w:val="21"/>
              </w:rPr>
              <w:t>Adverse Event</w:t>
            </w:r>
          </w:p>
        </w:tc>
        <w:tc>
          <w:tcPr>
            <w:tcW w:w="1921" w:type="pct"/>
            <w:shd w:val="clear" w:color="auto" w:fill="auto"/>
            <w:vAlign w:val="center"/>
          </w:tcPr>
          <w:p w:rsidR="00CA2089" w:rsidRDefault="00035E4E">
            <w:pPr>
              <w:snapToGrid w:val="0"/>
              <w:jc w:val="center"/>
              <w:rPr>
                <w:color w:val="000000"/>
                <w:szCs w:val="21"/>
              </w:rPr>
            </w:pPr>
            <w:r>
              <w:rPr>
                <w:color w:val="000000"/>
                <w:szCs w:val="21"/>
              </w:rPr>
              <w:t>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ALT</w:t>
            </w:r>
          </w:p>
        </w:tc>
        <w:tc>
          <w:tcPr>
            <w:tcW w:w="2364" w:type="pct"/>
            <w:shd w:val="clear" w:color="auto" w:fill="auto"/>
            <w:vAlign w:val="center"/>
          </w:tcPr>
          <w:p w:rsidR="00CA2089" w:rsidRDefault="00035E4E">
            <w:pPr>
              <w:snapToGrid w:val="0"/>
              <w:jc w:val="center"/>
              <w:rPr>
                <w:color w:val="000000"/>
                <w:szCs w:val="21"/>
              </w:rPr>
            </w:pPr>
            <w:r>
              <w:rPr>
                <w:color w:val="000000"/>
                <w:szCs w:val="21"/>
              </w:rPr>
              <w:t>Alanine Aminotransferase</w:t>
            </w:r>
          </w:p>
        </w:tc>
        <w:tc>
          <w:tcPr>
            <w:tcW w:w="1921" w:type="pct"/>
            <w:shd w:val="clear" w:color="auto" w:fill="auto"/>
            <w:vAlign w:val="center"/>
          </w:tcPr>
          <w:p w:rsidR="00CA2089" w:rsidRDefault="00035E4E">
            <w:pPr>
              <w:snapToGrid w:val="0"/>
              <w:jc w:val="center"/>
              <w:rPr>
                <w:color w:val="000000"/>
                <w:szCs w:val="21"/>
              </w:rPr>
            </w:pPr>
            <w:r>
              <w:rPr>
                <w:color w:val="000000"/>
                <w:szCs w:val="21"/>
              </w:rPr>
              <w:t>谷丙转氨酶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APTT</w:t>
            </w:r>
          </w:p>
        </w:tc>
        <w:tc>
          <w:tcPr>
            <w:tcW w:w="2364" w:type="pct"/>
            <w:shd w:val="clear" w:color="auto" w:fill="auto"/>
            <w:vAlign w:val="center"/>
          </w:tcPr>
          <w:p w:rsidR="00CA2089" w:rsidRDefault="00035E4E">
            <w:pPr>
              <w:snapToGrid w:val="0"/>
              <w:jc w:val="center"/>
              <w:rPr>
                <w:color w:val="000000"/>
                <w:szCs w:val="21"/>
              </w:rPr>
            </w:pPr>
            <w:r>
              <w:rPr>
                <w:color w:val="000000"/>
                <w:szCs w:val="21"/>
              </w:rPr>
              <w:t>Activated Partial Thromboplastin Time</w:t>
            </w:r>
          </w:p>
        </w:tc>
        <w:tc>
          <w:tcPr>
            <w:tcW w:w="1921" w:type="pct"/>
            <w:shd w:val="clear" w:color="auto" w:fill="auto"/>
            <w:vAlign w:val="center"/>
          </w:tcPr>
          <w:p w:rsidR="00CA2089" w:rsidRDefault="00035E4E">
            <w:pPr>
              <w:snapToGrid w:val="0"/>
              <w:jc w:val="center"/>
              <w:rPr>
                <w:color w:val="000000"/>
                <w:szCs w:val="21"/>
              </w:rPr>
            </w:pPr>
            <w:r>
              <w:rPr>
                <w:color w:val="000000"/>
                <w:szCs w:val="21"/>
              </w:rPr>
              <w:t>活化部分凝血活酶时间</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AST</w:t>
            </w:r>
          </w:p>
        </w:tc>
        <w:tc>
          <w:tcPr>
            <w:tcW w:w="2364" w:type="pct"/>
            <w:shd w:val="clear" w:color="auto" w:fill="auto"/>
            <w:vAlign w:val="center"/>
          </w:tcPr>
          <w:p w:rsidR="00CA2089" w:rsidRDefault="00035E4E">
            <w:pPr>
              <w:snapToGrid w:val="0"/>
              <w:jc w:val="center"/>
              <w:rPr>
                <w:color w:val="000000"/>
                <w:szCs w:val="21"/>
              </w:rPr>
            </w:pPr>
            <w:r>
              <w:rPr>
                <w:color w:val="000000"/>
                <w:szCs w:val="21"/>
              </w:rPr>
              <w:t>Aspartate Aminotransferase</w:t>
            </w:r>
          </w:p>
        </w:tc>
        <w:tc>
          <w:tcPr>
            <w:tcW w:w="1921" w:type="pct"/>
            <w:shd w:val="clear" w:color="auto" w:fill="auto"/>
            <w:vAlign w:val="center"/>
          </w:tcPr>
          <w:p w:rsidR="00CA2089" w:rsidRDefault="00035E4E">
            <w:pPr>
              <w:snapToGrid w:val="0"/>
              <w:jc w:val="center"/>
              <w:rPr>
                <w:color w:val="000000"/>
                <w:szCs w:val="21"/>
              </w:rPr>
            </w:pPr>
            <w:r>
              <w:rPr>
                <w:color w:val="000000"/>
                <w:szCs w:val="21"/>
              </w:rPr>
              <w:t>谷草转氨酶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BMI</w:t>
            </w:r>
          </w:p>
        </w:tc>
        <w:tc>
          <w:tcPr>
            <w:tcW w:w="2364" w:type="pct"/>
            <w:shd w:val="clear" w:color="auto" w:fill="auto"/>
            <w:vAlign w:val="center"/>
          </w:tcPr>
          <w:p w:rsidR="00CA2089" w:rsidRDefault="00035E4E">
            <w:pPr>
              <w:snapToGrid w:val="0"/>
              <w:jc w:val="center"/>
              <w:rPr>
                <w:color w:val="000000"/>
                <w:szCs w:val="21"/>
              </w:rPr>
            </w:pPr>
            <w:r>
              <w:rPr>
                <w:color w:val="000000"/>
                <w:szCs w:val="21"/>
              </w:rPr>
              <w:t>Body Mass Index</w:t>
            </w:r>
          </w:p>
        </w:tc>
        <w:tc>
          <w:tcPr>
            <w:tcW w:w="1921" w:type="pct"/>
            <w:shd w:val="clear" w:color="auto" w:fill="auto"/>
            <w:vAlign w:val="center"/>
          </w:tcPr>
          <w:p w:rsidR="00CA2089" w:rsidRDefault="00035E4E">
            <w:pPr>
              <w:snapToGrid w:val="0"/>
              <w:jc w:val="center"/>
              <w:rPr>
                <w:color w:val="000000"/>
                <w:szCs w:val="21"/>
              </w:rPr>
            </w:pPr>
            <w:r>
              <w:rPr>
                <w:color w:val="000000"/>
                <w:szCs w:val="21"/>
              </w:rPr>
              <w:t>体重指数</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Urea</w:t>
            </w:r>
          </w:p>
        </w:tc>
        <w:tc>
          <w:tcPr>
            <w:tcW w:w="2364" w:type="pct"/>
            <w:shd w:val="clear" w:color="auto" w:fill="auto"/>
            <w:vAlign w:val="center"/>
          </w:tcPr>
          <w:p w:rsidR="00CA2089" w:rsidRDefault="00035E4E">
            <w:pPr>
              <w:snapToGrid w:val="0"/>
              <w:jc w:val="center"/>
              <w:rPr>
                <w:color w:val="000000"/>
                <w:szCs w:val="21"/>
              </w:rPr>
            </w:pPr>
            <w:r>
              <w:rPr>
                <w:color w:val="000000"/>
                <w:szCs w:val="21"/>
              </w:rPr>
              <w:t>Blood Urea Nitrogen</w:t>
            </w:r>
          </w:p>
        </w:tc>
        <w:tc>
          <w:tcPr>
            <w:tcW w:w="1921" w:type="pct"/>
            <w:shd w:val="clear" w:color="auto" w:fill="auto"/>
            <w:vAlign w:val="center"/>
          </w:tcPr>
          <w:p w:rsidR="00CA2089" w:rsidRDefault="00035E4E">
            <w:pPr>
              <w:snapToGrid w:val="0"/>
              <w:jc w:val="center"/>
              <w:rPr>
                <w:color w:val="000000"/>
                <w:szCs w:val="21"/>
              </w:rPr>
            </w:pPr>
            <w:r>
              <w:rPr>
                <w:color w:val="000000"/>
                <w:szCs w:val="21"/>
              </w:rPr>
              <w:t>血尿素</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CAC</w:t>
            </w:r>
          </w:p>
        </w:tc>
        <w:tc>
          <w:tcPr>
            <w:tcW w:w="2364" w:type="pct"/>
            <w:shd w:val="clear" w:color="auto" w:fill="auto"/>
            <w:vAlign w:val="center"/>
          </w:tcPr>
          <w:p w:rsidR="00CA2089" w:rsidRDefault="00035E4E">
            <w:pPr>
              <w:snapToGrid w:val="0"/>
              <w:jc w:val="center"/>
              <w:rPr>
                <w:color w:val="000000"/>
                <w:szCs w:val="21"/>
              </w:rPr>
            </w:pPr>
            <w:r>
              <w:rPr>
                <w:color w:val="000000"/>
                <w:szCs w:val="21"/>
              </w:rPr>
              <w:t>Coronary Artery Calcification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冠状动脉钙化</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CAD</w:t>
            </w:r>
          </w:p>
        </w:tc>
        <w:tc>
          <w:tcPr>
            <w:tcW w:w="2364" w:type="pct"/>
            <w:shd w:val="clear" w:color="auto" w:fill="auto"/>
            <w:vAlign w:val="center"/>
          </w:tcPr>
          <w:p w:rsidR="00CA2089" w:rsidRDefault="00035E4E">
            <w:pPr>
              <w:snapToGrid w:val="0"/>
              <w:jc w:val="center"/>
              <w:rPr>
                <w:color w:val="000000"/>
                <w:szCs w:val="21"/>
              </w:rPr>
            </w:pPr>
            <w:r>
              <w:rPr>
                <w:color w:val="000000"/>
                <w:szCs w:val="21"/>
              </w:rPr>
              <w:t>Coronary Artery Disease</w:t>
            </w:r>
          </w:p>
        </w:tc>
        <w:tc>
          <w:tcPr>
            <w:tcW w:w="1921" w:type="pct"/>
            <w:shd w:val="clear" w:color="auto" w:fill="auto"/>
            <w:vAlign w:val="center"/>
          </w:tcPr>
          <w:p w:rsidR="00CA2089" w:rsidRDefault="00035E4E">
            <w:pPr>
              <w:snapToGrid w:val="0"/>
              <w:jc w:val="center"/>
              <w:rPr>
                <w:color w:val="000000"/>
                <w:szCs w:val="21"/>
              </w:rPr>
            </w:pPr>
            <w:r>
              <w:rPr>
                <w:color w:val="000000"/>
                <w:szCs w:val="21"/>
                <w:lang w:val="zh-CN"/>
              </w:rPr>
              <w:t>冠状动脉疾病</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CK</w:t>
            </w:r>
          </w:p>
        </w:tc>
        <w:tc>
          <w:tcPr>
            <w:tcW w:w="2364" w:type="pct"/>
            <w:shd w:val="clear" w:color="auto" w:fill="auto"/>
            <w:vAlign w:val="center"/>
          </w:tcPr>
          <w:p w:rsidR="00CA2089" w:rsidRDefault="00035E4E">
            <w:pPr>
              <w:snapToGrid w:val="0"/>
              <w:jc w:val="center"/>
              <w:rPr>
                <w:color w:val="000000"/>
                <w:szCs w:val="21"/>
              </w:rPr>
            </w:pPr>
            <w:r>
              <w:rPr>
                <w:color w:val="000000"/>
                <w:szCs w:val="21"/>
              </w:rPr>
              <w:t>Creatine Kinase</w:t>
            </w:r>
          </w:p>
        </w:tc>
        <w:tc>
          <w:tcPr>
            <w:tcW w:w="1921" w:type="pct"/>
            <w:shd w:val="clear" w:color="auto" w:fill="auto"/>
            <w:vAlign w:val="center"/>
          </w:tcPr>
          <w:p w:rsidR="00CA2089" w:rsidRDefault="00035E4E">
            <w:pPr>
              <w:snapToGrid w:val="0"/>
              <w:jc w:val="center"/>
              <w:rPr>
                <w:color w:val="000000"/>
                <w:szCs w:val="21"/>
              </w:rPr>
            </w:pPr>
            <w:r>
              <w:rPr>
                <w:color w:val="000000"/>
                <w:szCs w:val="21"/>
              </w:rPr>
              <w:t>肌酸激酶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CK-MB</w:t>
            </w:r>
          </w:p>
        </w:tc>
        <w:tc>
          <w:tcPr>
            <w:tcW w:w="2364" w:type="pct"/>
            <w:shd w:val="clear" w:color="auto" w:fill="auto"/>
            <w:vAlign w:val="center"/>
          </w:tcPr>
          <w:p w:rsidR="00CA2089" w:rsidRDefault="00035E4E">
            <w:pPr>
              <w:snapToGrid w:val="0"/>
              <w:jc w:val="center"/>
              <w:rPr>
                <w:color w:val="000000"/>
                <w:szCs w:val="21"/>
              </w:rPr>
            </w:pPr>
            <w:r>
              <w:rPr>
                <w:color w:val="000000"/>
                <w:szCs w:val="21"/>
              </w:rPr>
              <w:t>Creatine kinase isoenzyme</w:t>
            </w:r>
          </w:p>
        </w:tc>
        <w:tc>
          <w:tcPr>
            <w:tcW w:w="1921" w:type="pct"/>
            <w:shd w:val="clear" w:color="auto" w:fill="auto"/>
            <w:vAlign w:val="center"/>
          </w:tcPr>
          <w:p w:rsidR="00CA2089" w:rsidRDefault="00035E4E">
            <w:pPr>
              <w:snapToGrid w:val="0"/>
              <w:jc w:val="center"/>
              <w:rPr>
                <w:color w:val="000000"/>
                <w:szCs w:val="21"/>
              </w:rPr>
            </w:pPr>
            <w:r>
              <w:rPr>
                <w:color w:val="000000"/>
                <w:szCs w:val="21"/>
              </w:rPr>
              <w:t>肌酸激酶同工酶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CRF</w:t>
            </w:r>
          </w:p>
        </w:tc>
        <w:tc>
          <w:tcPr>
            <w:tcW w:w="2364" w:type="pct"/>
            <w:shd w:val="clear" w:color="auto" w:fill="auto"/>
            <w:vAlign w:val="center"/>
          </w:tcPr>
          <w:p w:rsidR="00CA2089" w:rsidRDefault="00035E4E">
            <w:pPr>
              <w:snapToGrid w:val="0"/>
              <w:jc w:val="center"/>
              <w:rPr>
                <w:color w:val="000000"/>
                <w:szCs w:val="21"/>
              </w:rPr>
            </w:pPr>
            <w:r>
              <w:rPr>
                <w:color w:val="000000"/>
                <w:szCs w:val="21"/>
              </w:rPr>
              <w:t>Case Report Form</w:t>
            </w:r>
          </w:p>
        </w:tc>
        <w:tc>
          <w:tcPr>
            <w:tcW w:w="1921" w:type="pct"/>
            <w:shd w:val="clear" w:color="auto" w:fill="auto"/>
            <w:vAlign w:val="center"/>
          </w:tcPr>
          <w:p w:rsidR="00CA2089" w:rsidRDefault="00035E4E">
            <w:pPr>
              <w:snapToGrid w:val="0"/>
              <w:jc w:val="center"/>
              <w:rPr>
                <w:color w:val="000000"/>
                <w:szCs w:val="21"/>
              </w:rPr>
            </w:pPr>
            <w:r>
              <w:rPr>
                <w:color w:val="000000"/>
                <w:szCs w:val="21"/>
              </w:rPr>
              <w:t>病例报告表</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cTn</w:t>
            </w:r>
          </w:p>
        </w:tc>
        <w:tc>
          <w:tcPr>
            <w:tcW w:w="2364" w:type="pct"/>
            <w:shd w:val="clear" w:color="auto" w:fill="auto"/>
            <w:vAlign w:val="center"/>
          </w:tcPr>
          <w:p w:rsidR="00CA2089" w:rsidRDefault="00035E4E">
            <w:pPr>
              <w:snapToGrid w:val="0"/>
              <w:jc w:val="center"/>
              <w:rPr>
                <w:color w:val="000000"/>
                <w:szCs w:val="21"/>
              </w:rPr>
            </w:pPr>
            <w:r>
              <w:rPr>
                <w:color w:val="000000"/>
                <w:szCs w:val="21"/>
              </w:rPr>
              <w:t>Cardiac Troponin</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心肌肌钙蛋白</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DMP</w:t>
            </w:r>
          </w:p>
        </w:tc>
        <w:tc>
          <w:tcPr>
            <w:tcW w:w="2364" w:type="pct"/>
            <w:shd w:val="clear" w:color="auto" w:fill="auto"/>
            <w:vAlign w:val="center"/>
          </w:tcPr>
          <w:p w:rsidR="00CA2089" w:rsidRDefault="00035E4E">
            <w:pPr>
              <w:snapToGrid w:val="0"/>
              <w:jc w:val="center"/>
              <w:rPr>
                <w:color w:val="000000"/>
                <w:szCs w:val="21"/>
              </w:rPr>
            </w:pPr>
            <w:r>
              <w:rPr>
                <w:color w:val="000000"/>
                <w:szCs w:val="21"/>
              </w:rPr>
              <w:t>Data Management Plan</w:t>
            </w:r>
          </w:p>
        </w:tc>
        <w:tc>
          <w:tcPr>
            <w:tcW w:w="1921" w:type="pct"/>
            <w:shd w:val="clear" w:color="auto" w:fill="auto"/>
            <w:vAlign w:val="center"/>
          </w:tcPr>
          <w:p w:rsidR="00CA2089" w:rsidRDefault="00035E4E">
            <w:pPr>
              <w:snapToGrid w:val="0"/>
              <w:jc w:val="center"/>
              <w:rPr>
                <w:color w:val="000000"/>
                <w:szCs w:val="21"/>
              </w:rPr>
            </w:pPr>
            <w:r>
              <w:rPr>
                <w:color w:val="000000"/>
                <w:szCs w:val="21"/>
              </w:rPr>
              <w:t>数据管理计划</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DSA</w:t>
            </w:r>
          </w:p>
        </w:tc>
        <w:tc>
          <w:tcPr>
            <w:tcW w:w="2364" w:type="pct"/>
            <w:shd w:val="clear" w:color="auto" w:fill="auto"/>
            <w:vAlign w:val="center"/>
          </w:tcPr>
          <w:p w:rsidR="00CA2089" w:rsidRDefault="00035E4E">
            <w:pPr>
              <w:snapToGrid w:val="0"/>
              <w:jc w:val="center"/>
              <w:rPr>
                <w:color w:val="000000"/>
                <w:szCs w:val="21"/>
              </w:rPr>
            </w:pPr>
            <w:r>
              <w:rPr>
                <w:color w:val="000000"/>
                <w:szCs w:val="21"/>
              </w:rPr>
              <w:t>Digital Substraction Angiography</w:t>
            </w:r>
          </w:p>
        </w:tc>
        <w:tc>
          <w:tcPr>
            <w:tcW w:w="1921" w:type="pct"/>
            <w:shd w:val="clear" w:color="auto" w:fill="auto"/>
            <w:vAlign w:val="center"/>
          </w:tcPr>
          <w:p w:rsidR="00CA2089" w:rsidRDefault="00035E4E">
            <w:pPr>
              <w:snapToGrid w:val="0"/>
              <w:jc w:val="center"/>
              <w:rPr>
                <w:color w:val="000000"/>
                <w:szCs w:val="21"/>
              </w:rPr>
            </w:pPr>
            <w:r>
              <w:rPr>
                <w:color w:val="000000"/>
                <w:szCs w:val="21"/>
              </w:rPr>
              <w:t>数字减影血管造影</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ECG</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Electrocardiogram</w:t>
            </w:r>
          </w:p>
        </w:tc>
        <w:tc>
          <w:tcPr>
            <w:tcW w:w="1921" w:type="pct"/>
            <w:shd w:val="clear" w:color="auto" w:fill="auto"/>
            <w:vAlign w:val="center"/>
          </w:tcPr>
          <w:p w:rsidR="00CA2089" w:rsidRDefault="00035E4E">
            <w:pPr>
              <w:snapToGrid w:val="0"/>
              <w:jc w:val="center"/>
              <w:rPr>
                <w:color w:val="000000"/>
                <w:szCs w:val="21"/>
              </w:rPr>
            </w:pPr>
            <w:r>
              <w:rPr>
                <w:color w:val="000000"/>
                <w:szCs w:val="21"/>
              </w:rPr>
              <w:t>心电图检查</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eCRF</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electronic Case Report Form</w:t>
            </w:r>
          </w:p>
        </w:tc>
        <w:tc>
          <w:tcPr>
            <w:tcW w:w="1921" w:type="pct"/>
            <w:shd w:val="clear" w:color="auto" w:fill="auto"/>
            <w:vAlign w:val="center"/>
          </w:tcPr>
          <w:p w:rsidR="00CA2089" w:rsidRDefault="00035E4E">
            <w:pPr>
              <w:snapToGrid w:val="0"/>
              <w:jc w:val="center"/>
              <w:rPr>
                <w:color w:val="000000"/>
                <w:szCs w:val="21"/>
              </w:rPr>
            </w:pPr>
            <w:r>
              <w:rPr>
                <w:color w:val="000000"/>
                <w:szCs w:val="21"/>
              </w:rPr>
              <w:t>电子病例报告表</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EDC</w:t>
            </w:r>
          </w:p>
        </w:tc>
        <w:tc>
          <w:tcPr>
            <w:tcW w:w="2364" w:type="pct"/>
            <w:shd w:val="clear" w:color="auto" w:fill="auto"/>
            <w:vAlign w:val="center"/>
          </w:tcPr>
          <w:p w:rsidR="00CA2089" w:rsidRDefault="00035E4E">
            <w:pPr>
              <w:snapToGrid w:val="0"/>
              <w:jc w:val="center"/>
              <w:rPr>
                <w:color w:val="000000"/>
                <w:szCs w:val="21"/>
              </w:rPr>
            </w:pPr>
            <w:r>
              <w:rPr>
                <w:color w:val="000000"/>
                <w:szCs w:val="21"/>
              </w:rPr>
              <w:t>Electronic Data Capture</w:t>
            </w:r>
          </w:p>
        </w:tc>
        <w:tc>
          <w:tcPr>
            <w:tcW w:w="1921" w:type="pct"/>
            <w:shd w:val="clear" w:color="auto" w:fill="auto"/>
            <w:vAlign w:val="center"/>
          </w:tcPr>
          <w:p w:rsidR="00CA2089" w:rsidRDefault="00035E4E">
            <w:pPr>
              <w:snapToGrid w:val="0"/>
              <w:jc w:val="center"/>
              <w:rPr>
                <w:color w:val="000000"/>
                <w:szCs w:val="21"/>
              </w:rPr>
            </w:pPr>
            <w:r>
              <w:rPr>
                <w:color w:val="000000"/>
                <w:szCs w:val="21"/>
              </w:rPr>
              <w:t>电子数据采集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rFonts w:hint="eastAsia"/>
                <w:color w:val="000000"/>
                <w:szCs w:val="21"/>
              </w:rPr>
              <w:t>eGFR</w:t>
            </w:r>
          </w:p>
        </w:tc>
        <w:tc>
          <w:tcPr>
            <w:tcW w:w="2364" w:type="pct"/>
            <w:shd w:val="clear" w:color="auto" w:fill="auto"/>
            <w:vAlign w:val="center"/>
          </w:tcPr>
          <w:p w:rsidR="00CA2089" w:rsidRDefault="00035E4E">
            <w:pPr>
              <w:snapToGrid w:val="0"/>
              <w:jc w:val="center"/>
              <w:rPr>
                <w:color w:val="000000"/>
                <w:szCs w:val="21"/>
              </w:rPr>
            </w:pPr>
            <w:r>
              <w:rPr>
                <w:color w:val="000000"/>
                <w:szCs w:val="21"/>
              </w:rPr>
              <w:t>estimated Glomerular Filtration Rate</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估算的肾小球滤过率</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FAS</w:t>
            </w:r>
          </w:p>
        </w:tc>
        <w:tc>
          <w:tcPr>
            <w:tcW w:w="2364" w:type="pct"/>
            <w:shd w:val="clear" w:color="auto" w:fill="auto"/>
            <w:vAlign w:val="center"/>
          </w:tcPr>
          <w:p w:rsidR="00CA2089" w:rsidRDefault="00035E4E">
            <w:pPr>
              <w:snapToGrid w:val="0"/>
              <w:jc w:val="center"/>
              <w:rPr>
                <w:color w:val="000000"/>
                <w:szCs w:val="21"/>
              </w:rPr>
            </w:pPr>
            <w:r>
              <w:rPr>
                <w:color w:val="000000"/>
                <w:szCs w:val="21"/>
              </w:rPr>
              <w:t>Full Analysis Set</w:t>
            </w:r>
          </w:p>
        </w:tc>
        <w:tc>
          <w:tcPr>
            <w:tcW w:w="1921" w:type="pct"/>
            <w:shd w:val="clear" w:color="auto" w:fill="auto"/>
            <w:vAlign w:val="center"/>
          </w:tcPr>
          <w:p w:rsidR="00CA2089" w:rsidRDefault="00035E4E">
            <w:pPr>
              <w:snapToGrid w:val="0"/>
              <w:jc w:val="center"/>
              <w:rPr>
                <w:color w:val="000000"/>
                <w:szCs w:val="21"/>
              </w:rPr>
            </w:pPr>
            <w:r>
              <w:rPr>
                <w:color w:val="000000"/>
                <w:szCs w:val="21"/>
              </w:rPr>
              <w:t>全分析集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Hb</w:t>
            </w:r>
          </w:p>
        </w:tc>
        <w:tc>
          <w:tcPr>
            <w:tcW w:w="2364" w:type="pct"/>
            <w:shd w:val="clear" w:color="auto" w:fill="auto"/>
            <w:vAlign w:val="center"/>
          </w:tcPr>
          <w:p w:rsidR="00CA2089" w:rsidRDefault="00035E4E">
            <w:pPr>
              <w:snapToGrid w:val="0"/>
              <w:jc w:val="center"/>
              <w:rPr>
                <w:color w:val="000000"/>
                <w:szCs w:val="21"/>
              </w:rPr>
            </w:pPr>
            <w:r>
              <w:rPr>
                <w:color w:val="000000"/>
                <w:szCs w:val="21"/>
              </w:rPr>
              <w:t>Hemoglobin</w:t>
            </w:r>
          </w:p>
        </w:tc>
        <w:tc>
          <w:tcPr>
            <w:tcW w:w="1921" w:type="pct"/>
            <w:shd w:val="clear" w:color="auto" w:fill="auto"/>
            <w:vAlign w:val="center"/>
          </w:tcPr>
          <w:p w:rsidR="00CA2089" w:rsidRDefault="00035E4E">
            <w:pPr>
              <w:snapToGrid w:val="0"/>
              <w:jc w:val="center"/>
              <w:rPr>
                <w:color w:val="000000"/>
                <w:szCs w:val="21"/>
              </w:rPr>
            </w:pPr>
            <w:r>
              <w:rPr>
                <w:color w:val="000000"/>
                <w:szCs w:val="21"/>
              </w:rPr>
              <w:t>血红蛋白</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rFonts w:hint="eastAsia"/>
                <w:color w:val="000000"/>
                <w:szCs w:val="21"/>
              </w:rPr>
              <w:t>ITT</w:t>
            </w:r>
          </w:p>
        </w:tc>
        <w:tc>
          <w:tcPr>
            <w:tcW w:w="2364" w:type="pct"/>
            <w:shd w:val="clear" w:color="auto" w:fill="auto"/>
            <w:vAlign w:val="center"/>
          </w:tcPr>
          <w:p w:rsidR="00CA2089" w:rsidRDefault="00035E4E">
            <w:pPr>
              <w:snapToGrid w:val="0"/>
              <w:jc w:val="center"/>
              <w:rPr>
                <w:color w:val="000000"/>
                <w:szCs w:val="21"/>
              </w:rPr>
            </w:pPr>
            <w:r>
              <w:rPr>
                <w:rFonts w:hint="eastAsia"/>
                <w:color w:val="000000"/>
                <w:szCs w:val="21"/>
              </w:rPr>
              <w:t>Intention To Treat</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意向性治疗</w:t>
            </w:r>
          </w:p>
        </w:tc>
      </w:tr>
      <w:tr w:rsidR="00CA2089">
        <w:trPr>
          <w:trHeight w:val="62"/>
        </w:trPr>
        <w:tc>
          <w:tcPr>
            <w:tcW w:w="715" w:type="pct"/>
            <w:shd w:val="clear" w:color="000000" w:fill="E7E6E6"/>
            <w:vAlign w:val="center"/>
          </w:tcPr>
          <w:p w:rsidR="00CA2089" w:rsidRDefault="00035E4E">
            <w:pPr>
              <w:snapToGrid w:val="0"/>
              <w:jc w:val="center"/>
              <w:rPr>
                <w:color w:val="000000"/>
                <w:szCs w:val="21"/>
              </w:rPr>
            </w:pPr>
            <w:r>
              <w:rPr>
                <w:color w:val="000000"/>
                <w:szCs w:val="21"/>
              </w:rPr>
              <w:t>IVL</w:t>
            </w:r>
          </w:p>
        </w:tc>
        <w:tc>
          <w:tcPr>
            <w:tcW w:w="2364" w:type="pct"/>
            <w:shd w:val="clear" w:color="auto" w:fill="auto"/>
            <w:vAlign w:val="center"/>
          </w:tcPr>
          <w:p w:rsidR="00CA2089" w:rsidRDefault="00035E4E">
            <w:pPr>
              <w:snapToGrid w:val="0"/>
              <w:jc w:val="center"/>
              <w:rPr>
                <w:color w:val="000000"/>
                <w:szCs w:val="21"/>
              </w:rPr>
            </w:pPr>
            <w:r>
              <w:rPr>
                <w:color w:val="000000"/>
                <w:szCs w:val="21"/>
              </w:rPr>
              <w:t>Intravascular Lithotripsy</w:t>
            </w:r>
          </w:p>
        </w:tc>
        <w:tc>
          <w:tcPr>
            <w:tcW w:w="1921" w:type="pct"/>
            <w:shd w:val="clear" w:color="auto" w:fill="auto"/>
            <w:vAlign w:val="center"/>
          </w:tcPr>
          <w:p w:rsidR="00CA2089" w:rsidRDefault="00035E4E">
            <w:pPr>
              <w:snapToGrid w:val="0"/>
              <w:jc w:val="center"/>
              <w:rPr>
                <w:color w:val="000000"/>
                <w:szCs w:val="21"/>
              </w:rPr>
            </w:pPr>
            <w:r>
              <w:rPr>
                <w:color w:val="000000"/>
                <w:szCs w:val="21"/>
              </w:rPr>
              <w:t>血管内震波碎石</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IVUS</w:t>
            </w:r>
          </w:p>
        </w:tc>
        <w:tc>
          <w:tcPr>
            <w:tcW w:w="2364" w:type="pct"/>
            <w:shd w:val="clear" w:color="auto" w:fill="auto"/>
            <w:vAlign w:val="center"/>
          </w:tcPr>
          <w:p w:rsidR="00CA2089" w:rsidRDefault="00035E4E">
            <w:pPr>
              <w:snapToGrid w:val="0"/>
              <w:jc w:val="center"/>
              <w:rPr>
                <w:color w:val="000000"/>
                <w:szCs w:val="21"/>
              </w:rPr>
            </w:pPr>
            <w:r>
              <w:rPr>
                <w:color w:val="000000"/>
                <w:szCs w:val="21"/>
              </w:rPr>
              <w:t>Intravascular ultrasound</w:t>
            </w:r>
          </w:p>
        </w:tc>
        <w:tc>
          <w:tcPr>
            <w:tcW w:w="1921" w:type="pct"/>
            <w:shd w:val="clear" w:color="auto" w:fill="auto"/>
            <w:vAlign w:val="center"/>
          </w:tcPr>
          <w:p w:rsidR="00CA2089" w:rsidRDefault="00035E4E">
            <w:pPr>
              <w:snapToGrid w:val="0"/>
              <w:jc w:val="center"/>
              <w:rPr>
                <w:color w:val="000000"/>
                <w:szCs w:val="21"/>
              </w:rPr>
            </w:pPr>
            <w:r>
              <w:rPr>
                <w:color w:val="000000"/>
                <w:szCs w:val="21"/>
              </w:rPr>
              <w:t>腔内超声导管</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GCP</w:t>
            </w:r>
          </w:p>
        </w:tc>
        <w:tc>
          <w:tcPr>
            <w:tcW w:w="2364" w:type="pct"/>
            <w:shd w:val="clear" w:color="auto" w:fill="auto"/>
            <w:vAlign w:val="center"/>
          </w:tcPr>
          <w:p w:rsidR="00CA2089" w:rsidRDefault="00035E4E">
            <w:pPr>
              <w:snapToGrid w:val="0"/>
              <w:jc w:val="center"/>
              <w:rPr>
                <w:color w:val="000000"/>
                <w:szCs w:val="21"/>
              </w:rPr>
            </w:pPr>
            <w:r>
              <w:rPr>
                <w:color w:val="000000"/>
                <w:szCs w:val="21"/>
              </w:rPr>
              <w:t>Good Clinical Practice</w:t>
            </w:r>
          </w:p>
        </w:tc>
        <w:tc>
          <w:tcPr>
            <w:tcW w:w="1921" w:type="pct"/>
            <w:shd w:val="clear" w:color="auto" w:fill="auto"/>
            <w:vAlign w:val="center"/>
          </w:tcPr>
          <w:p w:rsidR="00CA2089" w:rsidRDefault="00035E4E">
            <w:pPr>
              <w:snapToGrid w:val="0"/>
              <w:jc w:val="center"/>
              <w:rPr>
                <w:color w:val="000000"/>
                <w:szCs w:val="21"/>
              </w:rPr>
            </w:pPr>
            <w:r>
              <w:rPr>
                <w:color w:val="000000"/>
                <w:szCs w:val="21"/>
              </w:rPr>
              <w:t>临床试验质量管理规范</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GI</w:t>
            </w:r>
          </w:p>
        </w:tc>
        <w:tc>
          <w:tcPr>
            <w:tcW w:w="2364" w:type="pct"/>
            <w:shd w:val="clear" w:color="auto" w:fill="auto"/>
            <w:vAlign w:val="center"/>
          </w:tcPr>
          <w:p w:rsidR="00CA2089" w:rsidRDefault="00035E4E">
            <w:pPr>
              <w:snapToGrid w:val="0"/>
              <w:jc w:val="center"/>
              <w:rPr>
                <w:color w:val="000000"/>
                <w:szCs w:val="21"/>
              </w:rPr>
            </w:pPr>
            <w:r>
              <w:rPr>
                <w:color w:val="000000"/>
                <w:szCs w:val="21"/>
              </w:rPr>
              <w:t>Gastrointestinal</w:t>
            </w:r>
          </w:p>
        </w:tc>
        <w:tc>
          <w:tcPr>
            <w:tcW w:w="1921" w:type="pct"/>
            <w:shd w:val="clear" w:color="auto" w:fill="auto"/>
            <w:vAlign w:val="center"/>
          </w:tcPr>
          <w:p w:rsidR="00CA2089" w:rsidRDefault="00035E4E">
            <w:pPr>
              <w:snapToGrid w:val="0"/>
              <w:jc w:val="center"/>
              <w:rPr>
                <w:color w:val="000000"/>
                <w:szCs w:val="21"/>
              </w:rPr>
            </w:pPr>
            <w:r>
              <w:rPr>
                <w:color w:val="000000"/>
                <w:szCs w:val="21"/>
              </w:rPr>
              <w:t>消化道</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LAD</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Anterior Descending</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冠状动脉左前降支</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LCX</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Circumflex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冠状动脉左回降支</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LMCA</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Main Coronary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左主干病变</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LVEF</w:t>
            </w:r>
          </w:p>
        </w:tc>
        <w:tc>
          <w:tcPr>
            <w:tcW w:w="2364" w:type="pct"/>
            <w:shd w:val="clear" w:color="auto" w:fill="auto"/>
            <w:vAlign w:val="center"/>
          </w:tcPr>
          <w:p w:rsidR="00CA2089" w:rsidRDefault="00035E4E">
            <w:pPr>
              <w:snapToGrid w:val="0"/>
              <w:jc w:val="center"/>
              <w:rPr>
                <w:color w:val="000000"/>
                <w:szCs w:val="21"/>
              </w:rPr>
            </w:pPr>
            <w:r>
              <w:rPr>
                <w:color w:val="000000"/>
                <w:szCs w:val="21"/>
              </w:rPr>
              <w:t>Left Ventricular Ejection Fraction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左心室射血分数</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MACE</w:t>
            </w:r>
          </w:p>
        </w:tc>
        <w:tc>
          <w:tcPr>
            <w:tcW w:w="2364" w:type="pct"/>
            <w:shd w:val="clear" w:color="auto" w:fill="auto"/>
            <w:vAlign w:val="center"/>
          </w:tcPr>
          <w:p w:rsidR="00CA2089" w:rsidRDefault="00035E4E">
            <w:pPr>
              <w:snapToGrid w:val="0"/>
              <w:jc w:val="center"/>
              <w:rPr>
                <w:color w:val="000000"/>
                <w:szCs w:val="21"/>
              </w:rPr>
            </w:pPr>
            <w:r>
              <w:rPr>
                <w:color w:val="000000"/>
                <w:szCs w:val="21"/>
              </w:rPr>
              <w:t>Major Adverse Cardiovascular Events</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心脏血管主要不良事件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MI</w:t>
            </w:r>
          </w:p>
        </w:tc>
        <w:tc>
          <w:tcPr>
            <w:tcW w:w="2364" w:type="pct"/>
            <w:shd w:val="clear" w:color="auto" w:fill="auto"/>
            <w:vAlign w:val="center"/>
          </w:tcPr>
          <w:p w:rsidR="00CA2089" w:rsidRDefault="00035E4E">
            <w:pPr>
              <w:snapToGrid w:val="0"/>
              <w:jc w:val="center"/>
              <w:rPr>
                <w:color w:val="000000"/>
                <w:szCs w:val="21"/>
              </w:rPr>
            </w:pPr>
            <w:r>
              <w:rPr>
                <w:color w:val="000000"/>
                <w:szCs w:val="21"/>
              </w:rPr>
              <w:t>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心肌梗死</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MLD</w:t>
            </w:r>
          </w:p>
        </w:tc>
        <w:tc>
          <w:tcPr>
            <w:tcW w:w="2364" w:type="pct"/>
            <w:shd w:val="clear" w:color="auto" w:fill="auto"/>
            <w:vAlign w:val="center"/>
          </w:tcPr>
          <w:p w:rsidR="00CA2089" w:rsidRDefault="00035E4E">
            <w:pPr>
              <w:snapToGrid w:val="0"/>
              <w:jc w:val="center"/>
              <w:rPr>
                <w:color w:val="000000"/>
                <w:szCs w:val="21"/>
              </w:rPr>
            </w:pPr>
            <w:r>
              <w:rPr>
                <w:color w:val="000000"/>
                <w:szCs w:val="21"/>
              </w:rPr>
              <w:t>Minimum Lumen Diameter</w:t>
            </w:r>
          </w:p>
        </w:tc>
        <w:tc>
          <w:tcPr>
            <w:tcW w:w="1921" w:type="pct"/>
            <w:shd w:val="clear" w:color="auto" w:fill="auto"/>
            <w:vAlign w:val="center"/>
          </w:tcPr>
          <w:p w:rsidR="00CA2089" w:rsidRDefault="00035E4E">
            <w:pPr>
              <w:snapToGrid w:val="0"/>
              <w:jc w:val="center"/>
              <w:rPr>
                <w:color w:val="000000"/>
                <w:szCs w:val="21"/>
              </w:rPr>
            </w:pPr>
            <w:r>
              <w:rPr>
                <w:color w:val="000000"/>
                <w:szCs w:val="21"/>
              </w:rPr>
              <w:t>最小管</w:t>
            </w:r>
            <w:proofErr w:type="gramStart"/>
            <w:r>
              <w:rPr>
                <w:color w:val="000000"/>
                <w:szCs w:val="21"/>
              </w:rPr>
              <w:t>腔</w:t>
            </w:r>
            <w:proofErr w:type="gramEnd"/>
            <w:r>
              <w:rPr>
                <w:color w:val="000000"/>
                <w:szCs w:val="21"/>
              </w:rPr>
              <w:t>直径</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MRI</w:t>
            </w:r>
          </w:p>
        </w:tc>
        <w:tc>
          <w:tcPr>
            <w:tcW w:w="2364" w:type="pct"/>
            <w:shd w:val="clear" w:color="auto" w:fill="auto"/>
            <w:vAlign w:val="center"/>
          </w:tcPr>
          <w:p w:rsidR="00CA2089" w:rsidRDefault="00035E4E">
            <w:pPr>
              <w:snapToGrid w:val="0"/>
              <w:jc w:val="center"/>
              <w:rPr>
                <w:color w:val="000000"/>
                <w:szCs w:val="21"/>
              </w:rPr>
            </w:pPr>
            <w:r>
              <w:rPr>
                <w:color w:val="000000"/>
                <w:szCs w:val="21"/>
              </w:rPr>
              <w:t>Magnetic Resonance Imaging</w:t>
            </w:r>
          </w:p>
        </w:tc>
        <w:tc>
          <w:tcPr>
            <w:tcW w:w="1921" w:type="pct"/>
            <w:shd w:val="clear" w:color="auto" w:fill="auto"/>
            <w:vAlign w:val="center"/>
          </w:tcPr>
          <w:p w:rsidR="00CA2089" w:rsidRDefault="00035E4E">
            <w:pPr>
              <w:snapToGrid w:val="0"/>
              <w:jc w:val="center"/>
              <w:rPr>
                <w:color w:val="000000"/>
                <w:szCs w:val="21"/>
              </w:rPr>
            </w:pPr>
            <w:r>
              <w:rPr>
                <w:color w:val="000000"/>
                <w:szCs w:val="21"/>
              </w:rPr>
              <w:t>磁共振成像设备</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NHLBI</w:t>
            </w:r>
          </w:p>
        </w:tc>
        <w:tc>
          <w:tcPr>
            <w:tcW w:w="2364" w:type="pct"/>
            <w:shd w:val="clear" w:color="auto" w:fill="auto"/>
            <w:vAlign w:val="center"/>
          </w:tcPr>
          <w:p w:rsidR="00CA2089" w:rsidRDefault="00035E4E">
            <w:pPr>
              <w:snapToGrid w:val="0"/>
              <w:jc w:val="center"/>
              <w:rPr>
                <w:color w:val="000000"/>
                <w:szCs w:val="21"/>
              </w:rPr>
            </w:pPr>
            <w:r>
              <w:rPr>
                <w:color w:val="000000"/>
                <w:szCs w:val="21"/>
              </w:rPr>
              <w:t>National Heart, Lung, and Blood Institute</w:t>
            </w:r>
          </w:p>
        </w:tc>
        <w:tc>
          <w:tcPr>
            <w:tcW w:w="1921" w:type="pct"/>
            <w:shd w:val="clear" w:color="auto" w:fill="auto"/>
            <w:vAlign w:val="center"/>
          </w:tcPr>
          <w:p w:rsidR="00CA2089" w:rsidRDefault="00035E4E">
            <w:pPr>
              <w:snapToGrid w:val="0"/>
              <w:jc w:val="center"/>
              <w:rPr>
                <w:color w:val="000000"/>
                <w:szCs w:val="21"/>
              </w:rPr>
            </w:pPr>
            <w:r>
              <w:rPr>
                <w:color w:val="000000"/>
                <w:szCs w:val="21"/>
              </w:rPr>
              <w:t>国家心脏、肺和血液研究所</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NMPA</w:t>
            </w:r>
          </w:p>
        </w:tc>
        <w:tc>
          <w:tcPr>
            <w:tcW w:w="2364" w:type="pct"/>
            <w:shd w:val="clear" w:color="auto" w:fill="auto"/>
            <w:vAlign w:val="center"/>
          </w:tcPr>
          <w:p w:rsidR="00CA2089" w:rsidRDefault="00035E4E">
            <w:pPr>
              <w:snapToGrid w:val="0"/>
              <w:jc w:val="center"/>
              <w:rPr>
                <w:color w:val="000000"/>
                <w:szCs w:val="21"/>
              </w:rPr>
            </w:pPr>
            <w:r>
              <w:rPr>
                <w:color w:val="000000"/>
                <w:szCs w:val="21"/>
              </w:rPr>
              <w:t>National Medical Products Administration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国家药品监督管理局</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NYHA</w:t>
            </w:r>
          </w:p>
        </w:tc>
        <w:tc>
          <w:tcPr>
            <w:tcW w:w="2364" w:type="pct"/>
            <w:shd w:val="clear" w:color="auto" w:fill="auto"/>
            <w:vAlign w:val="center"/>
          </w:tcPr>
          <w:p w:rsidR="00CA2089" w:rsidRDefault="00035E4E">
            <w:pPr>
              <w:snapToGrid w:val="0"/>
              <w:jc w:val="center"/>
              <w:rPr>
                <w:color w:val="000000"/>
                <w:szCs w:val="21"/>
              </w:rPr>
            </w:pPr>
            <w:r>
              <w:rPr>
                <w:color w:val="000000"/>
                <w:szCs w:val="21"/>
              </w:rPr>
              <w:t>New York Heart Association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纽约心脏学会</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PCI</w:t>
            </w:r>
          </w:p>
        </w:tc>
        <w:tc>
          <w:tcPr>
            <w:tcW w:w="2364" w:type="pct"/>
            <w:shd w:val="clear" w:color="auto" w:fill="auto"/>
            <w:vAlign w:val="center"/>
          </w:tcPr>
          <w:p w:rsidR="00CA2089" w:rsidRDefault="00035E4E">
            <w:pPr>
              <w:snapToGrid w:val="0"/>
              <w:jc w:val="center"/>
              <w:rPr>
                <w:color w:val="000000"/>
                <w:szCs w:val="21"/>
              </w:rPr>
            </w:pPr>
            <w:r>
              <w:rPr>
                <w:color w:val="000000"/>
                <w:szCs w:val="21"/>
              </w:rPr>
              <w:t>Percutaneous Coronary Intervention</w:t>
            </w:r>
          </w:p>
        </w:tc>
        <w:tc>
          <w:tcPr>
            <w:tcW w:w="1921" w:type="pct"/>
            <w:shd w:val="clear" w:color="auto" w:fill="auto"/>
            <w:vAlign w:val="center"/>
          </w:tcPr>
          <w:p w:rsidR="00CA2089" w:rsidRDefault="00035E4E">
            <w:pPr>
              <w:snapToGrid w:val="0"/>
              <w:jc w:val="center"/>
              <w:rPr>
                <w:color w:val="000000"/>
                <w:szCs w:val="21"/>
              </w:rPr>
            </w:pPr>
            <w:r>
              <w:rPr>
                <w:color w:val="000000"/>
                <w:szCs w:val="21"/>
              </w:rPr>
              <w:t>经皮冠状动脉介入治疗</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PLT</w:t>
            </w:r>
          </w:p>
        </w:tc>
        <w:tc>
          <w:tcPr>
            <w:tcW w:w="2364" w:type="pct"/>
            <w:shd w:val="clear" w:color="auto" w:fill="auto"/>
            <w:vAlign w:val="center"/>
          </w:tcPr>
          <w:p w:rsidR="00CA2089" w:rsidRDefault="00035E4E">
            <w:pPr>
              <w:snapToGrid w:val="0"/>
              <w:jc w:val="center"/>
              <w:rPr>
                <w:color w:val="000000"/>
                <w:szCs w:val="21"/>
              </w:rPr>
            </w:pPr>
            <w:r>
              <w:rPr>
                <w:color w:val="000000"/>
                <w:szCs w:val="21"/>
              </w:rPr>
              <w:t>Platelet</w:t>
            </w:r>
          </w:p>
        </w:tc>
        <w:tc>
          <w:tcPr>
            <w:tcW w:w="1921" w:type="pct"/>
            <w:shd w:val="clear" w:color="auto" w:fill="auto"/>
            <w:vAlign w:val="center"/>
          </w:tcPr>
          <w:p w:rsidR="00CA2089" w:rsidRDefault="00035E4E">
            <w:pPr>
              <w:snapToGrid w:val="0"/>
              <w:jc w:val="center"/>
              <w:rPr>
                <w:color w:val="000000"/>
                <w:szCs w:val="21"/>
              </w:rPr>
            </w:pPr>
            <w:r>
              <w:rPr>
                <w:color w:val="000000"/>
                <w:szCs w:val="21"/>
              </w:rPr>
              <w:t>血小板</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PPS</w:t>
            </w:r>
          </w:p>
        </w:tc>
        <w:tc>
          <w:tcPr>
            <w:tcW w:w="2364" w:type="pct"/>
            <w:shd w:val="clear" w:color="auto" w:fill="auto"/>
            <w:vAlign w:val="center"/>
          </w:tcPr>
          <w:p w:rsidR="00CA2089" w:rsidRDefault="00035E4E">
            <w:pPr>
              <w:snapToGrid w:val="0"/>
              <w:jc w:val="center"/>
              <w:rPr>
                <w:color w:val="000000"/>
                <w:szCs w:val="21"/>
              </w:rPr>
            </w:pPr>
            <w:r>
              <w:rPr>
                <w:color w:val="000000"/>
                <w:szCs w:val="21"/>
              </w:rPr>
              <w:t>Per-protocol Set</w:t>
            </w:r>
          </w:p>
        </w:tc>
        <w:tc>
          <w:tcPr>
            <w:tcW w:w="1921" w:type="pct"/>
            <w:shd w:val="clear" w:color="auto" w:fill="auto"/>
            <w:vAlign w:val="center"/>
          </w:tcPr>
          <w:p w:rsidR="00CA2089" w:rsidRDefault="00035E4E">
            <w:pPr>
              <w:snapToGrid w:val="0"/>
              <w:jc w:val="center"/>
              <w:rPr>
                <w:color w:val="000000"/>
                <w:szCs w:val="21"/>
              </w:rPr>
            </w:pPr>
            <w:r>
              <w:rPr>
                <w:color w:val="000000"/>
                <w:szCs w:val="21"/>
              </w:rPr>
              <w:t>符合方案集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PT</w:t>
            </w:r>
          </w:p>
        </w:tc>
        <w:tc>
          <w:tcPr>
            <w:tcW w:w="2364" w:type="pct"/>
            <w:shd w:val="clear" w:color="auto" w:fill="auto"/>
            <w:vAlign w:val="center"/>
          </w:tcPr>
          <w:p w:rsidR="00CA2089" w:rsidRDefault="00035E4E">
            <w:pPr>
              <w:snapToGrid w:val="0"/>
              <w:jc w:val="center"/>
              <w:rPr>
                <w:color w:val="000000"/>
                <w:szCs w:val="21"/>
              </w:rPr>
            </w:pPr>
            <w:r>
              <w:rPr>
                <w:color w:val="000000"/>
                <w:szCs w:val="21"/>
              </w:rPr>
              <w:t>Prothrombin Time</w:t>
            </w:r>
          </w:p>
        </w:tc>
        <w:tc>
          <w:tcPr>
            <w:tcW w:w="1921" w:type="pct"/>
            <w:shd w:val="clear" w:color="auto" w:fill="auto"/>
            <w:vAlign w:val="center"/>
          </w:tcPr>
          <w:p w:rsidR="00CA2089" w:rsidRDefault="00035E4E">
            <w:pPr>
              <w:snapToGrid w:val="0"/>
              <w:jc w:val="center"/>
              <w:rPr>
                <w:color w:val="000000"/>
                <w:szCs w:val="21"/>
              </w:rPr>
            </w:pPr>
            <w:r>
              <w:rPr>
                <w:color w:val="000000"/>
                <w:szCs w:val="21"/>
              </w:rPr>
              <w:t>凝血酶原时间</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QCA</w:t>
            </w:r>
          </w:p>
        </w:tc>
        <w:tc>
          <w:tcPr>
            <w:tcW w:w="2364" w:type="pct"/>
            <w:shd w:val="clear" w:color="auto" w:fill="auto"/>
            <w:vAlign w:val="center"/>
          </w:tcPr>
          <w:p w:rsidR="00CA2089" w:rsidRDefault="00035E4E">
            <w:pPr>
              <w:snapToGrid w:val="0"/>
              <w:jc w:val="center"/>
              <w:rPr>
                <w:color w:val="000000"/>
                <w:szCs w:val="21"/>
              </w:rPr>
            </w:pPr>
            <w:r>
              <w:rPr>
                <w:color w:val="000000"/>
                <w:szCs w:val="21"/>
              </w:rPr>
              <w:t>Quantitative Coronary Angiography</w:t>
            </w:r>
          </w:p>
        </w:tc>
        <w:tc>
          <w:tcPr>
            <w:tcW w:w="1921" w:type="pct"/>
            <w:shd w:val="clear" w:color="auto" w:fill="auto"/>
            <w:vAlign w:val="center"/>
          </w:tcPr>
          <w:p w:rsidR="00CA2089" w:rsidRDefault="00035E4E">
            <w:pPr>
              <w:snapToGrid w:val="0"/>
              <w:jc w:val="center"/>
              <w:rPr>
                <w:color w:val="000000"/>
                <w:szCs w:val="21"/>
              </w:rPr>
            </w:pPr>
            <w:r>
              <w:rPr>
                <w:color w:val="000000"/>
                <w:szCs w:val="21"/>
              </w:rPr>
              <w:t>定量冠状动脉造影</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RBC</w:t>
            </w:r>
          </w:p>
        </w:tc>
        <w:tc>
          <w:tcPr>
            <w:tcW w:w="2364" w:type="pct"/>
            <w:shd w:val="clear" w:color="auto" w:fill="auto"/>
            <w:vAlign w:val="center"/>
          </w:tcPr>
          <w:p w:rsidR="00CA2089" w:rsidRDefault="00035E4E">
            <w:pPr>
              <w:snapToGrid w:val="0"/>
              <w:jc w:val="center"/>
              <w:rPr>
                <w:color w:val="000000"/>
                <w:szCs w:val="21"/>
              </w:rPr>
            </w:pPr>
            <w:r>
              <w:rPr>
                <w:color w:val="000000"/>
                <w:szCs w:val="21"/>
              </w:rPr>
              <w:t>Red Blood Cell</w:t>
            </w:r>
          </w:p>
        </w:tc>
        <w:tc>
          <w:tcPr>
            <w:tcW w:w="1921" w:type="pct"/>
            <w:shd w:val="clear" w:color="auto" w:fill="auto"/>
            <w:vAlign w:val="center"/>
          </w:tcPr>
          <w:p w:rsidR="00CA2089" w:rsidRDefault="00035E4E">
            <w:pPr>
              <w:snapToGrid w:val="0"/>
              <w:jc w:val="center"/>
              <w:rPr>
                <w:color w:val="000000"/>
                <w:szCs w:val="21"/>
              </w:rPr>
            </w:pPr>
            <w:r>
              <w:rPr>
                <w:color w:val="000000"/>
                <w:szCs w:val="21"/>
              </w:rPr>
              <w:t>红细胞</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RCA </w:t>
            </w:r>
          </w:p>
        </w:tc>
        <w:tc>
          <w:tcPr>
            <w:tcW w:w="2364" w:type="pct"/>
            <w:shd w:val="clear" w:color="auto" w:fill="auto"/>
            <w:vAlign w:val="center"/>
          </w:tcPr>
          <w:p w:rsidR="00CA2089" w:rsidRDefault="00035E4E">
            <w:pPr>
              <w:snapToGrid w:val="0"/>
              <w:jc w:val="center"/>
              <w:rPr>
                <w:color w:val="000000"/>
                <w:szCs w:val="21"/>
              </w:rPr>
            </w:pPr>
            <w:r>
              <w:rPr>
                <w:color w:val="000000"/>
                <w:szCs w:val="21"/>
              </w:rPr>
              <w:t>Right Coronary Artery</w:t>
            </w:r>
          </w:p>
        </w:tc>
        <w:tc>
          <w:tcPr>
            <w:tcW w:w="1921" w:type="pct"/>
            <w:shd w:val="clear" w:color="auto" w:fill="auto"/>
            <w:vAlign w:val="center"/>
          </w:tcPr>
          <w:p w:rsidR="00CA2089" w:rsidRDefault="00035E4E">
            <w:pPr>
              <w:snapToGrid w:val="0"/>
              <w:jc w:val="center"/>
              <w:rPr>
                <w:color w:val="000000"/>
                <w:szCs w:val="21"/>
              </w:rPr>
            </w:pPr>
            <w:r>
              <w:rPr>
                <w:color w:val="000000"/>
                <w:szCs w:val="21"/>
              </w:rPr>
              <w:t>右冠状动脉</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lastRenderedPageBreak/>
              <w:t>SAE</w:t>
            </w:r>
          </w:p>
        </w:tc>
        <w:tc>
          <w:tcPr>
            <w:tcW w:w="2364" w:type="pct"/>
            <w:shd w:val="clear" w:color="auto" w:fill="auto"/>
            <w:vAlign w:val="center"/>
          </w:tcPr>
          <w:p w:rsidR="00CA2089" w:rsidRDefault="00035E4E">
            <w:pPr>
              <w:snapToGrid w:val="0"/>
              <w:jc w:val="center"/>
              <w:rPr>
                <w:color w:val="000000"/>
                <w:szCs w:val="21"/>
              </w:rPr>
            </w:pPr>
            <w:r>
              <w:rPr>
                <w:color w:val="000000"/>
                <w:szCs w:val="21"/>
              </w:rPr>
              <w:t>Serious Adverse Event</w:t>
            </w:r>
          </w:p>
        </w:tc>
        <w:tc>
          <w:tcPr>
            <w:tcW w:w="1921" w:type="pct"/>
            <w:shd w:val="clear" w:color="auto" w:fill="auto"/>
            <w:vAlign w:val="center"/>
          </w:tcPr>
          <w:p w:rsidR="00CA2089" w:rsidRDefault="00035E4E">
            <w:pPr>
              <w:snapToGrid w:val="0"/>
              <w:jc w:val="center"/>
              <w:rPr>
                <w:color w:val="000000"/>
                <w:szCs w:val="21"/>
              </w:rPr>
            </w:pPr>
            <w:r>
              <w:rPr>
                <w:color w:val="000000"/>
                <w:szCs w:val="21"/>
              </w:rPr>
              <w:t>严重不良事件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SAS</w:t>
            </w:r>
          </w:p>
        </w:tc>
        <w:tc>
          <w:tcPr>
            <w:tcW w:w="2364" w:type="pct"/>
            <w:shd w:val="clear" w:color="auto" w:fill="auto"/>
            <w:vAlign w:val="center"/>
          </w:tcPr>
          <w:p w:rsidR="00CA2089" w:rsidRDefault="00035E4E">
            <w:pPr>
              <w:snapToGrid w:val="0"/>
              <w:jc w:val="center"/>
              <w:rPr>
                <w:color w:val="000000"/>
                <w:szCs w:val="21"/>
              </w:rPr>
            </w:pPr>
            <w:r>
              <w:rPr>
                <w:color w:val="000000"/>
                <w:szCs w:val="21"/>
              </w:rPr>
              <w:t>Statistical Analysis System</w:t>
            </w:r>
          </w:p>
        </w:tc>
        <w:tc>
          <w:tcPr>
            <w:tcW w:w="1921" w:type="pct"/>
            <w:shd w:val="clear" w:color="auto" w:fill="auto"/>
            <w:vAlign w:val="center"/>
          </w:tcPr>
          <w:p w:rsidR="00CA2089" w:rsidRDefault="00035E4E">
            <w:pPr>
              <w:snapToGrid w:val="0"/>
              <w:jc w:val="center"/>
              <w:rPr>
                <w:color w:val="000000"/>
                <w:szCs w:val="21"/>
              </w:rPr>
            </w:pPr>
            <w:r>
              <w:rPr>
                <w:color w:val="000000"/>
                <w:szCs w:val="21"/>
              </w:rPr>
              <w:t>统计分析软件</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Scr</w:t>
            </w:r>
          </w:p>
        </w:tc>
        <w:tc>
          <w:tcPr>
            <w:tcW w:w="2364" w:type="pct"/>
            <w:shd w:val="clear" w:color="auto" w:fill="auto"/>
            <w:vAlign w:val="center"/>
          </w:tcPr>
          <w:p w:rsidR="00CA2089" w:rsidRDefault="00035E4E">
            <w:pPr>
              <w:snapToGrid w:val="0"/>
              <w:jc w:val="center"/>
              <w:rPr>
                <w:color w:val="000000"/>
                <w:szCs w:val="21"/>
              </w:rPr>
            </w:pPr>
            <w:r>
              <w:rPr>
                <w:color w:val="000000"/>
                <w:szCs w:val="21"/>
              </w:rPr>
              <w:t>Blood Creatinine</w:t>
            </w:r>
          </w:p>
        </w:tc>
        <w:tc>
          <w:tcPr>
            <w:tcW w:w="1921" w:type="pct"/>
            <w:shd w:val="clear" w:color="auto" w:fill="auto"/>
            <w:vAlign w:val="center"/>
          </w:tcPr>
          <w:p w:rsidR="00CA2089" w:rsidRDefault="00035E4E">
            <w:pPr>
              <w:snapToGrid w:val="0"/>
              <w:jc w:val="center"/>
              <w:rPr>
                <w:color w:val="000000"/>
                <w:szCs w:val="21"/>
              </w:rPr>
            </w:pPr>
            <w:r>
              <w:rPr>
                <w:rFonts w:hint="eastAsia"/>
                <w:color w:val="000000"/>
                <w:szCs w:val="21"/>
              </w:rPr>
              <w:t>血肌</w:t>
            </w:r>
            <w:proofErr w:type="gramStart"/>
            <w:r>
              <w:rPr>
                <w:rFonts w:hint="eastAsia"/>
                <w:color w:val="000000"/>
                <w:szCs w:val="21"/>
              </w:rPr>
              <w:t>酐</w:t>
            </w:r>
            <w:proofErr w:type="gramEnd"/>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SS</w:t>
            </w:r>
          </w:p>
        </w:tc>
        <w:tc>
          <w:tcPr>
            <w:tcW w:w="2364" w:type="pct"/>
            <w:shd w:val="clear" w:color="auto" w:fill="auto"/>
            <w:vAlign w:val="center"/>
          </w:tcPr>
          <w:p w:rsidR="00CA2089" w:rsidRDefault="00035E4E">
            <w:pPr>
              <w:snapToGrid w:val="0"/>
              <w:jc w:val="center"/>
              <w:rPr>
                <w:color w:val="000000"/>
                <w:szCs w:val="21"/>
              </w:rPr>
            </w:pPr>
            <w:r>
              <w:rPr>
                <w:color w:val="000000"/>
                <w:szCs w:val="21"/>
              </w:rPr>
              <w:t>Safety Set</w:t>
            </w:r>
          </w:p>
        </w:tc>
        <w:tc>
          <w:tcPr>
            <w:tcW w:w="1921" w:type="pct"/>
            <w:shd w:val="clear" w:color="auto" w:fill="auto"/>
            <w:vAlign w:val="center"/>
          </w:tcPr>
          <w:p w:rsidR="00CA2089" w:rsidRDefault="00035E4E">
            <w:pPr>
              <w:snapToGrid w:val="0"/>
              <w:jc w:val="center"/>
              <w:rPr>
                <w:color w:val="000000"/>
                <w:szCs w:val="21"/>
              </w:rPr>
            </w:pPr>
            <w:r>
              <w:rPr>
                <w:color w:val="000000"/>
                <w:szCs w:val="21"/>
              </w:rPr>
              <w:t>安全数据集</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TIA </w:t>
            </w:r>
          </w:p>
        </w:tc>
        <w:tc>
          <w:tcPr>
            <w:tcW w:w="2364" w:type="pct"/>
            <w:shd w:val="clear" w:color="auto" w:fill="auto"/>
            <w:vAlign w:val="center"/>
          </w:tcPr>
          <w:p w:rsidR="00CA2089" w:rsidRDefault="00035E4E">
            <w:pPr>
              <w:snapToGrid w:val="0"/>
              <w:jc w:val="center"/>
              <w:rPr>
                <w:color w:val="000000"/>
                <w:szCs w:val="21"/>
              </w:rPr>
            </w:pPr>
            <w:r>
              <w:rPr>
                <w:color w:val="000000"/>
                <w:szCs w:val="21"/>
              </w:rPr>
              <w:t>Transient Ischemic Attack</w:t>
            </w:r>
          </w:p>
        </w:tc>
        <w:tc>
          <w:tcPr>
            <w:tcW w:w="1921" w:type="pct"/>
            <w:shd w:val="clear" w:color="auto" w:fill="auto"/>
            <w:vAlign w:val="center"/>
          </w:tcPr>
          <w:p w:rsidR="00CA2089" w:rsidRDefault="00035E4E">
            <w:pPr>
              <w:snapToGrid w:val="0"/>
              <w:jc w:val="center"/>
              <w:rPr>
                <w:color w:val="000000"/>
                <w:szCs w:val="21"/>
              </w:rPr>
            </w:pPr>
            <w:r>
              <w:rPr>
                <w:color w:val="000000"/>
                <w:szCs w:val="21"/>
              </w:rPr>
              <w:t>短暂性缺血发作</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TIMI</w:t>
            </w:r>
          </w:p>
        </w:tc>
        <w:tc>
          <w:tcPr>
            <w:tcW w:w="2364" w:type="pct"/>
            <w:shd w:val="clear" w:color="auto" w:fill="auto"/>
            <w:vAlign w:val="center"/>
          </w:tcPr>
          <w:p w:rsidR="00CA2089" w:rsidRDefault="00035E4E">
            <w:pPr>
              <w:snapToGrid w:val="0"/>
              <w:jc w:val="center"/>
              <w:rPr>
                <w:color w:val="000000"/>
                <w:szCs w:val="21"/>
              </w:rPr>
            </w:pPr>
            <w:r>
              <w:rPr>
                <w:color w:val="000000"/>
                <w:szCs w:val="21"/>
              </w:rPr>
              <w:t>Thrombolysis In 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心肌梗死溶栓</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TVMI</w:t>
            </w:r>
          </w:p>
        </w:tc>
        <w:tc>
          <w:tcPr>
            <w:tcW w:w="2364" w:type="pct"/>
            <w:shd w:val="clear" w:color="auto" w:fill="auto"/>
            <w:vAlign w:val="center"/>
          </w:tcPr>
          <w:p w:rsidR="00CA2089" w:rsidRDefault="00035E4E">
            <w:pPr>
              <w:snapToGrid w:val="0"/>
              <w:jc w:val="center"/>
              <w:rPr>
                <w:color w:val="000000"/>
                <w:szCs w:val="21"/>
              </w:rPr>
            </w:pPr>
            <w:r>
              <w:rPr>
                <w:szCs w:val="21"/>
              </w:rPr>
              <w:t>Target Vessel Myocardial Infarction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靶血管心肌梗死</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TVR</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Vessel Revascularization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靶血管血运重建</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TLF </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Lesion Failure</w:t>
            </w:r>
          </w:p>
        </w:tc>
        <w:tc>
          <w:tcPr>
            <w:tcW w:w="1921" w:type="pct"/>
            <w:shd w:val="clear" w:color="auto" w:fill="auto"/>
            <w:vAlign w:val="center"/>
          </w:tcPr>
          <w:p w:rsidR="00CA2089" w:rsidRDefault="00035E4E">
            <w:pPr>
              <w:snapToGrid w:val="0"/>
              <w:jc w:val="center"/>
              <w:rPr>
                <w:color w:val="000000"/>
                <w:szCs w:val="21"/>
              </w:rPr>
            </w:pPr>
            <w:r>
              <w:rPr>
                <w:color w:val="000000"/>
                <w:szCs w:val="21"/>
              </w:rPr>
              <w:t>靶病变失败</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 xml:space="preserve">TLR </w:t>
            </w:r>
          </w:p>
        </w:tc>
        <w:tc>
          <w:tcPr>
            <w:tcW w:w="2364" w:type="pct"/>
            <w:shd w:val="clear" w:color="auto" w:fill="auto"/>
            <w:vAlign w:val="center"/>
          </w:tcPr>
          <w:p w:rsidR="00CA2089" w:rsidRDefault="00035E4E">
            <w:pPr>
              <w:snapToGrid w:val="0"/>
              <w:jc w:val="center"/>
              <w:rPr>
                <w:color w:val="000000"/>
                <w:szCs w:val="21"/>
              </w:rPr>
            </w:pPr>
            <w:r>
              <w:rPr>
                <w:color w:val="000000"/>
                <w:szCs w:val="21"/>
              </w:rPr>
              <w:t>Target Lesion Revascularization</w:t>
            </w:r>
          </w:p>
        </w:tc>
        <w:tc>
          <w:tcPr>
            <w:tcW w:w="1921" w:type="pct"/>
            <w:shd w:val="clear" w:color="auto" w:fill="auto"/>
            <w:vAlign w:val="center"/>
          </w:tcPr>
          <w:p w:rsidR="00CA2089" w:rsidRDefault="00035E4E">
            <w:pPr>
              <w:snapToGrid w:val="0"/>
              <w:jc w:val="center"/>
              <w:rPr>
                <w:color w:val="000000"/>
                <w:szCs w:val="21"/>
              </w:rPr>
            </w:pPr>
            <w:r>
              <w:rPr>
                <w:color w:val="000000"/>
                <w:szCs w:val="21"/>
              </w:rPr>
              <w:t>靶病变血运重建</w:t>
            </w:r>
          </w:p>
        </w:tc>
      </w:tr>
      <w:tr w:rsidR="00CA2089">
        <w:trPr>
          <w:trHeight w:val="62"/>
        </w:trPr>
        <w:tc>
          <w:tcPr>
            <w:tcW w:w="715" w:type="pct"/>
            <w:shd w:val="clear" w:color="000000" w:fill="F2F2F2"/>
            <w:vAlign w:val="center"/>
          </w:tcPr>
          <w:p w:rsidR="00CA2089" w:rsidRDefault="00035E4E">
            <w:pPr>
              <w:snapToGrid w:val="0"/>
              <w:jc w:val="center"/>
              <w:rPr>
                <w:color w:val="000000"/>
                <w:szCs w:val="21"/>
              </w:rPr>
            </w:pPr>
            <w:r>
              <w:rPr>
                <w:color w:val="000000"/>
                <w:szCs w:val="21"/>
              </w:rPr>
              <w:t>WBC</w:t>
            </w:r>
          </w:p>
        </w:tc>
        <w:tc>
          <w:tcPr>
            <w:tcW w:w="2364" w:type="pct"/>
            <w:shd w:val="clear" w:color="auto" w:fill="auto"/>
            <w:vAlign w:val="center"/>
          </w:tcPr>
          <w:p w:rsidR="00CA2089" w:rsidRDefault="00035E4E">
            <w:pPr>
              <w:snapToGrid w:val="0"/>
              <w:jc w:val="center"/>
              <w:rPr>
                <w:color w:val="000000"/>
                <w:szCs w:val="21"/>
              </w:rPr>
            </w:pPr>
            <w:r>
              <w:rPr>
                <w:color w:val="000000"/>
                <w:szCs w:val="21"/>
              </w:rPr>
              <w:t>White Blood Cell</w:t>
            </w:r>
          </w:p>
        </w:tc>
        <w:tc>
          <w:tcPr>
            <w:tcW w:w="1921" w:type="pct"/>
            <w:shd w:val="clear" w:color="auto" w:fill="auto"/>
            <w:vAlign w:val="center"/>
          </w:tcPr>
          <w:p w:rsidR="00CA2089" w:rsidRDefault="00035E4E">
            <w:pPr>
              <w:snapToGrid w:val="0"/>
              <w:jc w:val="center"/>
              <w:rPr>
                <w:color w:val="000000"/>
                <w:szCs w:val="21"/>
              </w:rPr>
            </w:pPr>
            <w:r>
              <w:rPr>
                <w:color w:val="000000"/>
                <w:szCs w:val="21"/>
              </w:rPr>
              <w:t>白细胞</w:t>
            </w:r>
          </w:p>
        </w:tc>
      </w:tr>
    </w:tbl>
    <w:p w:rsidR="00CA2089" w:rsidRDefault="00CA2089">
      <w:pPr>
        <w:pStyle w:val="a6"/>
        <w:spacing w:after="0" w:line="360" w:lineRule="auto"/>
        <w:ind w:firstLineChars="200" w:firstLine="560"/>
        <w:rPr>
          <w:rFonts w:ascii="Times New Roman" w:eastAsia="宋体" w:hAnsi="Times New Roman" w:cs="Times New Roman"/>
          <w:sz w:val="28"/>
          <w:szCs w:val="28"/>
        </w:rPr>
        <w:sectPr w:rsidR="00CA2089">
          <w:footerReference w:type="default" r:id="rId14"/>
          <w:pgSz w:w="11906" w:h="16838"/>
          <w:pgMar w:top="1928" w:right="1531" w:bottom="1814" w:left="1531" w:header="1077" w:footer="1361" w:gutter="0"/>
          <w:pgNumType w:fmt="upperRoman" w:start="1"/>
          <w:cols w:space="720"/>
          <w:docGrid w:type="lines" w:linePitch="312"/>
        </w:sectPr>
      </w:pP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7" w:name="_Toc134753796"/>
      <w:bookmarkStart w:id="18" w:name="_Toc21532"/>
      <w:r>
        <w:rPr>
          <w:rFonts w:ascii="Times New Roman" w:eastAsia="宋体" w:hAnsi="Times New Roman" w:cs="Times New Roman"/>
          <w:b/>
          <w:bCs/>
          <w:sz w:val="28"/>
          <w:szCs w:val="28"/>
        </w:rPr>
        <w:lastRenderedPageBreak/>
        <w:t>一、申办者信息</w:t>
      </w:r>
      <w:bookmarkEnd w:id="17"/>
      <w:bookmarkEnd w:id="18"/>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19" w:name="_Toc134753797"/>
      <w:r>
        <w:rPr>
          <w:rFonts w:ascii="Times New Roman" w:eastAsia="宋体" w:hAnsi="Times New Roman" w:cs="Times New Roman"/>
          <w:sz w:val="28"/>
          <w:szCs w:val="28"/>
        </w:rPr>
        <w:t>（一）申办者名称</w:t>
      </w:r>
      <w:bookmarkEnd w:id="19"/>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上海科亚方舟医疗科技有限公司</w:t>
      </w:r>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20" w:name="_Toc134753798"/>
      <w:r>
        <w:rPr>
          <w:rFonts w:ascii="Times New Roman" w:eastAsia="宋体" w:hAnsi="Times New Roman" w:cs="Times New Roman"/>
          <w:sz w:val="28"/>
          <w:szCs w:val="28"/>
        </w:rPr>
        <w:t>（二）申办者地址</w:t>
      </w:r>
      <w:bookmarkEnd w:id="20"/>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中国（上海）自由贸易试验区郭守敬路</w:t>
      </w:r>
      <w:r>
        <w:rPr>
          <w:rFonts w:ascii="Times New Roman" w:eastAsia="宋体" w:hAnsi="Times New Roman" w:cs="Times New Roman"/>
          <w:sz w:val="28"/>
          <w:szCs w:val="28"/>
        </w:rPr>
        <w:t>356</w:t>
      </w:r>
      <w:r>
        <w:rPr>
          <w:rFonts w:ascii="Times New Roman" w:eastAsia="宋体" w:hAnsi="Times New Roman" w:cs="Times New Roman"/>
          <w:sz w:val="28"/>
          <w:szCs w:val="28"/>
        </w:rPr>
        <w:t>号</w:t>
      </w:r>
      <w:r>
        <w:rPr>
          <w:rFonts w:ascii="Times New Roman" w:eastAsia="宋体" w:hAnsi="Times New Roman" w:cs="Times New Roman"/>
          <w:sz w:val="28"/>
          <w:szCs w:val="28"/>
        </w:rPr>
        <w:t>3</w:t>
      </w:r>
      <w:r>
        <w:rPr>
          <w:rFonts w:ascii="Times New Roman" w:eastAsia="宋体" w:hAnsi="Times New Roman" w:cs="Times New Roman"/>
          <w:sz w:val="28"/>
          <w:szCs w:val="28"/>
        </w:rPr>
        <w:t>幢一层</w:t>
      </w:r>
      <w:r>
        <w:rPr>
          <w:rFonts w:ascii="Times New Roman" w:eastAsia="宋体" w:hAnsi="Times New Roman" w:cs="Times New Roman"/>
          <w:sz w:val="28"/>
          <w:szCs w:val="28"/>
        </w:rPr>
        <w:t>138-147</w:t>
      </w:r>
      <w:r>
        <w:rPr>
          <w:rFonts w:ascii="Times New Roman" w:eastAsia="宋体" w:hAnsi="Times New Roman" w:cs="Times New Roman"/>
          <w:sz w:val="28"/>
          <w:szCs w:val="28"/>
        </w:rPr>
        <w:t>室</w:t>
      </w:r>
    </w:p>
    <w:p w:rsidR="00CA2089" w:rsidRDefault="00035E4E">
      <w:pPr>
        <w:pStyle w:val="af0"/>
        <w:spacing w:line="360" w:lineRule="auto"/>
        <w:ind w:left="199" w:hangingChars="71" w:hanging="199"/>
        <w:rPr>
          <w:rFonts w:ascii="Times New Roman" w:eastAsia="宋体" w:hAnsi="Times New Roman" w:cs="Times New Roman"/>
          <w:sz w:val="28"/>
          <w:szCs w:val="28"/>
        </w:rPr>
      </w:pPr>
      <w:bookmarkStart w:id="21" w:name="_Toc134753799"/>
      <w:r>
        <w:rPr>
          <w:rFonts w:ascii="Times New Roman" w:eastAsia="宋体" w:hAnsi="Times New Roman" w:cs="Times New Roman"/>
          <w:sz w:val="28"/>
          <w:szCs w:val="28"/>
        </w:rPr>
        <w:t>（三）申办者联系方式</w:t>
      </w:r>
      <w:bookmarkEnd w:id="21"/>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电话：</w:t>
      </w:r>
      <w:r>
        <w:rPr>
          <w:rFonts w:ascii="Times New Roman" w:eastAsia="宋体" w:hAnsi="Times New Roman" w:cs="Times New Roman"/>
          <w:sz w:val="28"/>
          <w:szCs w:val="28"/>
        </w:rPr>
        <w:t>021-58588003</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22" w:name="_Toc5078"/>
      <w:bookmarkStart w:id="23" w:name="_Toc134753800"/>
      <w:r>
        <w:rPr>
          <w:rFonts w:ascii="Times New Roman" w:eastAsia="宋体" w:hAnsi="Times New Roman" w:cs="Times New Roman"/>
          <w:b/>
          <w:bCs/>
          <w:sz w:val="28"/>
          <w:szCs w:val="28"/>
        </w:rPr>
        <w:t>二、临床试验机构和主要研究者信息</w:t>
      </w:r>
      <w:bookmarkEnd w:id="22"/>
      <w:bookmarkEnd w:id="23"/>
    </w:p>
    <w:p w:rsidR="00CA2089" w:rsidRDefault="00035E4E">
      <w:pPr>
        <w:pStyle w:val="af0"/>
        <w:spacing w:line="360" w:lineRule="auto"/>
        <w:ind w:left="0" w:firstLineChars="200" w:firstLine="560"/>
        <w:rPr>
          <w:rFonts w:ascii="Times New Roman" w:eastAsia="宋体" w:hAnsi="Times New Roman" w:cs="Times New Roman"/>
          <w:sz w:val="28"/>
          <w:szCs w:val="28"/>
          <w:highlight w:val="yellow"/>
        </w:rPr>
      </w:pPr>
      <w:r>
        <w:rPr>
          <w:rFonts w:ascii="Times New Roman" w:eastAsia="宋体" w:hAnsi="Times New Roman" w:cs="Times New Roman"/>
          <w:sz w:val="28"/>
          <w:szCs w:val="28"/>
        </w:rPr>
        <w:t>参加本临床试验的医疗器械临床试验机构及研究者的列表作为独立文件。如中心和研究者发生变化，每次改动可无需采用正式修正方案的方式更新名单，可由组长单位保存变更备案，申办者留存一份更新名单，在需要时提供。最终的临床总结报告中提供所有临床试验单位和研究者的最终名单。</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24" w:name="_Toc134753801"/>
      <w:bookmarkStart w:id="25" w:name="_Toc17165"/>
      <w:r>
        <w:rPr>
          <w:rFonts w:ascii="Times New Roman" w:eastAsia="宋体" w:hAnsi="Times New Roman" w:cs="Times New Roman"/>
          <w:b/>
          <w:bCs/>
          <w:sz w:val="28"/>
          <w:szCs w:val="28"/>
        </w:rPr>
        <w:t>三、临床试验的背景资料</w:t>
      </w:r>
      <w:bookmarkEnd w:id="24"/>
      <w:bookmarkEnd w:id="25"/>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26" w:name="_Toc5225"/>
      <w:bookmarkStart w:id="27" w:name="_Toc134753802"/>
      <w:r>
        <w:rPr>
          <w:rFonts w:ascii="Times New Roman" w:eastAsia="宋体" w:hAnsi="Times New Roman" w:cs="Times New Roman"/>
          <w:sz w:val="28"/>
          <w:szCs w:val="28"/>
        </w:rPr>
        <w:t>（一）研发背景</w:t>
      </w:r>
      <w:bookmarkEnd w:id="26"/>
      <w:bookmarkEnd w:id="27"/>
    </w:p>
    <w:p w:rsidR="00CA2089" w:rsidRDefault="00035E4E">
      <w:pPr>
        <w:widowControl/>
        <w:spacing w:line="360" w:lineRule="auto"/>
        <w:ind w:firstLineChars="200" w:firstLine="560"/>
        <w:jc w:val="left"/>
        <w:outlineLvl w:val="2"/>
        <w:rPr>
          <w:sz w:val="28"/>
          <w:szCs w:val="28"/>
          <w:lang w:val="zh-CN"/>
        </w:rPr>
      </w:pPr>
      <w:bookmarkStart w:id="28" w:name="OLE_LINK9"/>
      <w:bookmarkStart w:id="29" w:name="_Toc98347176"/>
      <w:bookmarkStart w:id="30" w:name="_Toc78446093"/>
      <w:r>
        <w:rPr>
          <w:sz w:val="28"/>
          <w:szCs w:val="28"/>
        </w:rPr>
        <w:t>1.</w:t>
      </w:r>
      <w:r>
        <w:rPr>
          <w:sz w:val="28"/>
          <w:szCs w:val="28"/>
          <w:lang w:val="zh-CN"/>
        </w:rPr>
        <w:t>冠状动脉疾病</w:t>
      </w:r>
      <w:bookmarkEnd w:id="28"/>
      <w:r>
        <w:rPr>
          <w:sz w:val="28"/>
          <w:szCs w:val="28"/>
          <w:lang w:val="zh-CN"/>
        </w:rPr>
        <w:t>和目前治疗现状</w:t>
      </w:r>
      <w:bookmarkEnd w:id="29"/>
      <w:bookmarkEnd w:id="30"/>
    </w:p>
    <w:p w:rsidR="00CA2089" w:rsidRDefault="00035E4E">
      <w:pPr>
        <w:widowControl/>
        <w:spacing w:line="360" w:lineRule="auto"/>
        <w:ind w:firstLineChars="200" w:firstLine="560"/>
        <w:jc w:val="left"/>
        <w:rPr>
          <w:sz w:val="28"/>
          <w:szCs w:val="28"/>
        </w:rPr>
      </w:pPr>
      <w:r>
        <w:rPr>
          <w:sz w:val="28"/>
          <w:szCs w:val="28"/>
          <w:lang w:val="zh-CN"/>
        </w:rPr>
        <w:t>冠状动脉钙化（</w:t>
      </w:r>
      <w:r>
        <w:rPr>
          <w:sz w:val="28"/>
          <w:szCs w:val="28"/>
          <w:lang w:val="zh-CN"/>
        </w:rPr>
        <w:t>Coronary Artery Calcification, CAC</w:t>
      </w:r>
      <w:r>
        <w:rPr>
          <w:sz w:val="28"/>
          <w:szCs w:val="28"/>
          <w:lang w:val="zh-CN"/>
        </w:rPr>
        <w:t>）是钙盐异常沉积于冠状动脉（冠脉）血管壁，通常认为是动脉粥样硬化的自然进展过程。</w:t>
      </w:r>
      <w:r>
        <w:rPr>
          <w:sz w:val="28"/>
          <w:szCs w:val="28"/>
        </w:rPr>
        <w:t>高龄、脂质代谢异常、糖尿病、甲状旁腺功能亢进、慢性肾病、肾替代治疗、高钙血症及既往行冠状动脉旁路移植术是冠状动脉钙化病变的高发人群</w:t>
      </w:r>
      <w:r>
        <w:rPr>
          <w:sz w:val="28"/>
          <w:szCs w:val="28"/>
          <w:lang w:val="zh-CN"/>
        </w:rPr>
        <w:t>，</w:t>
      </w:r>
      <w:r>
        <w:rPr>
          <w:sz w:val="28"/>
          <w:szCs w:val="28"/>
        </w:rPr>
        <w:t>冠状动脉狭窄程度越高，通常伴有钙化的概率也越大</w:t>
      </w:r>
      <w:r>
        <w:rPr>
          <w:sz w:val="28"/>
          <w:szCs w:val="28"/>
          <w:lang w:val="zh-CN"/>
        </w:rPr>
        <w:t>。</w:t>
      </w:r>
      <w:r>
        <w:rPr>
          <w:sz w:val="28"/>
          <w:szCs w:val="28"/>
        </w:rPr>
        <w:t>冠</w:t>
      </w:r>
      <w:r>
        <w:rPr>
          <w:sz w:val="28"/>
          <w:szCs w:val="28"/>
        </w:rPr>
        <w:lastRenderedPageBreak/>
        <w:t>状动脉</w:t>
      </w:r>
      <w:r>
        <w:rPr>
          <w:sz w:val="28"/>
          <w:szCs w:val="28"/>
        </w:rPr>
        <w:t>CT</w:t>
      </w:r>
      <w:r>
        <w:rPr>
          <w:sz w:val="28"/>
          <w:szCs w:val="28"/>
        </w:rPr>
        <w:t>血管造影显示狭窄程度＞</w:t>
      </w:r>
      <w:r>
        <w:rPr>
          <w:sz w:val="28"/>
          <w:szCs w:val="28"/>
        </w:rPr>
        <w:t>75%</w:t>
      </w:r>
      <w:r>
        <w:rPr>
          <w:sz w:val="28"/>
          <w:szCs w:val="28"/>
        </w:rPr>
        <w:t>的冠状动脉节段中，</w:t>
      </w:r>
      <w:r>
        <w:rPr>
          <w:sz w:val="28"/>
          <w:szCs w:val="28"/>
        </w:rPr>
        <w:t>54%</w:t>
      </w:r>
      <w:r>
        <w:rPr>
          <w:sz w:val="28"/>
          <w:szCs w:val="28"/>
        </w:rPr>
        <w:t>存在冠状动脉钙化，冠状动脉造影显示约</w:t>
      </w:r>
      <w:r>
        <w:rPr>
          <w:sz w:val="28"/>
          <w:szCs w:val="28"/>
        </w:rPr>
        <w:t>1/3</w:t>
      </w:r>
      <w:r>
        <w:rPr>
          <w:sz w:val="28"/>
          <w:szCs w:val="28"/>
        </w:rPr>
        <w:t>冠状动脉病变中可见中重度钙化病变</w:t>
      </w:r>
      <w:r>
        <w:rPr>
          <w:sz w:val="28"/>
          <w:szCs w:val="28"/>
          <w:vertAlign w:val="superscript"/>
          <w:lang w:val="zh-CN"/>
        </w:rPr>
        <w:t>[</w:t>
      </w:r>
      <w:r>
        <w:rPr>
          <w:sz w:val="28"/>
          <w:szCs w:val="28"/>
          <w:vertAlign w:val="superscript"/>
        </w:rPr>
        <w:t>1</w:t>
      </w:r>
      <w:r>
        <w:rPr>
          <w:sz w:val="28"/>
          <w:szCs w:val="28"/>
          <w:vertAlign w:val="superscript"/>
          <w:lang w:val="zh-CN"/>
        </w:rPr>
        <w:t>]</w:t>
      </w:r>
      <w:r>
        <w:rPr>
          <w:sz w:val="28"/>
          <w:szCs w:val="28"/>
          <w:lang w:val="zh-CN"/>
        </w:rPr>
        <w:t>。</w:t>
      </w:r>
    </w:p>
    <w:p w:rsidR="00CA2089" w:rsidRDefault="00035E4E">
      <w:pPr>
        <w:widowControl/>
        <w:spacing w:line="360" w:lineRule="auto"/>
        <w:ind w:firstLineChars="200" w:firstLine="560"/>
        <w:jc w:val="left"/>
        <w:rPr>
          <w:sz w:val="28"/>
          <w:szCs w:val="28"/>
          <w:lang w:val="zh-CN"/>
        </w:rPr>
      </w:pPr>
      <w:r>
        <w:rPr>
          <w:sz w:val="28"/>
          <w:szCs w:val="28"/>
          <w:lang w:val="zh-CN"/>
        </w:rPr>
        <w:t>经皮冠状动脉介入治疗</w:t>
      </w:r>
      <w:r>
        <w:rPr>
          <w:sz w:val="28"/>
          <w:szCs w:val="28"/>
        </w:rPr>
        <w:t>（</w:t>
      </w:r>
      <w:r>
        <w:rPr>
          <w:sz w:val="28"/>
          <w:szCs w:val="28"/>
        </w:rPr>
        <w:t>Percutaneous coronary intervention, PCI</w:t>
      </w:r>
      <w:r>
        <w:rPr>
          <w:sz w:val="28"/>
          <w:szCs w:val="28"/>
        </w:rPr>
        <w:t>）</w:t>
      </w:r>
      <w:r>
        <w:rPr>
          <w:sz w:val="28"/>
          <w:szCs w:val="28"/>
          <w:lang w:val="zh-CN"/>
        </w:rPr>
        <w:t>联合药物洗脱支架植入是目前临床上针对钙化病变最常用的血运重建手段。</w:t>
      </w:r>
      <w:r>
        <w:rPr>
          <w:sz w:val="28"/>
          <w:szCs w:val="28"/>
        </w:rPr>
        <w:t>但</w:t>
      </w:r>
      <w:r>
        <w:rPr>
          <w:sz w:val="28"/>
          <w:szCs w:val="28"/>
          <w:lang w:val="zh-CN"/>
        </w:rPr>
        <w:t>冠状动脉钙化的数量随着年龄的增长以及心血管危险因素和合并症的存在而增加</w:t>
      </w:r>
      <w:r>
        <w:rPr>
          <w:sz w:val="28"/>
          <w:szCs w:val="28"/>
          <w:vertAlign w:val="superscript"/>
          <w:lang w:val="zh-CN"/>
        </w:rPr>
        <w:t>[</w:t>
      </w:r>
      <w:r>
        <w:rPr>
          <w:sz w:val="28"/>
          <w:szCs w:val="28"/>
          <w:vertAlign w:val="superscript"/>
        </w:rPr>
        <w:t>2</w:t>
      </w:r>
      <w:r>
        <w:rPr>
          <w:sz w:val="28"/>
          <w:szCs w:val="28"/>
          <w:vertAlign w:val="superscript"/>
          <w:lang w:val="zh-CN"/>
        </w:rPr>
        <w:t>]</w:t>
      </w:r>
      <w:r>
        <w:rPr>
          <w:sz w:val="28"/>
          <w:szCs w:val="28"/>
          <w:lang w:val="zh-CN"/>
        </w:rPr>
        <w:t>。</w:t>
      </w:r>
      <w:r>
        <w:rPr>
          <w:rFonts w:hint="eastAsia"/>
          <w:sz w:val="28"/>
          <w:szCs w:val="28"/>
          <w:lang w:val="zh-CN"/>
        </w:rPr>
        <w:t>高达</w:t>
      </w:r>
      <w:r>
        <w:rPr>
          <w:rFonts w:hint="eastAsia"/>
          <w:sz w:val="28"/>
          <w:szCs w:val="28"/>
          <w:lang w:val="zh-CN"/>
        </w:rPr>
        <w:t>20%</w:t>
      </w:r>
      <w:r>
        <w:rPr>
          <w:rFonts w:hint="eastAsia"/>
          <w:sz w:val="28"/>
          <w:szCs w:val="28"/>
          <w:lang w:val="zh-CN"/>
        </w:rPr>
        <w:t>的经皮冠状动脉介入治疗（</w:t>
      </w:r>
      <w:r>
        <w:rPr>
          <w:rFonts w:hint="eastAsia"/>
          <w:sz w:val="28"/>
          <w:szCs w:val="28"/>
          <w:lang w:val="zh-CN"/>
        </w:rPr>
        <w:t>PCI</w:t>
      </w:r>
      <w:r>
        <w:rPr>
          <w:rFonts w:hint="eastAsia"/>
          <w:sz w:val="28"/>
          <w:szCs w:val="28"/>
          <w:lang w:val="zh-CN"/>
        </w:rPr>
        <w:t>）手术会受到严重钙化的影响，冠状动脉钙化已被证明是</w:t>
      </w:r>
      <w:r>
        <w:rPr>
          <w:rFonts w:hint="eastAsia"/>
          <w:sz w:val="28"/>
          <w:szCs w:val="28"/>
          <w:lang w:val="zh-CN"/>
        </w:rPr>
        <w:t>PCI</w:t>
      </w:r>
      <w:r>
        <w:rPr>
          <w:rFonts w:hint="eastAsia"/>
          <w:sz w:val="28"/>
          <w:szCs w:val="28"/>
          <w:lang w:val="zh-CN"/>
        </w:rPr>
        <w:t>失败和未来不良心血管事件的独立预测因素</w:t>
      </w:r>
      <w:r>
        <w:rPr>
          <w:sz w:val="28"/>
          <w:szCs w:val="28"/>
          <w:lang w:val="zh-CN"/>
        </w:rPr>
        <w:t>。病变钙化增加了手术的复杂性和时间。更具体地说，钙化的定位（浅表或深部）、分布（局灶性、周向和纵向延伸）和厚度影响了手术成功、支架输送和部署</w:t>
      </w:r>
      <w:r>
        <w:rPr>
          <w:sz w:val="28"/>
          <w:szCs w:val="28"/>
          <w:vertAlign w:val="superscript"/>
          <w:lang w:val="zh-CN"/>
        </w:rPr>
        <w:t>[</w:t>
      </w:r>
      <w:r>
        <w:rPr>
          <w:sz w:val="28"/>
          <w:szCs w:val="28"/>
          <w:vertAlign w:val="superscript"/>
        </w:rPr>
        <w:t>2</w:t>
      </w:r>
      <w:r>
        <w:rPr>
          <w:sz w:val="28"/>
          <w:szCs w:val="28"/>
          <w:vertAlign w:val="superscript"/>
          <w:lang w:val="zh-CN"/>
        </w:rPr>
        <w:t>-</w:t>
      </w:r>
      <w:r>
        <w:rPr>
          <w:sz w:val="28"/>
          <w:szCs w:val="28"/>
          <w:vertAlign w:val="superscript"/>
        </w:rPr>
        <w:t>5</w:t>
      </w:r>
      <w:r>
        <w:rPr>
          <w:sz w:val="28"/>
          <w:szCs w:val="28"/>
          <w:vertAlign w:val="superscript"/>
          <w:lang w:val="zh-CN"/>
        </w:rPr>
        <w:t>]</w:t>
      </w:r>
      <w:r>
        <w:rPr>
          <w:sz w:val="28"/>
          <w:szCs w:val="28"/>
          <w:lang w:val="zh-CN"/>
        </w:rPr>
        <w:t>。</w:t>
      </w:r>
    </w:p>
    <w:p w:rsidR="00CA2089" w:rsidRDefault="00035E4E">
      <w:pPr>
        <w:widowControl/>
        <w:spacing w:line="360" w:lineRule="auto"/>
        <w:ind w:firstLineChars="200" w:firstLine="560"/>
        <w:jc w:val="left"/>
        <w:outlineLvl w:val="2"/>
        <w:rPr>
          <w:sz w:val="28"/>
          <w:szCs w:val="28"/>
        </w:rPr>
      </w:pPr>
      <w:bookmarkStart w:id="31" w:name="_Toc98347177"/>
      <w:bookmarkStart w:id="32" w:name="_Toc78446094"/>
      <w:r>
        <w:rPr>
          <w:sz w:val="28"/>
          <w:szCs w:val="28"/>
        </w:rPr>
        <w:t>2.</w:t>
      </w:r>
      <w:r>
        <w:rPr>
          <w:sz w:val="28"/>
          <w:szCs w:val="28"/>
        </w:rPr>
        <w:t>血管内震波碎石（</w:t>
      </w:r>
      <w:r>
        <w:rPr>
          <w:sz w:val="28"/>
          <w:szCs w:val="28"/>
        </w:rPr>
        <w:t>IVL</w:t>
      </w:r>
      <w:r>
        <w:rPr>
          <w:sz w:val="28"/>
          <w:szCs w:val="28"/>
        </w:rPr>
        <w:t>）技术</w:t>
      </w:r>
      <w:bookmarkEnd w:id="31"/>
      <w:bookmarkEnd w:id="32"/>
    </w:p>
    <w:p w:rsidR="00CA2089" w:rsidRDefault="00035E4E">
      <w:pPr>
        <w:widowControl/>
        <w:spacing w:line="360" w:lineRule="auto"/>
        <w:ind w:firstLineChars="200" w:firstLine="560"/>
        <w:jc w:val="left"/>
        <w:rPr>
          <w:sz w:val="28"/>
          <w:szCs w:val="28"/>
        </w:rPr>
      </w:pPr>
      <w:r>
        <w:rPr>
          <w:sz w:val="28"/>
          <w:szCs w:val="28"/>
        </w:rPr>
        <w:t>血管内震波碎石（</w:t>
      </w:r>
      <w:r>
        <w:rPr>
          <w:sz w:val="28"/>
          <w:szCs w:val="28"/>
        </w:rPr>
        <w:t>Intravascular Lithotripsy</w:t>
      </w:r>
      <w:r>
        <w:rPr>
          <w:sz w:val="28"/>
          <w:szCs w:val="28"/>
        </w:rPr>
        <w:t>，</w:t>
      </w:r>
      <w:r>
        <w:rPr>
          <w:sz w:val="28"/>
          <w:szCs w:val="28"/>
        </w:rPr>
        <w:t>IVL</w:t>
      </w:r>
      <w:r>
        <w:rPr>
          <w:sz w:val="28"/>
          <w:szCs w:val="28"/>
        </w:rPr>
        <w:t>）技术是基于用于治疗肾结石和输尿管结石的碎石术概念，研究人员开发出的一种破坏钙的替代方法。</w:t>
      </w:r>
      <w:bookmarkStart w:id="33" w:name="_Toc98347178"/>
      <w:bookmarkStart w:id="34" w:name="_Toc78446095"/>
      <w:r>
        <w:rPr>
          <w:sz w:val="28"/>
          <w:szCs w:val="28"/>
        </w:rPr>
        <w:t>IVL</w:t>
      </w:r>
      <w:r>
        <w:rPr>
          <w:sz w:val="28"/>
          <w:szCs w:val="28"/>
        </w:rPr>
        <w:t>技术可以不依赖于直接的血管组织损伤来修复斑块，而是依靠声波，声波从基于球囊的导管传播到周围组织。该技术可以安全、有选择地破坏浅层和深层钙沉积，最大限度地减少软组织损伤，同时改善血管顺应性。与减</w:t>
      </w:r>
      <w:proofErr w:type="gramStart"/>
      <w:r>
        <w:rPr>
          <w:sz w:val="28"/>
          <w:szCs w:val="28"/>
        </w:rPr>
        <w:t>胀技术</w:t>
      </w:r>
      <w:proofErr w:type="gramEnd"/>
      <w:r>
        <w:rPr>
          <w:sz w:val="28"/>
          <w:szCs w:val="28"/>
        </w:rPr>
        <w:t>相比，</w:t>
      </w:r>
      <w:r>
        <w:rPr>
          <w:sz w:val="28"/>
          <w:szCs w:val="28"/>
        </w:rPr>
        <w:t>IVL</w:t>
      </w:r>
      <w:r>
        <w:rPr>
          <w:sz w:val="28"/>
          <w:szCs w:val="28"/>
        </w:rPr>
        <w:t>治疗产生的钙碎片保持原位，降低了远端栓塞的可能性。在前瞻性单臂研究中，</w:t>
      </w:r>
      <w:r>
        <w:rPr>
          <w:sz w:val="28"/>
          <w:szCs w:val="28"/>
        </w:rPr>
        <w:t>IVL</w:t>
      </w:r>
      <w:r>
        <w:rPr>
          <w:sz w:val="28"/>
          <w:szCs w:val="28"/>
        </w:rPr>
        <w:t>技术在治疗动脉疾病中中度至重度钙化病变时可使血管损伤将至最低，且其安全性和有效性已得到了证明。</w:t>
      </w:r>
    </w:p>
    <w:p w:rsidR="00CA2089" w:rsidRDefault="00035E4E">
      <w:pPr>
        <w:widowControl/>
        <w:spacing w:line="360" w:lineRule="auto"/>
        <w:ind w:firstLineChars="200" w:firstLine="560"/>
        <w:jc w:val="left"/>
        <w:outlineLvl w:val="2"/>
        <w:rPr>
          <w:sz w:val="28"/>
          <w:szCs w:val="28"/>
        </w:rPr>
      </w:pPr>
      <w:bookmarkStart w:id="35" w:name="_Toc78446096"/>
      <w:bookmarkStart w:id="36" w:name="_Toc98347179"/>
      <w:bookmarkStart w:id="37" w:name="_Hlk97211317"/>
      <w:bookmarkEnd w:id="33"/>
      <w:bookmarkEnd w:id="34"/>
      <w:r>
        <w:rPr>
          <w:sz w:val="28"/>
          <w:szCs w:val="28"/>
        </w:rPr>
        <w:lastRenderedPageBreak/>
        <w:t>3.</w:t>
      </w:r>
      <w:bookmarkEnd w:id="35"/>
      <w:bookmarkEnd w:id="36"/>
      <w:r>
        <w:rPr>
          <w:sz w:val="28"/>
          <w:szCs w:val="28"/>
        </w:rPr>
        <w:t>血管内冲击波治疗设备</w:t>
      </w:r>
      <w:r>
        <w:rPr>
          <w:rFonts w:hint="eastAsia"/>
          <w:sz w:val="28"/>
          <w:szCs w:val="28"/>
        </w:rPr>
        <w:t>和</w:t>
      </w:r>
      <w:r>
        <w:rPr>
          <w:sz w:val="28"/>
          <w:szCs w:val="28"/>
        </w:rPr>
        <w:t>震波球囊扩张导管</w:t>
      </w:r>
    </w:p>
    <w:p w:rsidR="00CA2089" w:rsidRDefault="00035E4E">
      <w:pPr>
        <w:spacing w:line="360" w:lineRule="auto"/>
        <w:ind w:firstLineChars="200" w:firstLine="560"/>
        <w:rPr>
          <w:sz w:val="28"/>
          <w:szCs w:val="28"/>
        </w:rPr>
      </w:pPr>
      <w:r>
        <w:rPr>
          <w:sz w:val="28"/>
          <w:szCs w:val="28"/>
        </w:rPr>
        <w:t>上海科亚方舟医疗科技有限公司生产的血管内冲击波治疗设备</w:t>
      </w:r>
      <w:r>
        <w:rPr>
          <w:rFonts w:hint="eastAsia"/>
          <w:sz w:val="28"/>
          <w:szCs w:val="28"/>
        </w:rPr>
        <w:t>和</w:t>
      </w:r>
      <w:r>
        <w:rPr>
          <w:sz w:val="28"/>
          <w:szCs w:val="28"/>
        </w:rPr>
        <w:t>震波球囊扩张导管适用于中、重度钙化、原发性的冠状动脉狭窄。该产品是一种专用于冠脉动脉钙化血管病变的装置，该装置被输送到冠状动脉的钙化狭窄部位。在目标治疗部位范围内产生声压脉冲输出，破坏病变内的钙化组织，随后可使用低球囊压力扩张冠状动脉狭窄，并进一步采取其他的干预。</w:t>
      </w:r>
    </w:p>
    <w:p w:rsidR="00CA2089" w:rsidRDefault="00035E4E">
      <w:pPr>
        <w:widowControl/>
        <w:spacing w:line="360" w:lineRule="auto"/>
        <w:ind w:firstLineChars="200" w:firstLine="560"/>
        <w:jc w:val="left"/>
        <w:rPr>
          <w:sz w:val="28"/>
          <w:szCs w:val="28"/>
        </w:rPr>
      </w:pPr>
      <w:r>
        <w:rPr>
          <w:sz w:val="28"/>
          <w:szCs w:val="28"/>
        </w:rPr>
        <w:t>上海科亚方舟医疗科技有限公司已完成血管内冲击波治疗设备</w:t>
      </w:r>
      <w:r>
        <w:rPr>
          <w:rFonts w:hint="eastAsia"/>
          <w:sz w:val="28"/>
          <w:szCs w:val="28"/>
        </w:rPr>
        <w:t>和</w:t>
      </w:r>
      <w:r>
        <w:rPr>
          <w:sz w:val="28"/>
          <w:szCs w:val="28"/>
        </w:rPr>
        <w:t>震波球囊扩张导管的临床前准备工作，包括但不限于产品风险收益分析、性能验证、动物实验报告、产品自测检验报告等，证明该装置在物理性能、化学性能、生物学性能、电气性能等方面均符合安全标准，按《医疗器械监督管理条例》（国务院令第</w:t>
      </w:r>
      <w:r>
        <w:rPr>
          <w:sz w:val="28"/>
          <w:szCs w:val="28"/>
        </w:rPr>
        <w:t>739</w:t>
      </w:r>
      <w:r>
        <w:rPr>
          <w:sz w:val="28"/>
          <w:szCs w:val="28"/>
        </w:rPr>
        <w:t>号）及《医疗器械临床试验质量管理规范（</w:t>
      </w:r>
      <w:r>
        <w:rPr>
          <w:sz w:val="28"/>
          <w:szCs w:val="28"/>
        </w:rPr>
        <w:t>2022</w:t>
      </w:r>
      <w:r>
        <w:rPr>
          <w:sz w:val="28"/>
          <w:szCs w:val="28"/>
        </w:rPr>
        <w:t>年第</w:t>
      </w:r>
      <w:r>
        <w:rPr>
          <w:sz w:val="28"/>
          <w:szCs w:val="28"/>
        </w:rPr>
        <w:t>28</w:t>
      </w:r>
      <w:r>
        <w:rPr>
          <w:sz w:val="28"/>
          <w:szCs w:val="28"/>
        </w:rPr>
        <w:t>号）》的要求，血管内冲击波治疗设备</w:t>
      </w:r>
      <w:r>
        <w:rPr>
          <w:rFonts w:hint="eastAsia"/>
          <w:sz w:val="28"/>
          <w:szCs w:val="28"/>
        </w:rPr>
        <w:t>和</w:t>
      </w:r>
      <w:r>
        <w:rPr>
          <w:sz w:val="28"/>
          <w:szCs w:val="28"/>
        </w:rPr>
        <w:t>震波球囊扩张导管已具备实施临床试验的条件。</w:t>
      </w:r>
      <w:bookmarkEnd w:id="37"/>
      <w:r>
        <w:rPr>
          <w:sz w:val="28"/>
          <w:szCs w:val="28"/>
        </w:rPr>
        <w:t xml:space="preserve"> </w:t>
      </w:r>
    </w:p>
    <w:p w:rsidR="00CA2089" w:rsidRDefault="00035E4E">
      <w:pPr>
        <w:widowControl/>
        <w:spacing w:line="360" w:lineRule="auto"/>
        <w:ind w:firstLineChars="200" w:firstLine="560"/>
        <w:jc w:val="left"/>
        <w:rPr>
          <w:sz w:val="28"/>
          <w:szCs w:val="28"/>
        </w:rPr>
      </w:pPr>
      <w:r>
        <w:rPr>
          <w:sz w:val="28"/>
          <w:szCs w:val="28"/>
        </w:rPr>
        <w:t>基于以上条件，计划实施一项前瞻性、多中心、单组目标值临床试验，评价血管内冲击波治疗设备</w:t>
      </w:r>
      <w:r>
        <w:rPr>
          <w:rFonts w:hint="eastAsia"/>
          <w:sz w:val="28"/>
          <w:szCs w:val="28"/>
        </w:rPr>
        <w:t>和</w:t>
      </w:r>
      <w:r>
        <w:rPr>
          <w:sz w:val="28"/>
          <w:szCs w:val="28"/>
        </w:rPr>
        <w:t>震波球囊扩张导管用于冠状动脉钙化病变部位的安全性和有效性。</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38" w:name="_Toc17600"/>
      <w:bookmarkStart w:id="39" w:name="_Toc134753803"/>
      <w:r>
        <w:rPr>
          <w:rFonts w:ascii="Times New Roman" w:eastAsia="宋体" w:hAnsi="Times New Roman" w:cs="Times New Roman"/>
          <w:sz w:val="28"/>
          <w:szCs w:val="28"/>
        </w:rPr>
        <w:t>（二）产品基本信息</w:t>
      </w:r>
      <w:bookmarkEnd w:id="38"/>
      <w:bookmarkEnd w:id="39"/>
    </w:p>
    <w:p w:rsidR="00CA2089" w:rsidRDefault="00035E4E">
      <w:pPr>
        <w:widowControl/>
        <w:spacing w:line="360" w:lineRule="auto"/>
        <w:ind w:firstLineChars="200" w:firstLine="560"/>
        <w:jc w:val="left"/>
        <w:rPr>
          <w:sz w:val="28"/>
          <w:szCs w:val="28"/>
        </w:rPr>
      </w:pPr>
      <w:r>
        <w:rPr>
          <w:sz w:val="28"/>
          <w:szCs w:val="28"/>
        </w:rPr>
        <w:t>血管内冲击波治疗设备和震波球囊扩张导管由血管内冲击波治疗设备</w:t>
      </w:r>
      <w:r>
        <w:rPr>
          <w:rFonts w:hint="eastAsia"/>
          <w:sz w:val="28"/>
          <w:szCs w:val="28"/>
        </w:rPr>
        <w:t>和</w:t>
      </w:r>
      <w:r>
        <w:rPr>
          <w:sz w:val="28"/>
          <w:szCs w:val="28"/>
        </w:rPr>
        <w:t>震波球囊扩张导管组成。血管内冲击波治疗设备由主机、电源线、手柄组成（请参阅图</w:t>
      </w:r>
      <w:r>
        <w:rPr>
          <w:sz w:val="28"/>
          <w:szCs w:val="28"/>
        </w:rPr>
        <w:t>1</w:t>
      </w:r>
      <w:r>
        <w:rPr>
          <w:sz w:val="28"/>
          <w:szCs w:val="28"/>
        </w:rPr>
        <w:t>）。设备采用血管腔内碎石技术，该技术是一种</w:t>
      </w:r>
      <w:r>
        <w:rPr>
          <w:sz w:val="28"/>
          <w:szCs w:val="28"/>
        </w:rPr>
        <w:lastRenderedPageBreak/>
        <w:t>血管钙化病变预处理手段，其工作原理与超声碎石相似。设备配合本公司提供的震波球囊扩张导管，利用液电效应原理产生震波（超声波脉冲，又称冲击波），以震波能量对钙化病变进行精准的碎裂。震波可以造成钙化病变内碎裂，从而使钙化斑块松动。</w:t>
      </w:r>
    </w:p>
    <w:p w:rsidR="00CA2089" w:rsidRDefault="00CA2089">
      <w:pPr>
        <w:widowControl/>
        <w:spacing w:line="360" w:lineRule="auto"/>
        <w:ind w:firstLineChars="200" w:firstLine="560"/>
        <w:jc w:val="left"/>
        <w:rPr>
          <w:sz w:val="28"/>
          <w:szCs w:val="28"/>
        </w:rPr>
      </w:pPr>
    </w:p>
    <w:p w:rsidR="00CA2089" w:rsidRDefault="00035E4E">
      <w:pPr>
        <w:widowControl/>
        <w:spacing w:line="360" w:lineRule="auto"/>
        <w:jc w:val="left"/>
        <w:rPr>
          <w:sz w:val="28"/>
          <w:szCs w:val="28"/>
        </w:rPr>
      </w:pPr>
      <w:r>
        <w:rPr>
          <w:noProof/>
          <w:szCs w:val="21"/>
        </w:rPr>
        <w:drawing>
          <wp:inline distT="0" distB="0" distL="114300" distR="114300">
            <wp:extent cx="5110480" cy="1555115"/>
            <wp:effectExtent l="0" t="0" r="7620" b="6985"/>
            <wp:docPr id="40" name="图片 3" descr="169285228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1692852281339"/>
                    <pic:cNvPicPr>
                      <a:picLocks noChangeAspect="1"/>
                    </pic:cNvPicPr>
                  </pic:nvPicPr>
                  <pic:blipFill>
                    <a:blip r:embed="rId15"/>
                    <a:stretch>
                      <a:fillRect/>
                    </a:stretch>
                  </pic:blipFill>
                  <pic:spPr>
                    <a:xfrm>
                      <a:off x="0" y="0"/>
                      <a:ext cx="5110480" cy="1555115"/>
                    </a:xfrm>
                    <a:prstGeom prst="rect">
                      <a:avLst/>
                    </a:prstGeom>
                    <a:noFill/>
                    <a:ln>
                      <a:noFill/>
                    </a:ln>
                  </pic:spPr>
                </pic:pic>
              </a:graphicData>
            </a:graphic>
          </wp:inline>
        </w:drawing>
      </w:r>
    </w:p>
    <w:p w:rsidR="00CA2089" w:rsidRDefault="00CA2089">
      <w:pPr>
        <w:pStyle w:val="af0"/>
        <w:spacing w:line="360" w:lineRule="auto"/>
        <w:ind w:left="0" w:firstLineChars="0" w:firstLine="0"/>
        <w:rPr>
          <w:rFonts w:ascii="Times New Roman" w:eastAsia="宋体" w:hAnsi="Times New Roman" w:cs="Times New Roman"/>
          <w:sz w:val="28"/>
          <w:szCs w:val="28"/>
        </w:rPr>
      </w:pPr>
    </w:p>
    <w:p w:rsidR="00CA2089" w:rsidRDefault="00035E4E">
      <w:pPr>
        <w:widowControl/>
        <w:spacing w:line="360" w:lineRule="auto"/>
        <w:jc w:val="center"/>
        <w:rPr>
          <w:color w:val="231F20"/>
          <w:kern w:val="0"/>
          <w:sz w:val="24"/>
          <w:lang w:bidi="ar"/>
        </w:rPr>
      </w:pPr>
      <w:r>
        <w:rPr>
          <w:color w:val="231F20"/>
          <w:kern w:val="0"/>
          <w:sz w:val="24"/>
          <w:lang w:bidi="ar"/>
        </w:rPr>
        <w:t>图</w:t>
      </w:r>
      <w:r>
        <w:rPr>
          <w:color w:val="231F20"/>
          <w:kern w:val="0"/>
          <w:sz w:val="24"/>
          <w:lang w:bidi="ar"/>
        </w:rPr>
        <w:t>1</w:t>
      </w:r>
      <w:r>
        <w:rPr>
          <w:color w:val="231F20"/>
          <w:kern w:val="0"/>
          <w:sz w:val="24"/>
          <w:lang w:bidi="ar"/>
        </w:rPr>
        <w:t>主机使用连接图</w:t>
      </w:r>
    </w:p>
    <w:p w:rsidR="00CA2089" w:rsidRDefault="00CA2089">
      <w:pPr>
        <w:widowControl/>
        <w:spacing w:line="360" w:lineRule="auto"/>
        <w:jc w:val="center"/>
        <w:rPr>
          <w:color w:val="231F20"/>
          <w:kern w:val="0"/>
          <w:sz w:val="28"/>
          <w:szCs w:val="28"/>
          <w:lang w:bidi="ar"/>
        </w:rPr>
      </w:pPr>
    </w:p>
    <w:p w:rsidR="00CA2089" w:rsidRDefault="00035E4E">
      <w:pPr>
        <w:widowControl/>
        <w:spacing w:line="360" w:lineRule="auto"/>
        <w:ind w:firstLineChars="200" w:firstLine="560"/>
        <w:rPr>
          <w:sz w:val="28"/>
          <w:szCs w:val="28"/>
        </w:rPr>
      </w:pPr>
      <w:r>
        <w:rPr>
          <w:sz w:val="28"/>
          <w:szCs w:val="28"/>
        </w:rPr>
        <w:t>震波球囊扩张导管是一种专用于冠脉动脉钙化血管病变的装置，该装置被输送到冠状动脉的钙化狭窄部位。在目标治疗部位范围内产生声压脉冲输出，破坏病变内的钙化组织，随后可使用低球囊压力扩张冠状动脉狭窄，并进一步采取其他的干预。震波球囊扩张导管为快速交换（</w:t>
      </w:r>
      <w:r>
        <w:rPr>
          <w:sz w:val="28"/>
          <w:szCs w:val="28"/>
        </w:rPr>
        <w:t>RX</w:t>
      </w:r>
      <w:r>
        <w:rPr>
          <w:sz w:val="28"/>
          <w:szCs w:val="28"/>
        </w:rPr>
        <w:t>）型，由超软管、球囊、内管、电极、海波管、近外管、扩散应力管、</w:t>
      </w:r>
      <w:r>
        <w:rPr>
          <w:sz w:val="28"/>
          <w:szCs w:val="28"/>
        </w:rPr>
        <w:t>Y</w:t>
      </w:r>
      <w:r>
        <w:rPr>
          <w:sz w:val="28"/>
          <w:szCs w:val="28"/>
        </w:rPr>
        <w:t>形连接件、快插头等组成。震波球囊扩张导管与</w:t>
      </w:r>
      <w:r>
        <w:rPr>
          <w:sz w:val="28"/>
          <w:szCs w:val="28"/>
        </w:rPr>
        <w:t xml:space="preserve"> 5Fr</w:t>
      </w:r>
      <w:r>
        <w:rPr>
          <w:sz w:val="28"/>
          <w:szCs w:val="28"/>
        </w:rPr>
        <w:t>及以上导引导管、</w:t>
      </w:r>
      <w:r>
        <w:rPr>
          <w:sz w:val="28"/>
          <w:szCs w:val="28"/>
        </w:rPr>
        <w:t>0.014</w:t>
      </w:r>
      <w:proofErr w:type="gramStart"/>
      <w:r>
        <w:rPr>
          <w:sz w:val="28"/>
          <w:szCs w:val="28"/>
        </w:rPr>
        <w:t>”</w:t>
      </w:r>
      <w:proofErr w:type="gramEnd"/>
      <w:r>
        <w:rPr>
          <w:sz w:val="28"/>
          <w:szCs w:val="28"/>
        </w:rPr>
        <w:t>导丝兼容，有效工作长度为</w:t>
      </w:r>
      <w:r>
        <w:rPr>
          <w:sz w:val="28"/>
          <w:szCs w:val="28"/>
        </w:rPr>
        <w:t xml:space="preserve"> 1400mm</w:t>
      </w:r>
      <w:r>
        <w:rPr>
          <w:sz w:val="28"/>
          <w:szCs w:val="28"/>
        </w:rPr>
        <w:t>。导管远端内管上有两个显影环，在</w:t>
      </w:r>
      <w:r>
        <w:rPr>
          <w:sz w:val="28"/>
          <w:szCs w:val="28"/>
        </w:rPr>
        <w:t>X</w:t>
      </w:r>
      <w:r>
        <w:rPr>
          <w:sz w:val="28"/>
          <w:szCs w:val="28"/>
        </w:rPr>
        <w:t>光监视下能够辨别球囊位置，有助于准确定位。显影点内侧有两处电极装置及连接导线。导管有一个导丝口，直径不大于</w:t>
      </w:r>
      <w:r>
        <w:rPr>
          <w:sz w:val="28"/>
          <w:szCs w:val="28"/>
        </w:rPr>
        <w:t>0.014</w:t>
      </w:r>
      <w:proofErr w:type="gramStart"/>
      <w:r>
        <w:rPr>
          <w:sz w:val="28"/>
          <w:szCs w:val="28"/>
        </w:rPr>
        <w:t>”</w:t>
      </w:r>
      <w:proofErr w:type="gramEnd"/>
      <w:r>
        <w:rPr>
          <w:sz w:val="28"/>
          <w:szCs w:val="28"/>
        </w:rPr>
        <w:t>（</w:t>
      </w:r>
      <w:r>
        <w:rPr>
          <w:sz w:val="28"/>
          <w:szCs w:val="28"/>
        </w:rPr>
        <w:t>0.355mm</w:t>
      </w:r>
      <w:r>
        <w:rPr>
          <w:sz w:val="28"/>
          <w:szCs w:val="28"/>
        </w:rPr>
        <w:t>）的导</w:t>
      </w:r>
      <w:r>
        <w:rPr>
          <w:sz w:val="28"/>
          <w:szCs w:val="28"/>
        </w:rPr>
        <w:lastRenderedPageBreak/>
        <w:t>引导丝可顺利地穿过。近端有两处深度标记，距离导管最远端分别为</w:t>
      </w:r>
      <w:r>
        <w:rPr>
          <w:sz w:val="28"/>
          <w:szCs w:val="28"/>
        </w:rPr>
        <w:t>950mm</w:t>
      </w:r>
      <w:r>
        <w:rPr>
          <w:sz w:val="28"/>
          <w:szCs w:val="28"/>
        </w:rPr>
        <w:t>和</w:t>
      </w:r>
      <w:r>
        <w:rPr>
          <w:sz w:val="28"/>
          <w:szCs w:val="28"/>
        </w:rPr>
        <w:t>1050mm</w:t>
      </w:r>
      <w:r>
        <w:rPr>
          <w:sz w:val="28"/>
          <w:szCs w:val="28"/>
        </w:rPr>
        <w:t>处。连接座有两个端口，主接口用于导管</w:t>
      </w:r>
      <w:proofErr w:type="gramStart"/>
      <w:r>
        <w:rPr>
          <w:sz w:val="28"/>
          <w:szCs w:val="28"/>
        </w:rPr>
        <w:t>通液腔</w:t>
      </w:r>
      <w:proofErr w:type="gramEnd"/>
      <w:r>
        <w:rPr>
          <w:sz w:val="28"/>
          <w:szCs w:val="28"/>
        </w:rPr>
        <w:t>的球囊充盈</w:t>
      </w:r>
      <w:r>
        <w:rPr>
          <w:sz w:val="28"/>
          <w:szCs w:val="28"/>
        </w:rPr>
        <w:t>/</w:t>
      </w:r>
      <w:r>
        <w:rPr>
          <w:sz w:val="28"/>
          <w:szCs w:val="28"/>
        </w:rPr>
        <w:t>泄压，震波球囊扩张导管配合血管内冲击波治疗设备联合使用。产品使用所用附件请参阅表</w:t>
      </w:r>
      <w:r>
        <w:rPr>
          <w:sz w:val="28"/>
          <w:szCs w:val="28"/>
        </w:rPr>
        <w:t>1</w:t>
      </w:r>
      <w:r>
        <w:rPr>
          <w:sz w:val="28"/>
          <w:szCs w:val="28"/>
        </w:rPr>
        <w:t>所示。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746"/>
      </w:tblGrid>
      <w:tr w:rsidR="00CA2089">
        <w:trPr>
          <w:trHeight w:val="20"/>
          <w:tblHeader/>
          <w:jc w:val="center"/>
        </w:trPr>
        <w:tc>
          <w:tcPr>
            <w:tcW w:w="1182" w:type="pct"/>
            <w:vAlign w:val="center"/>
          </w:tcPr>
          <w:p w:rsidR="00CA2089" w:rsidRDefault="00035E4E">
            <w:pPr>
              <w:spacing w:line="360" w:lineRule="auto"/>
              <w:jc w:val="center"/>
              <w:rPr>
                <w:bCs/>
                <w:color w:val="000000" w:themeColor="text1"/>
                <w:sz w:val="24"/>
              </w:rPr>
            </w:pPr>
            <w:r>
              <w:rPr>
                <w:bCs/>
                <w:color w:val="000000" w:themeColor="text1"/>
                <w:sz w:val="24"/>
              </w:rPr>
              <w:t>数量</w:t>
            </w:r>
          </w:p>
        </w:tc>
        <w:tc>
          <w:tcPr>
            <w:tcW w:w="3818" w:type="pct"/>
            <w:vAlign w:val="center"/>
          </w:tcPr>
          <w:p w:rsidR="00CA2089" w:rsidRDefault="00035E4E">
            <w:pPr>
              <w:keepNext/>
              <w:keepLines/>
              <w:spacing w:line="360" w:lineRule="auto"/>
              <w:jc w:val="center"/>
              <w:outlineLvl w:val="3"/>
              <w:rPr>
                <w:color w:val="000000" w:themeColor="text1"/>
                <w:sz w:val="24"/>
              </w:rPr>
            </w:pPr>
            <w:r>
              <w:rPr>
                <w:color w:val="000000" w:themeColor="text1"/>
                <w:sz w:val="24"/>
              </w:rPr>
              <w:t>附件</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5Fr</w:t>
            </w:r>
            <w:r>
              <w:rPr>
                <w:color w:val="000000" w:themeColor="text1"/>
                <w:sz w:val="24"/>
              </w:rPr>
              <w:t>及以上导引导管</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2-3</w:t>
            </w:r>
          </w:p>
        </w:tc>
        <w:tc>
          <w:tcPr>
            <w:tcW w:w="3818" w:type="pct"/>
            <w:vAlign w:val="center"/>
          </w:tcPr>
          <w:p w:rsidR="00CA2089" w:rsidRDefault="00035E4E">
            <w:pPr>
              <w:spacing w:line="360" w:lineRule="auto"/>
              <w:rPr>
                <w:color w:val="000000" w:themeColor="text1"/>
                <w:sz w:val="24"/>
              </w:rPr>
            </w:pPr>
            <w:r>
              <w:rPr>
                <w:color w:val="000000" w:themeColor="text1"/>
                <w:sz w:val="24"/>
              </w:rPr>
              <w:t>10-20cc</w:t>
            </w:r>
            <w:r>
              <w:rPr>
                <w:color w:val="000000" w:themeColor="text1"/>
                <w:sz w:val="24"/>
              </w:rPr>
              <w:t>（</w:t>
            </w:r>
            <w:r>
              <w:rPr>
                <w:color w:val="000000" w:themeColor="text1"/>
                <w:sz w:val="24"/>
              </w:rPr>
              <w:t>ml</w:t>
            </w:r>
            <w:r>
              <w:rPr>
                <w:color w:val="000000" w:themeColor="text1"/>
                <w:sz w:val="24"/>
              </w:rPr>
              <w:t>）无菌注射器，使用前应驱除空气</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0.014″</w:t>
            </w:r>
            <w:r>
              <w:rPr>
                <w:color w:val="000000" w:themeColor="text1"/>
                <w:sz w:val="24"/>
              </w:rPr>
              <w:t>（</w:t>
            </w:r>
            <w:r>
              <w:rPr>
                <w:color w:val="000000" w:themeColor="text1"/>
                <w:sz w:val="24"/>
              </w:rPr>
              <w:t>0.355mm</w:t>
            </w:r>
            <w:r>
              <w:rPr>
                <w:color w:val="000000" w:themeColor="text1"/>
                <w:sz w:val="24"/>
              </w:rPr>
              <w:t>）</w:t>
            </w:r>
            <w:r>
              <w:rPr>
                <w:color w:val="000000" w:themeColor="text1"/>
                <w:sz w:val="24"/>
              </w:rPr>
              <w:t xml:space="preserve"> </w:t>
            </w:r>
            <w:r>
              <w:rPr>
                <w:color w:val="000000" w:themeColor="text1"/>
                <w:sz w:val="24"/>
              </w:rPr>
              <w:t>（或更小直径）</w:t>
            </w:r>
            <w:r>
              <w:rPr>
                <w:color w:val="000000" w:themeColor="text1"/>
                <w:sz w:val="24"/>
              </w:rPr>
              <w:t>×1750mm</w:t>
            </w:r>
            <w:r>
              <w:rPr>
                <w:color w:val="000000" w:themeColor="text1"/>
                <w:sz w:val="24"/>
              </w:rPr>
              <w:t>导引导丝</w:t>
            </w:r>
          </w:p>
        </w:tc>
      </w:tr>
      <w:tr w:rsidR="00CA2089">
        <w:trPr>
          <w:trHeight w:val="20"/>
          <w:jc w:val="center"/>
        </w:trPr>
        <w:tc>
          <w:tcPr>
            <w:tcW w:w="1182" w:type="pct"/>
            <w:vAlign w:val="center"/>
          </w:tcPr>
          <w:p w:rsidR="00CA2089" w:rsidRDefault="00035E4E">
            <w:pPr>
              <w:spacing w:line="360" w:lineRule="auto"/>
              <w:ind w:leftChars="-43" w:left="30" w:rightChars="-62" w:right="-130" w:hangingChars="50" w:hanging="120"/>
              <w:jc w:val="center"/>
              <w:rPr>
                <w:color w:val="000000" w:themeColor="text1"/>
                <w:sz w:val="24"/>
              </w:rPr>
            </w:pPr>
            <w:r>
              <w:rPr>
                <w:color w:val="000000" w:themeColor="text1"/>
                <w:sz w:val="24"/>
              </w:rPr>
              <w:t>1000U/500cc</w:t>
            </w:r>
          </w:p>
        </w:tc>
        <w:tc>
          <w:tcPr>
            <w:tcW w:w="3818" w:type="pct"/>
            <w:vAlign w:val="center"/>
          </w:tcPr>
          <w:p w:rsidR="00CA2089" w:rsidRDefault="00035E4E">
            <w:pPr>
              <w:spacing w:line="360" w:lineRule="auto"/>
              <w:rPr>
                <w:color w:val="000000" w:themeColor="text1"/>
                <w:sz w:val="24"/>
              </w:rPr>
            </w:pPr>
            <w:r>
              <w:rPr>
                <w:color w:val="000000" w:themeColor="text1"/>
                <w:sz w:val="24"/>
              </w:rPr>
              <w:t>肝素化生理盐水</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旋转式止血阀</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w:t>
            </w:r>
          </w:p>
        </w:tc>
        <w:tc>
          <w:tcPr>
            <w:tcW w:w="3818" w:type="pct"/>
            <w:vAlign w:val="center"/>
          </w:tcPr>
          <w:p w:rsidR="00CA2089" w:rsidRDefault="00035E4E">
            <w:pPr>
              <w:spacing w:line="360" w:lineRule="auto"/>
              <w:rPr>
                <w:color w:val="000000" w:themeColor="text1"/>
                <w:sz w:val="24"/>
              </w:rPr>
            </w:pPr>
            <w:r>
              <w:rPr>
                <w:color w:val="000000" w:themeColor="text1"/>
                <w:sz w:val="24"/>
              </w:rPr>
              <w:t>造影液，用无菌生理盐水</w:t>
            </w:r>
            <w:r>
              <w:rPr>
                <w:color w:val="000000" w:themeColor="text1"/>
                <w:sz w:val="24"/>
              </w:rPr>
              <w:t>1:1</w:t>
            </w:r>
            <w:r>
              <w:rPr>
                <w:color w:val="000000" w:themeColor="text1"/>
                <w:sz w:val="24"/>
              </w:rPr>
              <w:t>稀释</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带压力表的球囊充盈器</w:t>
            </w:r>
          </w:p>
        </w:tc>
      </w:tr>
      <w:tr w:rsidR="00CA2089">
        <w:trPr>
          <w:trHeight w:val="20"/>
          <w:jc w:val="center"/>
        </w:trPr>
        <w:tc>
          <w:tcPr>
            <w:tcW w:w="1182" w:type="pct"/>
            <w:vAlign w:val="center"/>
          </w:tcPr>
          <w:p w:rsidR="00CA2089" w:rsidRDefault="00035E4E">
            <w:pPr>
              <w:spacing w:line="360" w:lineRule="auto"/>
              <w:jc w:val="center"/>
              <w:rPr>
                <w:color w:val="000000" w:themeColor="text1"/>
                <w:sz w:val="24"/>
              </w:rPr>
            </w:pPr>
            <w:r>
              <w:rPr>
                <w:color w:val="000000" w:themeColor="text1"/>
                <w:sz w:val="24"/>
              </w:rPr>
              <w:t>1</w:t>
            </w:r>
          </w:p>
        </w:tc>
        <w:tc>
          <w:tcPr>
            <w:tcW w:w="3818" w:type="pct"/>
            <w:vAlign w:val="center"/>
          </w:tcPr>
          <w:p w:rsidR="00CA2089" w:rsidRDefault="00035E4E">
            <w:pPr>
              <w:spacing w:line="360" w:lineRule="auto"/>
              <w:rPr>
                <w:color w:val="000000" w:themeColor="text1"/>
                <w:sz w:val="24"/>
              </w:rPr>
            </w:pPr>
            <w:r>
              <w:rPr>
                <w:color w:val="000000" w:themeColor="text1"/>
                <w:sz w:val="24"/>
              </w:rPr>
              <w:t>三连三通旋塞阀</w:t>
            </w:r>
          </w:p>
        </w:tc>
      </w:tr>
    </w:tbl>
    <w:p w:rsidR="00CA2089" w:rsidRDefault="00035E4E">
      <w:pPr>
        <w:widowControl/>
        <w:spacing w:line="360" w:lineRule="auto"/>
        <w:jc w:val="center"/>
        <w:rPr>
          <w:color w:val="231F20"/>
          <w:kern w:val="0"/>
          <w:sz w:val="24"/>
          <w:lang w:bidi="ar"/>
        </w:rPr>
      </w:pPr>
      <w:r>
        <w:rPr>
          <w:color w:val="231F20"/>
          <w:kern w:val="0"/>
          <w:sz w:val="24"/>
          <w:lang w:bidi="ar"/>
        </w:rPr>
        <w:t>表</w:t>
      </w:r>
      <w:r>
        <w:rPr>
          <w:color w:val="231F20"/>
          <w:kern w:val="0"/>
          <w:sz w:val="24"/>
          <w:lang w:bidi="ar"/>
        </w:rPr>
        <w:t xml:space="preserve"> 1 </w:t>
      </w:r>
      <w:r>
        <w:rPr>
          <w:color w:val="231F20"/>
          <w:kern w:val="0"/>
          <w:sz w:val="24"/>
          <w:lang w:bidi="ar"/>
        </w:rPr>
        <w:t>产品使用所需附件</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40" w:name="_Toc134753804"/>
      <w:bookmarkStart w:id="41" w:name="_Toc16936"/>
      <w:r>
        <w:rPr>
          <w:rFonts w:ascii="Times New Roman" w:eastAsia="宋体" w:hAnsi="Times New Roman" w:cs="Times New Roman"/>
          <w:sz w:val="28"/>
          <w:szCs w:val="28"/>
        </w:rPr>
        <w:t>（三）适用范围以及相关信息</w:t>
      </w:r>
      <w:bookmarkEnd w:id="40"/>
      <w:bookmarkEnd w:id="41"/>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适应症</w:t>
      </w:r>
    </w:p>
    <w:p w:rsidR="00CA2089" w:rsidRDefault="00035E4E">
      <w:pPr>
        <w:widowControl/>
        <w:spacing w:line="360" w:lineRule="auto"/>
        <w:ind w:firstLineChars="200" w:firstLine="560"/>
        <w:jc w:val="left"/>
        <w:rPr>
          <w:sz w:val="28"/>
          <w:szCs w:val="28"/>
        </w:rPr>
      </w:pPr>
      <w:r>
        <w:rPr>
          <w:sz w:val="28"/>
          <w:szCs w:val="28"/>
        </w:rPr>
        <w:t>血管内冲击波治疗设备配合震波球囊扩张导管使用，适用于对中、重度钙化、原发性的冠状动脉狭窄，在支架置入</w:t>
      </w:r>
      <w:proofErr w:type="gramStart"/>
      <w:r>
        <w:rPr>
          <w:sz w:val="28"/>
          <w:szCs w:val="28"/>
        </w:rPr>
        <w:t>术之前</w:t>
      </w:r>
      <w:proofErr w:type="gramEnd"/>
      <w:r>
        <w:rPr>
          <w:sz w:val="28"/>
          <w:szCs w:val="28"/>
        </w:rPr>
        <w:t>进行震波技术支持的低压球囊扩张。</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使用方法</w:t>
      </w:r>
    </w:p>
    <w:p w:rsidR="00CA2089" w:rsidRDefault="00035E4E">
      <w:pPr>
        <w:pStyle w:val="af0"/>
        <w:spacing w:line="360" w:lineRule="auto"/>
        <w:ind w:left="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1</w:t>
      </w:r>
      <w:r>
        <w:rPr>
          <w:rFonts w:ascii="Times New Roman" w:eastAsia="宋体" w:hAnsi="Times New Roman" w:cs="Times New Roman"/>
          <w:sz w:val="28"/>
          <w:szCs w:val="28"/>
        </w:rPr>
        <w:t>）准备工作</w:t>
      </w:r>
    </w:p>
    <w:p w:rsidR="00CA2089" w:rsidRDefault="00035E4E">
      <w:pPr>
        <w:pStyle w:val="af9"/>
        <w:spacing w:line="360" w:lineRule="auto"/>
        <w:ind w:firstLine="560"/>
        <w:rPr>
          <w:sz w:val="28"/>
          <w:szCs w:val="28"/>
        </w:rPr>
      </w:pPr>
      <w:r>
        <w:rPr>
          <w:sz w:val="28"/>
          <w:szCs w:val="28"/>
        </w:rPr>
        <w:t>1</w:t>
      </w:r>
      <w:r>
        <w:rPr>
          <w:sz w:val="28"/>
          <w:szCs w:val="28"/>
        </w:rPr>
        <w:t>）使用标准无菌技术准备血管穿刺部位。</w:t>
      </w:r>
    </w:p>
    <w:p w:rsidR="00CA2089" w:rsidRDefault="00035E4E">
      <w:pPr>
        <w:pStyle w:val="af9"/>
        <w:spacing w:line="360" w:lineRule="auto"/>
        <w:ind w:firstLine="560"/>
        <w:rPr>
          <w:sz w:val="28"/>
          <w:szCs w:val="28"/>
        </w:rPr>
      </w:pPr>
      <w:r>
        <w:rPr>
          <w:sz w:val="28"/>
          <w:szCs w:val="28"/>
        </w:rPr>
        <w:t>2</w:t>
      </w:r>
      <w:r>
        <w:rPr>
          <w:sz w:val="28"/>
          <w:szCs w:val="28"/>
        </w:rPr>
        <w:t>）获得首选的血管通路并放置导丝和导引导管。</w:t>
      </w:r>
    </w:p>
    <w:p w:rsidR="00CA2089" w:rsidRDefault="00035E4E">
      <w:pPr>
        <w:pStyle w:val="af9"/>
        <w:spacing w:line="360" w:lineRule="auto"/>
        <w:ind w:firstLine="560"/>
        <w:rPr>
          <w:sz w:val="28"/>
          <w:szCs w:val="28"/>
        </w:rPr>
      </w:pPr>
      <w:r>
        <w:rPr>
          <w:sz w:val="28"/>
          <w:szCs w:val="28"/>
        </w:rPr>
        <w:lastRenderedPageBreak/>
        <w:t>3</w:t>
      </w:r>
      <w:r>
        <w:rPr>
          <w:sz w:val="28"/>
          <w:szCs w:val="28"/>
        </w:rPr>
        <w:t>）根据球囊顺应性图表和参考血管直径选择尺寸为</w:t>
      </w:r>
      <w:r>
        <w:rPr>
          <w:sz w:val="28"/>
          <w:szCs w:val="28"/>
        </w:rPr>
        <w:t xml:space="preserve"> 1:1 </w:t>
      </w:r>
      <w:r>
        <w:rPr>
          <w:sz w:val="28"/>
          <w:szCs w:val="28"/>
        </w:rPr>
        <w:t>的震波球囊扩张导管。</w:t>
      </w:r>
    </w:p>
    <w:p w:rsidR="00CA2089" w:rsidRDefault="00035E4E">
      <w:pPr>
        <w:pStyle w:val="af9"/>
        <w:spacing w:line="360" w:lineRule="auto"/>
        <w:ind w:firstLine="560"/>
        <w:rPr>
          <w:sz w:val="28"/>
          <w:szCs w:val="28"/>
        </w:rPr>
      </w:pPr>
      <w:r>
        <w:rPr>
          <w:sz w:val="28"/>
          <w:szCs w:val="28"/>
        </w:rPr>
        <w:t>4</w:t>
      </w:r>
      <w:r>
        <w:rPr>
          <w:sz w:val="28"/>
          <w:szCs w:val="28"/>
        </w:rPr>
        <w:t>）从包装中取出震波球囊扩张导管。</w:t>
      </w:r>
    </w:p>
    <w:p w:rsidR="00CA2089" w:rsidRDefault="00035E4E">
      <w:pPr>
        <w:pStyle w:val="af9"/>
        <w:spacing w:line="360" w:lineRule="auto"/>
        <w:ind w:firstLine="560"/>
        <w:rPr>
          <w:sz w:val="28"/>
          <w:szCs w:val="28"/>
        </w:rPr>
      </w:pPr>
      <w:r>
        <w:rPr>
          <w:sz w:val="28"/>
          <w:szCs w:val="28"/>
        </w:rPr>
        <w:t>5</w:t>
      </w:r>
      <w:r>
        <w:rPr>
          <w:sz w:val="28"/>
          <w:szCs w:val="28"/>
        </w:rPr>
        <w:t>）用</w:t>
      </w:r>
      <w:r>
        <w:rPr>
          <w:sz w:val="28"/>
          <w:szCs w:val="28"/>
        </w:rPr>
        <w:t>5cc</w:t>
      </w:r>
      <w:r>
        <w:rPr>
          <w:sz w:val="28"/>
          <w:szCs w:val="28"/>
        </w:rPr>
        <w:t>注射器抽取</w:t>
      </w:r>
      <w:r>
        <w:rPr>
          <w:sz w:val="28"/>
          <w:szCs w:val="28"/>
        </w:rPr>
        <w:t xml:space="preserve">50/50 </w:t>
      </w:r>
      <w:r>
        <w:rPr>
          <w:sz w:val="28"/>
          <w:szCs w:val="28"/>
        </w:rPr>
        <w:t>生理盐水</w:t>
      </w:r>
      <w:r>
        <w:rPr>
          <w:sz w:val="28"/>
          <w:szCs w:val="28"/>
        </w:rPr>
        <w:t>/</w:t>
      </w:r>
      <w:r>
        <w:rPr>
          <w:sz w:val="28"/>
          <w:szCs w:val="28"/>
        </w:rPr>
        <w:t>造影剂。将注射器连接到导管座上的充气口。抽真空至少</w:t>
      </w:r>
      <w:r>
        <w:rPr>
          <w:sz w:val="28"/>
          <w:szCs w:val="28"/>
        </w:rPr>
        <w:t>3</w:t>
      </w:r>
      <w:r>
        <w:rPr>
          <w:sz w:val="28"/>
          <w:szCs w:val="28"/>
        </w:rPr>
        <w:t>次，释放真空，让流体取代导管中的空气。</w:t>
      </w:r>
    </w:p>
    <w:p w:rsidR="00CA2089" w:rsidRDefault="00035E4E">
      <w:pPr>
        <w:pStyle w:val="af9"/>
        <w:spacing w:line="360" w:lineRule="auto"/>
        <w:ind w:firstLine="560"/>
        <w:rPr>
          <w:sz w:val="28"/>
          <w:szCs w:val="28"/>
        </w:rPr>
      </w:pPr>
      <w:r>
        <w:rPr>
          <w:sz w:val="28"/>
          <w:szCs w:val="28"/>
        </w:rPr>
        <w:t>6</w:t>
      </w:r>
      <w:r>
        <w:rPr>
          <w:sz w:val="28"/>
          <w:szCs w:val="28"/>
        </w:rPr>
        <w:t>）用</w:t>
      </w:r>
      <w:r>
        <w:rPr>
          <w:sz w:val="28"/>
          <w:szCs w:val="28"/>
        </w:rPr>
        <w:t>20cc</w:t>
      </w:r>
      <w:r>
        <w:rPr>
          <w:sz w:val="28"/>
          <w:szCs w:val="28"/>
        </w:rPr>
        <w:t>充盈器抽取</w:t>
      </w:r>
      <w:r>
        <w:rPr>
          <w:sz w:val="28"/>
          <w:szCs w:val="28"/>
        </w:rPr>
        <w:t>50/50</w:t>
      </w:r>
      <w:r>
        <w:rPr>
          <w:sz w:val="28"/>
          <w:szCs w:val="28"/>
        </w:rPr>
        <w:t>生理盐水</w:t>
      </w:r>
      <w:r>
        <w:rPr>
          <w:sz w:val="28"/>
          <w:szCs w:val="28"/>
        </w:rPr>
        <w:t>/</w:t>
      </w:r>
      <w:r>
        <w:rPr>
          <w:sz w:val="28"/>
          <w:szCs w:val="28"/>
        </w:rPr>
        <w:t>造影剂。断开注射器并将充盈器连接到连接件的主接口，确保没有空气进入导管内腔。</w:t>
      </w:r>
    </w:p>
    <w:p w:rsidR="00CA2089" w:rsidRDefault="00035E4E">
      <w:pPr>
        <w:pStyle w:val="af9"/>
        <w:spacing w:line="360" w:lineRule="auto"/>
        <w:ind w:firstLine="560"/>
        <w:rPr>
          <w:sz w:val="28"/>
          <w:szCs w:val="28"/>
        </w:rPr>
      </w:pPr>
      <w:r>
        <w:rPr>
          <w:sz w:val="28"/>
          <w:szCs w:val="28"/>
        </w:rPr>
        <w:t>7</w:t>
      </w:r>
      <w:r>
        <w:rPr>
          <w:sz w:val="28"/>
          <w:szCs w:val="28"/>
        </w:rPr>
        <w:t>）从震波球囊扩张导管上取下保护套和包装衬丝。</w:t>
      </w:r>
    </w:p>
    <w:p w:rsidR="00CA2089" w:rsidRDefault="00035E4E">
      <w:pPr>
        <w:spacing w:line="360" w:lineRule="auto"/>
        <w:ind w:firstLineChars="200" w:firstLine="562"/>
        <w:rPr>
          <w:b/>
          <w:bCs/>
          <w:sz w:val="28"/>
          <w:szCs w:val="28"/>
        </w:rPr>
      </w:pPr>
      <w:r>
        <w:rPr>
          <w:b/>
          <w:bCs/>
          <w:sz w:val="28"/>
          <w:szCs w:val="28"/>
        </w:rPr>
        <w:t>警告：如果保护套或</w:t>
      </w:r>
      <w:proofErr w:type="gramStart"/>
      <w:r>
        <w:rPr>
          <w:b/>
          <w:bCs/>
          <w:sz w:val="28"/>
          <w:szCs w:val="28"/>
        </w:rPr>
        <w:t>衬丝难以</w:t>
      </w:r>
      <w:proofErr w:type="gramEnd"/>
      <w:r>
        <w:rPr>
          <w:b/>
          <w:bCs/>
          <w:sz w:val="28"/>
          <w:szCs w:val="28"/>
        </w:rPr>
        <w:t>移除或无法移除，请勿使用该设备。</w:t>
      </w:r>
    </w:p>
    <w:p w:rsidR="00CA2089" w:rsidRDefault="00035E4E">
      <w:pPr>
        <w:pStyle w:val="af9"/>
        <w:spacing w:line="360" w:lineRule="auto"/>
        <w:ind w:firstLine="560"/>
        <w:rPr>
          <w:sz w:val="28"/>
          <w:szCs w:val="28"/>
        </w:rPr>
      </w:pPr>
      <w:r>
        <w:rPr>
          <w:sz w:val="28"/>
          <w:szCs w:val="28"/>
        </w:rPr>
        <w:t>8</w:t>
      </w:r>
      <w:r>
        <w:rPr>
          <w:sz w:val="28"/>
          <w:szCs w:val="28"/>
        </w:rPr>
        <w:t>）用无菌</w:t>
      </w:r>
      <w:bookmarkStart w:id="42" w:name="OLE_LINK10"/>
      <w:bookmarkStart w:id="43" w:name="OLE_LINK11"/>
      <w:r>
        <w:rPr>
          <w:sz w:val="28"/>
          <w:szCs w:val="28"/>
        </w:rPr>
        <w:t>生理</w:t>
      </w:r>
      <w:bookmarkEnd w:id="42"/>
      <w:bookmarkEnd w:id="43"/>
      <w:r>
        <w:rPr>
          <w:sz w:val="28"/>
          <w:szCs w:val="28"/>
        </w:rPr>
        <w:t>盐水冲洗</w:t>
      </w:r>
      <w:r>
        <w:rPr>
          <w:sz w:val="28"/>
          <w:szCs w:val="28"/>
        </w:rPr>
        <w:t>0.014</w:t>
      </w:r>
      <w:proofErr w:type="gramStart"/>
      <w:r>
        <w:rPr>
          <w:sz w:val="28"/>
          <w:szCs w:val="28"/>
        </w:rPr>
        <w:t>”</w:t>
      </w:r>
      <w:proofErr w:type="gramEnd"/>
      <w:r>
        <w:rPr>
          <w:sz w:val="28"/>
          <w:szCs w:val="28"/>
        </w:rPr>
        <w:t>导丝表面。</w:t>
      </w:r>
    </w:p>
    <w:p w:rsidR="00CA2089" w:rsidRDefault="00035E4E">
      <w:pPr>
        <w:pStyle w:val="af9"/>
        <w:spacing w:line="360" w:lineRule="auto"/>
        <w:ind w:firstLine="560"/>
        <w:rPr>
          <w:sz w:val="28"/>
          <w:szCs w:val="28"/>
        </w:rPr>
      </w:pPr>
      <w:r>
        <w:rPr>
          <w:sz w:val="28"/>
          <w:szCs w:val="28"/>
        </w:rPr>
        <w:t>9</w:t>
      </w:r>
      <w:r>
        <w:rPr>
          <w:sz w:val="28"/>
          <w:szCs w:val="28"/>
        </w:rPr>
        <w:t>）用无菌生理盐水润湿球囊和远端导管表面以激活亲水涂层。不要用异丙醇</w:t>
      </w:r>
      <w:r>
        <w:rPr>
          <w:sz w:val="28"/>
          <w:szCs w:val="28"/>
        </w:rPr>
        <w:t xml:space="preserve"> </w:t>
      </w:r>
      <w:r>
        <w:rPr>
          <w:sz w:val="28"/>
          <w:szCs w:val="28"/>
        </w:rPr>
        <w:t>（</w:t>
      </w:r>
      <w:r>
        <w:rPr>
          <w:sz w:val="28"/>
          <w:szCs w:val="28"/>
        </w:rPr>
        <w:t>IPA</w:t>
      </w:r>
      <w:r>
        <w:rPr>
          <w:sz w:val="28"/>
          <w:szCs w:val="28"/>
        </w:rPr>
        <w:t>）</w:t>
      </w:r>
      <w:r>
        <w:rPr>
          <w:sz w:val="28"/>
          <w:szCs w:val="28"/>
        </w:rPr>
        <w:t xml:space="preserve"> </w:t>
      </w:r>
      <w:r>
        <w:rPr>
          <w:sz w:val="28"/>
          <w:szCs w:val="28"/>
        </w:rPr>
        <w:t>湿润球囊，因为这会损坏亲水涂层的完整性。</w:t>
      </w:r>
    </w:p>
    <w:p w:rsidR="00CA2089" w:rsidRDefault="00035E4E">
      <w:pPr>
        <w:pStyle w:val="af9"/>
        <w:spacing w:line="360" w:lineRule="auto"/>
        <w:ind w:firstLine="560"/>
        <w:rPr>
          <w:sz w:val="28"/>
          <w:szCs w:val="28"/>
        </w:rPr>
      </w:pPr>
      <w:r>
        <w:rPr>
          <w:sz w:val="28"/>
          <w:szCs w:val="28"/>
        </w:rPr>
        <w:t>10</w:t>
      </w:r>
      <w:r>
        <w:rPr>
          <w:sz w:val="28"/>
          <w:szCs w:val="28"/>
        </w:rPr>
        <w:t>）取出血管内冲击波治疗设备手柄，将快插头插入手柄。</w:t>
      </w:r>
    </w:p>
    <w:p w:rsidR="00CA2089" w:rsidRDefault="00035E4E">
      <w:pPr>
        <w:spacing w:line="360" w:lineRule="auto"/>
        <w:ind w:firstLineChars="200" w:firstLine="562"/>
        <w:rPr>
          <w:b/>
          <w:bCs/>
          <w:sz w:val="28"/>
          <w:szCs w:val="28"/>
        </w:rPr>
      </w:pPr>
      <w:r>
        <w:rPr>
          <w:b/>
          <w:bCs/>
          <w:sz w:val="28"/>
          <w:szCs w:val="28"/>
        </w:rPr>
        <w:t>注意：此过程必须小心避免激发导管，即在球囊干燥和</w:t>
      </w:r>
      <w:r>
        <w:rPr>
          <w:b/>
          <w:bCs/>
          <w:sz w:val="28"/>
          <w:szCs w:val="28"/>
        </w:rPr>
        <w:t>/</w:t>
      </w:r>
      <w:r>
        <w:rPr>
          <w:b/>
          <w:bCs/>
          <w:sz w:val="28"/>
          <w:szCs w:val="28"/>
        </w:rPr>
        <w:t>或未充气时按下手柄的治疗按钮，因为这可能会损坏球囊。</w:t>
      </w:r>
    </w:p>
    <w:p w:rsidR="00CA2089" w:rsidRDefault="00035E4E">
      <w:pPr>
        <w:spacing w:line="360" w:lineRule="auto"/>
        <w:ind w:firstLineChars="100" w:firstLine="280"/>
        <w:jc w:val="left"/>
        <w:rPr>
          <w:sz w:val="28"/>
          <w:szCs w:val="28"/>
        </w:rPr>
      </w:pPr>
      <w:r>
        <w:rPr>
          <w:sz w:val="28"/>
          <w:szCs w:val="28"/>
        </w:rPr>
        <w:t>（</w:t>
      </w:r>
      <w:r>
        <w:rPr>
          <w:sz w:val="28"/>
          <w:szCs w:val="28"/>
        </w:rPr>
        <w:t>2</w:t>
      </w:r>
      <w:r>
        <w:rPr>
          <w:sz w:val="28"/>
          <w:szCs w:val="28"/>
        </w:rPr>
        <w:t>）震波球囊扩张导管输送到治疗部位</w:t>
      </w:r>
    </w:p>
    <w:p w:rsidR="00CA2089" w:rsidRDefault="00035E4E">
      <w:pPr>
        <w:pStyle w:val="af9"/>
        <w:spacing w:line="360" w:lineRule="auto"/>
        <w:ind w:firstLine="560"/>
        <w:rPr>
          <w:sz w:val="28"/>
          <w:szCs w:val="28"/>
        </w:rPr>
      </w:pPr>
      <w:r>
        <w:rPr>
          <w:sz w:val="28"/>
          <w:szCs w:val="28"/>
        </w:rPr>
        <w:t>1</w:t>
      </w:r>
      <w:r>
        <w:rPr>
          <w:sz w:val="28"/>
          <w:szCs w:val="28"/>
        </w:rPr>
        <w:t>）将导引导管靠近治疗部位。</w:t>
      </w:r>
    </w:p>
    <w:p w:rsidR="00CA2089" w:rsidRDefault="00035E4E">
      <w:pPr>
        <w:pStyle w:val="af9"/>
        <w:spacing w:line="360" w:lineRule="auto"/>
        <w:ind w:firstLine="560"/>
        <w:rPr>
          <w:sz w:val="28"/>
          <w:szCs w:val="28"/>
        </w:rPr>
      </w:pPr>
      <w:r>
        <w:rPr>
          <w:sz w:val="28"/>
          <w:szCs w:val="28"/>
        </w:rPr>
        <w:t>2</w:t>
      </w:r>
      <w:r>
        <w:rPr>
          <w:sz w:val="28"/>
          <w:szCs w:val="28"/>
        </w:rPr>
        <w:t>）如果预计震波球囊扩张导管可能无法穿过病灶，则可以根据医生的判断使用标准技术进行预扩张或其他血管准备。</w:t>
      </w:r>
    </w:p>
    <w:p w:rsidR="00CA2089" w:rsidRDefault="00035E4E">
      <w:pPr>
        <w:pStyle w:val="af9"/>
        <w:spacing w:line="360" w:lineRule="auto"/>
        <w:ind w:firstLine="560"/>
        <w:rPr>
          <w:sz w:val="28"/>
          <w:szCs w:val="28"/>
        </w:rPr>
      </w:pPr>
      <w:r>
        <w:rPr>
          <w:sz w:val="28"/>
          <w:szCs w:val="28"/>
        </w:rPr>
        <w:t>3</w:t>
      </w:r>
      <w:r>
        <w:rPr>
          <w:sz w:val="28"/>
          <w:szCs w:val="28"/>
        </w:rPr>
        <w:t>）在交换长度</w:t>
      </w:r>
      <w:r>
        <w:rPr>
          <w:sz w:val="28"/>
          <w:szCs w:val="28"/>
        </w:rPr>
        <w:t xml:space="preserve"> </w:t>
      </w:r>
      <w:r>
        <w:rPr>
          <w:sz w:val="28"/>
          <w:szCs w:val="28"/>
        </w:rPr>
        <w:t>（</w:t>
      </w:r>
      <w:r>
        <w:rPr>
          <w:sz w:val="28"/>
          <w:szCs w:val="28"/>
        </w:rPr>
        <w:t xml:space="preserve">190 - 300 </w:t>
      </w:r>
      <w:r>
        <w:rPr>
          <w:sz w:val="28"/>
          <w:szCs w:val="28"/>
        </w:rPr>
        <w:t>厘米）</w:t>
      </w:r>
      <w:r>
        <w:rPr>
          <w:sz w:val="28"/>
          <w:szCs w:val="28"/>
        </w:rPr>
        <w:t xml:space="preserve"> 0.014</w:t>
      </w:r>
      <w:proofErr w:type="gramStart"/>
      <w:r>
        <w:rPr>
          <w:sz w:val="28"/>
          <w:szCs w:val="28"/>
        </w:rPr>
        <w:t>”</w:t>
      </w:r>
      <w:proofErr w:type="gramEnd"/>
      <w:r>
        <w:rPr>
          <w:sz w:val="28"/>
          <w:szCs w:val="28"/>
        </w:rPr>
        <w:t>导丝穿上震波球囊扩张导管，并通过导引导管将震波球囊扩张导管推进到需要治疗的钙化部位。</w:t>
      </w:r>
    </w:p>
    <w:p w:rsidR="00CA2089" w:rsidRDefault="00035E4E">
      <w:pPr>
        <w:pStyle w:val="af9"/>
        <w:spacing w:line="360" w:lineRule="auto"/>
        <w:ind w:firstLine="560"/>
        <w:rPr>
          <w:sz w:val="28"/>
          <w:szCs w:val="28"/>
        </w:rPr>
      </w:pPr>
      <w:r>
        <w:rPr>
          <w:sz w:val="28"/>
          <w:szCs w:val="28"/>
        </w:rPr>
        <w:lastRenderedPageBreak/>
        <w:t>4</w:t>
      </w:r>
      <w:r>
        <w:rPr>
          <w:sz w:val="28"/>
          <w:szCs w:val="28"/>
        </w:rPr>
        <w:t>）使用显影环将震波球囊定位在治疗部位以帮助定位。</w:t>
      </w:r>
    </w:p>
    <w:p w:rsidR="00CA2089" w:rsidRDefault="00035E4E">
      <w:pPr>
        <w:spacing w:line="360" w:lineRule="auto"/>
        <w:ind w:firstLineChars="100" w:firstLine="280"/>
        <w:jc w:val="left"/>
        <w:rPr>
          <w:sz w:val="28"/>
          <w:szCs w:val="28"/>
        </w:rPr>
      </w:pPr>
      <w:r>
        <w:rPr>
          <w:sz w:val="28"/>
          <w:szCs w:val="28"/>
        </w:rPr>
        <w:t>（</w:t>
      </w:r>
      <w:r>
        <w:rPr>
          <w:sz w:val="28"/>
          <w:szCs w:val="28"/>
        </w:rPr>
        <w:t>3</w:t>
      </w:r>
      <w:r>
        <w:rPr>
          <w:sz w:val="28"/>
          <w:szCs w:val="28"/>
        </w:rPr>
        <w:t>）血管内震波术治疗该部位</w:t>
      </w:r>
    </w:p>
    <w:p w:rsidR="00CA2089" w:rsidRDefault="00035E4E">
      <w:pPr>
        <w:pStyle w:val="af9"/>
        <w:spacing w:line="360" w:lineRule="auto"/>
        <w:ind w:firstLine="560"/>
        <w:rPr>
          <w:sz w:val="28"/>
          <w:szCs w:val="28"/>
        </w:rPr>
      </w:pPr>
      <w:r>
        <w:rPr>
          <w:sz w:val="28"/>
          <w:szCs w:val="28"/>
        </w:rPr>
        <w:t>1</w:t>
      </w:r>
      <w:r>
        <w:rPr>
          <w:sz w:val="28"/>
          <w:szCs w:val="28"/>
        </w:rPr>
        <w:t>）一旦震波球囊扩张导管就位，使用透视造影记录位置。</w:t>
      </w:r>
    </w:p>
    <w:p w:rsidR="00CA2089" w:rsidRDefault="00035E4E">
      <w:pPr>
        <w:pStyle w:val="af9"/>
        <w:spacing w:line="360" w:lineRule="auto"/>
        <w:ind w:firstLine="560"/>
        <w:rPr>
          <w:sz w:val="28"/>
          <w:szCs w:val="28"/>
        </w:rPr>
      </w:pPr>
      <w:r>
        <w:rPr>
          <w:sz w:val="28"/>
          <w:szCs w:val="28"/>
        </w:rPr>
        <w:t>2</w:t>
      </w:r>
      <w:r>
        <w:rPr>
          <w:sz w:val="28"/>
          <w:szCs w:val="28"/>
        </w:rPr>
        <w:t>）如果位置不正确，调整震波球囊到正确位置。</w:t>
      </w:r>
    </w:p>
    <w:p w:rsidR="00CA2089" w:rsidRDefault="00035E4E">
      <w:pPr>
        <w:pStyle w:val="af9"/>
        <w:spacing w:line="360" w:lineRule="auto"/>
        <w:ind w:firstLine="560"/>
        <w:rPr>
          <w:sz w:val="28"/>
          <w:szCs w:val="28"/>
        </w:rPr>
      </w:pPr>
      <w:r>
        <w:rPr>
          <w:sz w:val="28"/>
          <w:szCs w:val="28"/>
        </w:rPr>
        <w:t>3</w:t>
      </w:r>
      <w:r>
        <w:rPr>
          <w:sz w:val="28"/>
          <w:szCs w:val="28"/>
        </w:rPr>
        <w:t>）将主机手柄与连接插头插入手柄。（手柄的另一端连接到血管内冲击波治疗设备）。</w:t>
      </w:r>
    </w:p>
    <w:p w:rsidR="00CA2089" w:rsidRDefault="00035E4E">
      <w:pPr>
        <w:pStyle w:val="af9"/>
        <w:spacing w:line="360" w:lineRule="auto"/>
        <w:ind w:firstLine="560"/>
        <w:rPr>
          <w:sz w:val="28"/>
          <w:szCs w:val="28"/>
        </w:rPr>
      </w:pPr>
      <w:r>
        <w:rPr>
          <w:sz w:val="28"/>
          <w:szCs w:val="28"/>
        </w:rPr>
        <w:t>4</w:t>
      </w:r>
      <w:r>
        <w:rPr>
          <w:sz w:val="28"/>
          <w:szCs w:val="28"/>
        </w:rPr>
        <w:t>）给震波球囊充气，压力不超过</w:t>
      </w:r>
      <w:r>
        <w:rPr>
          <w:sz w:val="28"/>
          <w:szCs w:val="28"/>
        </w:rPr>
        <w:t>4atm</w:t>
      </w:r>
      <w:r>
        <w:rPr>
          <w:sz w:val="28"/>
          <w:szCs w:val="28"/>
        </w:rPr>
        <w:t>，以确保球囊充气并与血管壁贴合。</w:t>
      </w:r>
    </w:p>
    <w:p w:rsidR="00CA2089" w:rsidRDefault="00035E4E">
      <w:pPr>
        <w:spacing w:line="360" w:lineRule="auto"/>
        <w:ind w:firstLineChars="200" w:firstLine="562"/>
        <w:rPr>
          <w:b/>
          <w:bCs/>
          <w:sz w:val="28"/>
          <w:szCs w:val="28"/>
        </w:rPr>
      </w:pPr>
      <w:r>
        <w:rPr>
          <w:b/>
          <w:bCs/>
          <w:sz w:val="28"/>
          <w:szCs w:val="28"/>
        </w:rPr>
        <w:t>注意：如果球囊充气至</w:t>
      </w:r>
      <w:r>
        <w:rPr>
          <w:b/>
          <w:bCs/>
          <w:sz w:val="28"/>
          <w:szCs w:val="28"/>
        </w:rPr>
        <w:t xml:space="preserve"> &gt; 4 atm</w:t>
      </w:r>
      <w:r>
        <w:rPr>
          <w:b/>
          <w:bCs/>
          <w:sz w:val="28"/>
          <w:szCs w:val="28"/>
        </w:rPr>
        <w:t>，则不应进行激发治疗，因为在治疗期间声压脉冲输出增加，并且更高的压力会增加球囊破裂的风险。</w:t>
      </w:r>
    </w:p>
    <w:p w:rsidR="00CA2089" w:rsidRDefault="00035E4E">
      <w:pPr>
        <w:pStyle w:val="af9"/>
        <w:spacing w:line="360" w:lineRule="auto"/>
        <w:ind w:firstLine="560"/>
        <w:rPr>
          <w:sz w:val="28"/>
          <w:szCs w:val="28"/>
        </w:rPr>
      </w:pPr>
      <w:r>
        <w:rPr>
          <w:sz w:val="28"/>
          <w:szCs w:val="28"/>
        </w:rPr>
        <w:t>5</w:t>
      </w:r>
      <w:r>
        <w:rPr>
          <w:sz w:val="28"/>
          <w:szCs w:val="28"/>
        </w:rPr>
        <w:t>）通过按下手柄上的治疗按钮，在</w:t>
      </w:r>
      <w:r>
        <w:rPr>
          <w:sz w:val="28"/>
          <w:szCs w:val="28"/>
        </w:rPr>
        <w:t xml:space="preserve"> 10 </w:t>
      </w:r>
      <w:r>
        <w:rPr>
          <w:sz w:val="28"/>
          <w:szCs w:val="28"/>
        </w:rPr>
        <w:t>秒的预编</w:t>
      </w:r>
      <w:proofErr w:type="gramStart"/>
      <w:r>
        <w:rPr>
          <w:sz w:val="28"/>
          <w:szCs w:val="28"/>
        </w:rPr>
        <w:t>程时间</w:t>
      </w:r>
      <w:proofErr w:type="gramEnd"/>
      <w:r>
        <w:rPr>
          <w:sz w:val="28"/>
          <w:szCs w:val="28"/>
        </w:rPr>
        <w:t>内提供震波治疗序列，以提供</w:t>
      </w:r>
      <w:r>
        <w:rPr>
          <w:sz w:val="28"/>
          <w:szCs w:val="28"/>
        </w:rPr>
        <w:t>10</w:t>
      </w:r>
      <w:r>
        <w:rPr>
          <w:sz w:val="28"/>
          <w:szCs w:val="28"/>
        </w:rPr>
        <w:t>个脉冲。</w:t>
      </w:r>
    </w:p>
    <w:p w:rsidR="00CA2089" w:rsidRDefault="00035E4E">
      <w:pPr>
        <w:pStyle w:val="af9"/>
        <w:spacing w:line="360" w:lineRule="auto"/>
        <w:ind w:firstLine="560"/>
        <w:rPr>
          <w:sz w:val="28"/>
          <w:szCs w:val="28"/>
        </w:rPr>
      </w:pPr>
      <w:r>
        <w:rPr>
          <w:sz w:val="28"/>
          <w:szCs w:val="28"/>
        </w:rPr>
        <w:t>6</w:t>
      </w:r>
      <w:r>
        <w:rPr>
          <w:sz w:val="28"/>
          <w:szCs w:val="28"/>
        </w:rPr>
        <w:t>）将震波球囊充盈至每个球囊顺应性图表的标称直径，并在透视中记录病变反应。</w:t>
      </w:r>
    </w:p>
    <w:p w:rsidR="00CA2089" w:rsidRDefault="00035E4E">
      <w:pPr>
        <w:pStyle w:val="af9"/>
        <w:spacing w:line="360" w:lineRule="auto"/>
        <w:ind w:firstLine="560"/>
        <w:rPr>
          <w:sz w:val="28"/>
          <w:szCs w:val="28"/>
        </w:rPr>
      </w:pPr>
      <w:r>
        <w:rPr>
          <w:sz w:val="28"/>
          <w:szCs w:val="28"/>
        </w:rPr>
        <w:t>7</w:t>
      </w:r>
      <w:r>
        <w:rPr>
          <w:sz w:val="28"/>
          <w:szCs w:val="28"/>
        </w:rPr>
        <w:t>）给震波球囊泄压并等待至少</w:t>
      </w:r>
      <w:r>
        <w:rPr>
          <w:sz w:val="28"/>
          <w:szCs w:val="28"/>
        </w:rPr>
        <w:t xml:space="preserve"> 10 </w:t>
      </w:r>
      <w:proofErr w:type="gramStart"/>
      <w:r>
        <w:rPr>
          <w:sz w:val="28"/>
          <w:szCs w:val="28"/>
        </w:rPr>
        <w:t>秒以重新</w:t>
      </w:r>
      <w:proofErr w:type="gramEnd"/>
      <w:r>
        <w:rPr>
          <w:sz w:val="28"/>
          <w:szCs w:val="28"/>
        </w:rPr>
        <w:t>恢复血流。球囊泄压时间不超过</w:t>
      </w:r>
      <w:r>
        <w:rPr>
          <w:sz w:val="28"/>
          <w:szCs w:val="28"/>
        </w:rPr>
        <w:t xml:space="preserve"> 15 </w:t>
      </w:r>
      <w:r>
        <w:rPr>
          <w:sz w:val="28"/>
          <w:szCs w:val="28"/>
        </w:rPr>
        <w:t>秒。</w:t>
      </w:r>
    </w:p>
    <w:p w:rsidR="00CA2089" w:rsidRDefault="00035E4E">
      <w:pPr>
        <w:pStyle w:val="af9"/>
        <w:spacing w:line="360" w:lineRule="auto"/>
        <w:ind w:firstLine="560"/>
        <w:rPr>
          <w:sz w:val="28"/>
          <w:szCs w:val="28"/>
        </w:rPr>
      </w:pPr>
      <w:r>
        <w:rPr>
          <w:sz w:val="28"/>
          <w:szCs w:val="28"/>
        </w:rPr>
        <w:t>8</w:t>
      </w:r>
      <w:r>
        <w:rPr>
          <w:sz w:val="28"/>
          <w:szCs w:val="28"/>
        </w:rPr>
        <w:t>）重复步骤</w:t>
      </w:r>
      <w:r>
        <w:rPr>
          <w:sz w:val="28"/>
          <w:szCs w:val="28"/>
        </w:rPr>
        <w:t xml:space="preserve"> 3</w:t>
      </w:r>
      <w:r>
        <w:rPr>
          <w:sz w:val="28"/>
          <w:szCs w:val="28"/>
        </w:rPr>
        <w:t>、</w:t>
      </w:r>
      <w:r>
        <w:rPr>
          <w:sz w:val="28"/>
          <w:szCs w:val="28"/>
        </w:rPr>
        <w:t>4</w:t>
      </w:r>
      <w:r>
        <w:rPr>
          <w:sz w:val="28"/>
          <w:szCs w:val="28"/>
        </w:rPr>
        <w:t>、</w:t>
      </w:r>
      <w:r>
        <w:rPr>
          <w:sz w:val="28"/>
          <w:szCs w:val="28"/>
        </w:rPr>
        <w:t xml:space="preserve">5 </w:t>
      </w:r>
      <w:r>
        <w:rPr>
          <w:sz w:val="28"/>
          <w:szCs w:val="28"/>
        </w:rPr>
        <w:t>和</w:t>
      </w:r>
      <w:r>
        <w:rPr>
          <w:sz w:val="28"/>
          <w:szCs w:val="28"/>
        </w:rPr>
        <w:t xml:space="preserve"> 6</w:t>
      </w:r>
      <w:r>
        <w:rPr>
          <w:sz w:val="28"/>
          <w:szCs w:val="28"/>
        </w:rPr>
        <w:t>进行更多的治疗周期，直到病变充分扩张或导管重新定位。</w:t>
      </w:r>
    </w:p>
    <w:p w:rsidR="00CA2089" w:rsidRDefault="00035E4E">
      <w:pPr>
        <w:spacing w:line="360" w:lineRule="auto"/>
        <w:ind w:firstLineChars="200" w:firstLine="562"/>
        <w:rPr>
          <w:sz w:val="28"/>
          <w:szCs w:val="28"/>
        </w:rPr>
      </w:pPr>
      <w:r>
        <w:rPr>
          <w:b/>
          <w:bCs/>
          <w:sz w:val="28"/>
          <w:szCs w:val="28"/>
        </w:rPr>
        <w:t>注意：每进行</w:t>
      </w:r>
      <w:r>
        <w:rPr>
          <w:b/>
          <w:bCs/>
          <w:sz w:val="28"/>
          <w:szCs w:val="28"/>
        </w:rPr>
        <w:t>3</w:t>
      </w:r>
      <w:r>
        <w:rPr>
          <w:b/>
          <w:bCs/>
          <w:sz w:val="28"/>
          <w:szCs w:val="28"/>
        </w:rPr>
        <w:t>次震波治疗序列（即激发</w:t>
      </w:r>
      <w:r>
        <w:rPr>
          <w:b/>
          <w:bCs/>
          <w:sz w:val="28"/>
          <w:szCs w:val="28"/>
        </w:rPr>
        <w:t>30</w:t>
      </w:r>
      <w:r>
        <w:rPr>
          <w:b/>
          <w:bCs/>
          <w:sz w:val="28"/>
          <w:szCs w:val="28"/>
        </w:rPr>
        <w:t>次），则需要排空球囊，并重新充盈球囊至治疗压力。</w:t>
      </w:r>
    </w:p>
    <w:p w:rsidR="00CA2089" w:rsidRDefault="00035E4E">
      <w:pPr>
        <w:pStyle w:val="af9"/>
        <w:spacing w:line="360" w:lineRule="auto"/>
        <w:ind w:firstLine="560"/>
        <w:rPr>
          <w:sz w:val="28"/>
          <w:szCs w:val="28"/>
        </w:rPr>
      </w:pPr>
      <w:r>
        <w:rPr>
          <w:sz w:val="28"/>
          <w:szCs w:val="28"/>
        </w:rPr>
        <w:t>9</w:t>
      </w:r>
      <w:r>
        <w:rPr>
          <w:sz w:val="28"/>
          <w:szCs w:val="28"/>
        </w:rPr>
        <w:t>）如果认为有必要，可以进行额外的治疗。如果由于病变长度大于</w:t>
      </w:r>
      <w:r>
        <w:rPr>
          <w:sz w:val="28"/>
          <w:szCs w:val="28"/>
        </w:rPr>
        <w:lastRenderedPageBreak/>
        <w:t>震波球囊长度而需要多次充盈，建议球囊重叠区域至少为</w:t>
      </w:r>
      <w:r>
        <w:rPr>
          <w:sz w:val="28"/>
          <w:szCs w:val="28"/>
        </w:rPr>
        <w:t>2</w:t>
      </w:r>
      <w:r>
        <w:rPr>
          <w:sz w:val="28"/>
          <w:szCs w:val="28"/>
        </w:rPr>
        <w:t>毫米，以防止重叠区域未被完全震裂。但是，必须注意在同一治疗段中最多不要超过</w:t>
      </w:r>
      <w:r>
        <w:rPr>
          <w:sz w:val="28"/>
          <w:szCs w:val="28"/>
        </w:rPr>
        <w:t>80</w:t>
      </w:r>
      <w:r>
        <w:rPr>
          <w:sz w:val="28"/>
          <w:szCs w:val="28"/>
        </w:rPr>
        <w:t>个脉冲，因此在重叠区域中不要超过</w:t>
      </w:r>
      <w:r>
        <w:rPr>
          <w:sz w:val="28"/>
          <w:szCs w:val="28"/>
        </w:rPr>
        <w:t>160</w:t>
      </w:r>
      <w:r>
        <w:rPr>
          <w:sz w:val="28"/>
          <w:szCs w:val="28"/>
        </w:rPr>
        <w:t>个脉冲。</w:t>
      </w:r>
    </w:p>
    <w:p w:rsidR="00CA2089" w:rsidRDefault="00035E4E">
      <w:pPr>
        <w:pStyle w:val="af9"/>
        <w:spacing w:line="360" w:lineRule="auto"/>
        <w:ind w:firstLine="560"/>
        <w:rPr>
          <w:sz w:val="28"/>
          <w:szCs w:val="28"/>
        </w:rPr>
      </w:pPr>
      <w:r>
        <w:rPr>
          <w:sz w:val="28"/>
          <w:szCs w:val="28"/>
        </w:rPr>
        <w:t>10</w:t>
      </w:r>
      <w:r>
        <w:rPr>
          <w:sz w:val="28"/>
          <w:szCs w:val="28"/>
        </w:rPr>
        <w:t>）执行完整的动脉造影以评估干预后结果。</w:t>
      </w:r>
    </w:p>
    <w:p w:rsidR="00CA2089" w:rsidRDefault="00035E4E">
      <w:pPr>
        <w:pStyle w:val="af9"/>
        <w:spacing w:line="360" w:lineRule="auto"/>
        <w:ind w:firstLine="560"/>
        <w:rPr>
          <w:sz w:val="28"/>
          <w:szCs w:val="28"/>
        </w:rPr>
      </w:pPr>
      <w:r>
        <w:rPr>
          <w:sz w:val="28"/>
          <w:szCs w:val="28"/>
        </w:rPr>
        <w:t>11</w:t>
      </w:r>
      <w:r>
        <w:rPr>
          <w:sz w:val="28"/>
          <w:szCs w:val="28"/>
        </w:rPr>
        <w:t>）在移除震波球囊扩张导管之前，将装置泄压并确认球囊已完全泄压。</w:t>
      </w:r>
    </w:p>
    <w:p w:rsidR="00CA2089" w:rsidRDefault="00035E4E">
      <w:pPr>
        <w:pStyle w:val="af9"/>
        <w:spacing w:line="360" w:lineRule="auto"/>
        <w:ind w:firstLine="560"/>
        <w:rPr>
          <w:sz w:val="28"/>
          <w:szCs w:val="28"/>
        </w:rPr>
      </w:pPr>
      <w:r>
        <w:rPr>
          <w:sz w:val="28"/>
          <w:szCs w:val="28"/>
        </w:rPr>
        <w:t>12</w:t>
      </w:r>
      <w:r>
        <w:rPr>
          <w:sz w:val="28"/>
          <w:szCs w:val="28"/>
        </w:rPr>
        <w:t>）移除震波球囊扩张导管。如果由于润滑性而难以通过止血阀移除装置，请用无菌纱布轻轻抓住震波球囊扩张导管。</w:t>
      </w:r>
    </w:p>
    <w:p w:rsidR="00CA2089" w:rsidRDefault="00035E4E">
      <w:pPr>
        <w:pStyle w:val="af9"/>
        <w:spacing w:line="360" w:lineRule="auto"/>
        <w:ind w:firstLine="560"/>
        <w:rPr>
          <w:sz w:val="28"/>
          <w:szCs w:val="28"/>
        </w:rPr>
      </w:pPr>
      <w:r>
        <w:rPr>
          <w:sz w:val="28"/>
          <w:szCs w:val="28"/>
        </w:rPr>
        <w:t>13</w:t>
      </w:r>
      <w:r>
        <w:rPr>
          <w:sz w:val="28"/>
          <w:szCs w:val="28"/>
        </w:rPr>
        <w:t>）检查所有组件以确保震波球囊扩张导管完好无损。如果发生设备故障或检查中发现任何缺陷，请冲洗导丝腔并用生理盐水清洁导管外表面，将震波球囊扩张导管存放在密封塑料袋中，并通过电话联系本公司以获取进一步说明。</w:t>
      </w:r>
    </w:p>
    <w:p w:rsidR="00CA2089" w:rsidRDefault="00035E4E">
      <w:pPr>
        <w:spacing w:line="360" w:lineRule="auto"/>
        <w:ind w:firstLineChars="200" w:firstLine="562"/>
        <w:rPr>
          <w:sz w:val="28"/>
          <w:szCs w:val="28"/>
        </w:rPr>
      </w:pPr>
      <w:r>
        <w:rPr>
          <w:b/>
          <w:bCs/>
          <w:sz w:val="28"/>
          <w:szCs w:val="28"/>
        </w:rPr>
        <w:t>注意：震波球囊扩张导管一旦从身体中拔出，不应重新进入人体以进行额外的充盈或震波治疗。</w:t>
      </w:r>
      <w:r>
        <w:rPr>
          <w:sz w:val="28"/>
          <w:szCs w:val="28"/>
        </w:rPr>
        <w:t xml:space="preserve"> </w:t>
      </w:r>
    </w:p>
    <w:p w:rsidR="00CA2089" w:rsidRDefault="00035E4E">
      <w:pPr>
        <w:spacing w:line="360" w:lineRule="auto"/>
        <w:ind w:firstLineChars="200" w:firstLine="560"/>
        <w:rPr>
          <w:sz w:val="28"/>
          <w:szCs w:val="28"/>
        </w:rPr>
      </w:pPr>
      <w:r>
        <w:rPr>
          <w:sz w:val="28"/>
          <w:szCs w:val="28"/>
        </w:rPr>
        <w:t>表</w:t>
      </w:r>
      <w:r>
        <w:rPr>
          <w:sz w:val="28"/>
          <w:szCs w:val="28"/>
        </w:rPr>
        <w:t xml:space="preserve">1  </w:t>
      </w:r>
      <w:r>
        <w:rPr>
          <w:sz w:val="28"/>
          <w:szCs w:val="28"/>
        </w:rPr>
        <w:t>震波球囊扩张导管顺应性信息和推荐扩张压力如下：</w:t>
      </w:r>
    </w:p>
    <w:tbl>
      <w:tblPr>
        <w:tblW w:w="906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697"/>
        <w:gridCol w:w="853"/>
        <w:gridCol w:w="615"/>
        <w:gridCol w:w="649"/>
        <w:gridCol w:w="652"/>
        <w:gridCol w:w="649"/>
        <w:gridCol w:w="646"/>
        <w:gridCol w:w="649"/>
        <w:gridCol w:w="652"/>
      </w:tblGrid>
      <w:tr w:rsidR="00CA2089">
        <w:trPr>
          <w:cantSplit/>
          <w:trHeight w:val="264"/>
          <w:jc w:val="center"/>
        </w:trPr>
        <w:tc>
          <w:tcPr>
            <w:tcW w:w="3697" w:type="dxa"/>
            <w:vMerge w:val="restart"/>
            <w:tcMar>
              <w:top w:w="0" w:type="dxa"/>
              <w:left w:w="108" w:type="dxa"/>
              <w:bottom w:w="0" w:type="dxa"/>
              <w:right w:w="108" w:type="dxa"/>
            </w:tcMar>
            <w:vAlign w:val="center"/>
          </w:tcPr>
          <w:p w:rsidR="00CA2089" w:rsidRDefault="00035E4E">
            <w:pPr>
              <w:snapToGrid w:val="0"/>
              <w:spacing w:line="360" w:lineRule="auto"/>
              <w:jc w:val="center"/>
              <w:rPr>
                <w:b/>
                <w:color w:val="000000" w:themeColor="text1"/>
                <w:szCs w:val="21"/>
              </w:rPr>
            </w:pPr>
            <w:r>
              <w:rPr>
                <w:szCs w:val="21"/>
              </w:rPr>
              <w:t>扩张压力</w:t>
            </w:r>
            <w:r>
              <w:rPr>
                <w:szCs w:val="21"/>
              </w:rPr>
              <w:t>kPa / atm</w:t>
            </w:r>
          </w:p>
        </w:tc>
        <w:tc>
          <w:tcPr>
            <w:tcW w:w="5365" w:type="dxa"/>
            <w:gridSpan w:val="8"/>
            <w:tcMar>
              <w:top w:w="0" w:type="dxa"/>
              <w:left w:w="108" w:type="dxa"/>
              <w:bottom w:w="0" w:type="dxa"/>
              <w:right w:w="108" w:type="dxa"/>
            </w:tcMar>
            <w:vAlign w:val="center"/>
          </w:tcPr>
          <w:p w:rsidR="00CA2089" w:rsidRDefault="00035E4E">
            <w:pPr>
              <w:snapToGrid w:val="0"/>
              <w:spacing w:line="360" w:lineRule="auto"/>
              <w:jc w:val="center"/>
              <w:rPr>
                <w:b/>
                <w:color w:val="000000" w:themeColor="text1"/>
                <w:szCs w:val="21"/>
              </w:rPr>
            </w:pPr>
            <w:r>
              <w:rPr>
                <w:szCs w:val="21"/>
              </w:rPr>
              <w:t>直径（</w:t>
            </w:r>
            <w:r>
              <w:rPr>
                <w:szCs w:val="21"/>
              </w:rPr>
              <w:t>mm</w:t>
            </w:r>
            <w:r>
              <w:rPr>
                <w:szCs w:val="21"/>
              </w:rPr>
              <w:t>）</w:t>
            </w:r>
          </w:p>
        </w:tc>
      </w:tr>
      <w:tr w:rsidR="00CA2089">
        <w:trPr>
          <w:cantSplit/>
          <w:trHeight w:val="287"/>
          <w:jc w:val="center"/>
        </w:trPr>
        <w:tc>
          <w:tcPr>
            <w:tcW w:w="3697" w:type="dxa"/>
            <w:vMerge/>
            <w:vAlign w:val="center"/>
          </w:tcPr>
          <w:p w:rsidR="00CA2089" w:rsidRDefault="00CA2089">
            <w:pPr>
              <w:spacing w:line="360" w:lineRule="auto"/>
              <w:jc w:val="left"/>
              <w:rPr>
                <w:b/>
                <w:color w:val="000000" w:themeColor="text1"/>
                <w:szCs w:val="21"/>
              </w:rPr>
            </w:pP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2.5</w:t>
            </w:r>
          </w:p>
        </w:tc>
        <w:tc>
          <w:tcPr>
            <w:tcW w:w="649" w:type="dxa"/>
            <w:vAlign w:val="center"/>
          </w:tcPr>
          <w:p w:rsidR="00CA2089" w:rsidRDefault="00035E4E">
            <w:pPr>
              <w:snapToGrid w:val="0"/>
              <w:spacing w:line="360" w:lineRule="auto"/>
              <w:jc w:val="center"/>
              <w:rPr>
                <w:szCs w:val="21"/>
              </w:rPr>
            </w:pPr>
            <w:r>
              <w:rPr>
                <w:szCs w:val="21"/>
              </w:rPr>
              <w:t>2.75</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vAlign w:val="center"/>
          </w:tcPr>
          <w:p w:rsidR="00CA2089" w:rsidRDefault="00035E4E">
            <w:pPr>
              <w:snapToGrid w:val="0"/>
              <w:spacing w:line="360" w:lineRule="auto"/>
              <w:jc w:val="center"/>
              <w:rPr>
                <w:szCs w:val="21"/>
              </w:rPr>
            </w:pPr>
            <w:r>
              <w:rPr>
                <w:szCs w:val="21"/>
              </w:rPr>
              <w:t>3.25</w:t>
            </w:r>
          </w:p>
        </w:tc>
        <w:tc>
          <w:tcPr>
            <w:tcW w:w="646" w:type="dxa"/>
            <w:vAlign w:val="center"/>
          </w:tcPr>
          <w:p w:rsidR="00CA2089" w:rsidRDefault="00035E4E">
            <w:pPr>
              <w:snapToGrid w:val="0"/>
              <w:spacing w:line="360" w:lineRule="auto"/>
              <w:jc w:val="center"/>
              <w:rPr>
                <w:szCs w:val="21"/>
              </w:rPr>
            </w:pPr>
            <w:r>
              <w:rPr>
                <w:szCs w:val="21"/>
              </w:rPr>
              <w:t>3.5</w:t>
            </w:r>
          </w:p>
        </w:tc>
        <w:tc>
          <w:tcPr>
            <w:tcW w:w="649" w:type="dxa"/>
            <w:vAlign w:val="center"/>
          </w:tcPr>
          <w:p w:rsidR="00CA2089" w:rsidRDefault="00035E4E">
            <w:pPr>
              <w:snapToGrid w:val="0"/>
              <w:spacing w:line="360" w:lineRule="auto"/>
              <w:jc w:val="center"/>
              <w:rPr>
                <w:szCs w:val="21"/>
              </w:rPr>
            </w:pPr>
            <w:r>
              <w:rPr>
                <w:szCs w:val="21"/>
              </w:rPr>
              <w:t>3.75</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 xml:space="preserve">405/4* </w:t>
            </w:r>
            <w:r>
              <w:rPr>
                <w:szCs w:val="21"/>
              </w:rPr>
              <w:t>（治疗压力）</w:t>
            </w:r>
          </w:p>
        </w:tc>
        <w:tc>
          <w:tcPr>
            <w:tcW w:w="853" w:type="dxa"/>
            <w:tcBorders>
              <w:right w:val="single" w:sz="4" w:space="0" w:color="auto"/>
            </w:tcBorders>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1.9</w:t>
            </w:r>
          </w:p>
        </w:tc>
        <w:tc>
          <w:tcPr>
            <w:tcW w:w="615" w:type="dxa"/>
            <w:tcBorders>
              <w:left w:val="single" w:sz="4" w:space="0" w:color="auto"/>
            </w:tcBorders>
            <w:shd w:val="clear" w:color="auto" w:fill="CCCCCC"/>
            <w:vAlign w:val="center"/>
          </w:tcPr>
          <w:p w:rsidR="00CA2089" w:rsidRDefault="00035E4E">
            <w:pPr>
              <w:snapToGrid w:val="0"/>
              <w:spacing w:line="360" w:lineRule="auto"/>
              <w:jc w:val="center"/>
              <w:rPr>
                <w:szCs w:val="21"/>
              </w:rPr>
            </w:pPr>
            <w:r>
              <w:rPr>
                <w:szCs w:val="21"/>
              </w:rPr>
              <w:t>2.4</w:t>
            </w:r>
          </w:p>
        </w:tc>
        <w:tc>
          <w:tcPr>
            <w:tcW w:w="649" w:type="dxa"/>
            <w:shd w:val="clear" w:color="auto" w:fill="CCCCCC"/>
            <w:vAlign w:val="center"/>
          </w:tcPr>
          <w:p w:rsidR="00CA2089" w:rsidRDefault="00035E4E">
            <w:pPr>
              <w:snapToGrid w:val="0"/>
              <w:spacing w:line="360" w:lineRule="auto"/>
              <w:jc w:val="center"/>
              <w:rPr>
                <w:szCs w:val="21"/>
              </w:rPr>
            </w:pPr>
            <w:r>
              <w:rPr>
                <w:szCs w:val="21"/>
              </w:rPr>
              <w:t>2.6</w:t>
            </w:r>
          </w:p>
        </w:tc>
        <w:tc>
          <w:tcPr>
            <w:tcW w:w="652" w:type="dxa"/>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2.9</w:t>
            </w:r>
          </w:p>
        </w:tc>
        <w:tc>
          <w:tcPr>
            <w:tcW w:w="649" w:type="dxa"/>
            <w:shd w:val="clear" w:color="auto" w:fill="CCCCCC"/>
            <w:vAlign w:val="center"/>
          </w:tcPr>
          <w:p w:rsidR="00CA2089" w:rsidRDefault="00035E4E">
            <w:pPr>
              <w:snapToGrid w:val="0"/>
              <w:spacing w:line="360" w:lineRule="auto"/>
              <w:jc w:val="center"/>
              <w:rPr>
                <w:szCs w:val="21"/>
              </w:rPr>
            </w:pPr>
            <w:r>
              <w:rPr>
                <w:szCs w:val="21"/>
              </w:rPr>
              <w:t>3.2</w:t>
            </w:r>
          </w:p>
        </w:tc>
        <w:tc>
          <w:tcPr>
            <w:tcW w:w="646" w:type="dxa"/>
            <w:shd w:val="clear" w:color="auto" w:fill="CCCCCC"/>
            <w:vAlign w:val="center"/>
          </w:tcPr>
          <w:p w:rsidR="00CA2089" w:rsidRDefault="00035E4E">
            <w:pPr>
              <w:snapToGrid w:val="0"/>
              <w:spacing w:line="360" w:lineRule="auto"/>
              <w:jc w:val="center"/>
              <w:rPr>
                <w:szCs w:val="21"/>
              </w:rPr>
            </w:pPr>
            <w:r>
              <w:rPr>
                <w:szCs w:val="21"/>
              </w:rPr>
              <w:t>3.4</w:t>
            </w:r>
          </w:p>
        </w:tc>
        <w:tc>
          <w:tcPr>
            <w:tcW w:w="649" w:type="dxa"/>
            <w:shd w:val="clear" w:color="auto" w:fill="CCCCCC"/>
            <w:vAlign w:val="center"/>
          </w:tcPr>
          <w:p w:rsidR="00CA2089" w:rsidRDefault="00035E4E">
            <w:pPr>
              <w:snapToGrid w:val="0"/>
              <w:spacing w:line="360" w:lineRule="auto"/>
              <w:jc w:val="center"/>
              <w:rPr>
                <w:szCs w:val="21"/>
              </w:rPr>
            </w:pPr>
            <w:r>
              <w:rPr>
                <w:szCs w:val="21"/>
              </w:rPr>
              <w:t>3.6</w:t>
            </w:r>
          </w:p>
        </w:tc>
        <w:tc>
          <w:tcPr>
            <w:tcW w:w="652" w:type="dxa"/>
            <w:shd w:val="clear" w:color="auto" w:fill="CCCCCC"/>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3.9</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507/5</w:t>
            </w: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1.9</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2.4</w:t>
            </w:r>
          </w:p>
        </w:tc>
        <w:tc>
          <w:tcPr>
            <w:tcW w:w="649" w:type="dxa"/>
            <w:vAlign w:val="center"/>
          </w:tcPr>
          <w:p w:rsidR="00CA2089" w:rsidRDefault="00035E4E">
            <w:pPr>
              <w:snapToGrid w:val="0"/>
              <w:spacing w:line="360" w:lineRule="auto"/>
              <w:jc w:val="center"/>
              <w:rPr>
                <w:szCs w:val="21"/>
              </w:rPr>
            </w:pPr>
            <w:r>
              <w:rPr>
                <w:szCs w:val="21"/>
              </w:rPr>
              <w:t>2.6</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2.9</w:t>
            </w:r>
          </w:p>
        </w:tc>
        <w:tc>
          <w:tcPr>
            <w:tcW w:w="649" w:type="dxa"/>
            <w:vAlign w:val="center"/>
          </w:tcPr>
          <w:p w:rsidR="00CA2089" w:rsidRDefault="00035E4E">
            <w:pPr>
              <w:snapToGrid w:val="0"/>
              <w:spacing w:line="360" w:lineRule="auto"/>
              <w:jc w:val="center"/>
              <w:rPr>
                <w:szCs w:val="21"/>
              </w:rPr>
            </w:pPr>
            <w:r>
              <w:rPr>
                <w:szCs w:val="21"/>
              </w:rPr>
              <w:t>3.2</w:t>
            </w:r>
          </w:p>
        </w:tc>
        <w:tc>
          <w:tcPr>
            <w:tcW w:w="646" w:type="dxa"/>
            <w:vAlign w:val="center"/>
          </w:tcPr>
          <w:p w:rsidR="00CA2089" w:rsidRDefault="00035E4E">
            <w:pPr>
              <w:snapToGrid w:val="0"/>
              <w:spacing w:line="360" w:lineRule="auto"/>
              <w:jc w:val="center"/>
              <w:rPr>
                <w:szCs w:val="21"/>
              </w:rPr>
            </w:pPr>
            <w:r>
              <w:rPr>
                <w:szCs w:val="21"/>
              </w:rPr>
              <w:t>3.4</w:t>
            </w:r>
          </w:p>
        </w:tc>
        <w:tc>
          <w:tcPr>
            <w:tcW w:w="649" w:type="dxa"/>
            <w:vAlign w:val="center"/>
          </w:tcPr>
          <w:p w:rsidR="00CA2089" w:rsidRDefault="00035E4E">
            <w:pPr>
              <w:snapToGrid w:val="0"/>
              <w:spacing w:line="360" w:lineRule="auto"/>
              <w:jc w:val="center"/>
              <w:rPr>
                <w:szCs w:val="21"/>
              </w:rPr>
            </w:pPr>
            <w:r>
              <w:rPr>
                <w:szCs w:val="21"/>
              </w:rPr>
              <w:t>3.7</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3.9</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608/6**</w:t>
            </w:r>
            <w:r>
              <w:rPr>
                <w:szCs w:val="21"/>
              </w:rPr>
              <w:t>（标称压力）</w:t>
            </w:r>
          </w:p>
        </w:tc>
        <w:tc>
          <w:tcPr>
            <w:tcW w:w="853" w:type="dxa"/>
            <w:tcBorders>
              <w:right w:val="single" w:sz="4" w:space="0" w:color="auto"/>
            </w:tcBorders>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BFBFBF" w:themeFill="background1" w:themeFillShade="BF"/>
            <w:vAlign w:val="center"/>
          </w:tcPr>
          <w:p w:rsidR="00CA2089" w:rsidRDefault="00035E4E">
            <w:pPr>
              <w:snapToGrid w:val="0"/>
              <w:spacing w:line="360" w:lineRule="auto"/>
              <w:jc w:val="center"/>
              <w:rPr>
                <w:szCs w:val="21"/>
              </w:rPr>
            </w:pPr>
            <w:r>
              <w:rPr>
                <w:szCs w:val="21"/>
              </w:rPr>
              <w:t>2.5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2.7</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3.2</w:t>
            </w:r>
          </w:p>
        </w:tc>
        <w:tc>
          <w:tcPr>
            <w:tcW w:w="646"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3.7</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709/7</w:t>
            </w:r>
          </w:p>
        </w:tc>
        <w:tc>
          <w:tcPr>
            <w:tcW w:w="853" w:type="dxa"/>
            <w:tcBorders>
              <w:right w:val="single" w:sz="4" w:space="0" w:color="auto"/>
            </w:tcBorders>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auto"/>
            <w:vAlign w:val="center"/>
          </w:tcPr>
          <w:p w:rsidR="00CA2089" w:rsidRDefault="00035E4E">
            <w:pPr>
              <w:snapToGrid w:val="0"/>
              <w:spacing w:line="360" w:lineRule="auto"/>
              <w:jc w:val="center"/>
              <w:rPr>
                <w:szCs w:val="21"/>
              </w:rPr>
            </w:pPr>
            <w:r>
              <w:rPr>
                <w:szCs w:val="21"/>
              </w:rPr>
              <w:t>2.5</w:t>
            </w:r>
          </w:p>
        </w:tc>
        <w:tc>
          <w:tcPr>
            <w:tcW w:w="649" w:type="dxa"/>
            <w:shd w:val="clear" w:color="auto" w:fill="auto"/>
            <w:vAlign w:val="center"/>
          </w:tcPr>
          <w:p w:rsidR="00CA2089" w:rsidRDefault="00035E4E">
            <w:pPr>
              <w:snapToGrid w:val="0"/>
              <w:spacing w:line="360" w:lineRule="auto"/>
              <w:jc w:val="center"/>
              <w:rPr>
                <w:szCs w:val="21"/>
              </w:rPr>
            </w:pPr>
            <w:r>
              <w:rPr>
                <w:szCs w:val="21"/>
              </w:rPr>
              <w:t>2.7</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auto"/>
            <w:vAlign w:val="center"/>
          </w:tcPr>
          <w:p w:rsidR="00CA2089" w:rsidRDefault="00035E4E">
            <w:pPr>
              <w:snapToGrid w:val="0"/>
              <w:spacing w:line="360" w:lineRule="auto"/>
              <w:jc w:val="center"/>
              <w:rPr>
                <w:szCs w:val="21"/>
              </w:rPr>
            </w:pPr>
            <w:r>
              <w:rPr>
                <w:szCs w:val="21"/>
              </w:rPr>
              <w:t>3.2</w:t>
            </w:r>
          </w:p>
        </w:tc>
        <w:tc>
          <w:tcPr>
            <w:tcW w:w="646" w:type="dxa"/>
            <w:shd w:val="clear" w:color="auto" w:fill="auto"/>
            <w:vAlign w:val="center"/>
          </w:tcPr>
          <w:p w:rsidR="00CA2089" w:rsidRDefault="00035E4E">
            <w:pPr>
              <w:snapToGrid w:val="0"/>
              <w:spacing w:line="360" w:lineRule="auto"/>
              <w:jc w:val="center"/>
              <w:rPr>
                <w:szCs w:val="21"/>
              </w:rPr>
            </w:pPr>
            <w:r>
              <w:rPr>
                <w:szCs w:val="21"/>
              </w:rPr>
              <w:t>3.5</w:t>
            </w:r>
          </w:p>
        </w:tc>
        <w:tc>
          <w:tcPr>
            <w:tcW w:w="649" w:type="dxa"/>
            <w:shd w:val="clear" w:color="auto" w:fill="auto"/>
            <w:vAlign w:val="center"/>
          </w:tcPr>
          <w:p w:rsidR="00CA2089" w:rsidRDefault="00035E4E">
            <w:pPr>
              <w:snapToGrid w:val="0"/>
              <w:spacing w:line="360" w:lineRule="auto"/>
              <w:jc w:val="center"/>
              <w:rPr>
                <w:szCs w:val="21"/>
              </w:rPr>
            </w:pPr>
            <w:r>
              <w:rPr>
                <w:szCs w:val="21"/>
              </w:rPr>
              <w:t>3.7</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303"/>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811/8</w:t>
            </w:r>
          </w:p>
        </w:tc>
        <w:tc>
          <w:tcPr>
            <w:tcW w:w="853" w:type="dxa"/>
            <w:tcBorders>
              <w:right w:val="single" w:sz="4" w:space="0" w:color="auto"/>
            </w:tcBorders>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shd w:val="clear" w:color="auto" w:fill="auto"/>
            <w:vAlign w:val="center"/>
          </w:tcPr>
          <w:p w:rsidR="00CA2089" w:rsidRDefault="00035E4E">
            <w:pPr>
              <w:snapToGrid w:val="0"/>
              <w:spacing w:line="360" w:lineRule="auto"/>
              <w:jc w:val="center"/>
              <w:rPr>
                <w:szCs w:val="21"/>
              </w:rPr>
            </w:pPr>
            <w:r>
              <w:rPr>
                <w:szCs w:val="21"/>
              </w:rPr>
              <w:t>2.5</w:t>
            </w:r>
          </w:p>
        </w:tc>
        <w:tc>
          <w:tcPr>
            <w:tcW w:w="649" w:type="dxa"/>
            <w:shd w:val="clear" w:color="auto" w:fill="auto"/>
            <w:vAlign w:val="center"/>
          </w:tcPr>
          <w:p w:rsidR="00CA2089" w:rsidRDefault="00035E4E">
            <w:pPr>
              <w:snapToGrid w:val="0"/>
              <w:spacing w:line="360" w:lineRule="auto"/>
              <w:jc w:val="center"/>
              <w:rPr>
                <w:szCs w:val="21"/>
              </w:rPr>
            </w:pPr>
            <w:r>
              <w:rPr>
                <w:szCs w:val="21"/>
              </w:rPr>
              <w:t>2.8</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shd w:val="clear" w:color="auto" w:fill="auto"/>
            <w:vAlign w:val="center"/>
          </w:tcPr>
          <w:p w:rsidR="00CA2089" w:rsidRDefault="00035E4E">
            <w:pPr>
              <w:snapToGrid w:val="0"/>
              <w:spacing w:line="360" w:lineRule="auto"/>
              <w:jc w:val="center"/>
              <w:rPr>
                <w:szCs w:val="21"/>
              </w:rPr>
            </w:pPr>
            <w:r>
              <w:rPr>
                <w:szCs w:val="21"/>
              </w:rPr>
              <w:t>3.2</w:t>
            </w:r>
          </w:p>
        </w:tc>
        <w:tc>
          <w:tcPr>
            <w:tcW w:w="646" w:type="dxa"/>
            <w:shd w:val="clear" w:color="auto" w:fill="auto"/>
            <w:vAlign w:val="center"/>
          </w:tcPr>
          <w:p w:rsidR="00CA2089" w:rsidRDefault="00035E4E">
            <w:pPr>
              <w:snapToGrid w:val="0"/>
              <w:spacing w:line="360" w:lineRule="auto"/>
              <w:jc w:val="center"/>
              <w:rPr>
                <w:szCs w:val="21"/>
              </w:rPr>
            </w:pPr>
            <w:r>
              <w:rPr>
                <w:szCs w:val="21"/>
              </w:rPr>
              <w:t>3.5</w:t>
            </w:r>
          </w:p>
        </w:tc>
        <w:tc>
          <w:tcPr>
            <w:tcW w:w="649" w:type="dxa"/>
            <w:shd w:val="clear" w:color="auto" w:fill="auto"/>
            <w:vAlign w:val="center"/>
          </w:tcPr>
          <w:p w:rsidR="00CA2089" w:rsidRDefault="00035E4E">
            <w:pPr>
              <w:snapToGrid w:val="0"/>
              <w:spacing w:line="360" w:lineRule="auto"/>
              <w:jc w:val="center"/>
              <w:rPr>
                <w:szCs w:val="21"/>
              </w:rPr>
            </w:pPr>
            <w:r>
              <w:rPr>
                <w:szCs w:val="21"/>
              </w:rPr>
              <w:t>3.8</w:t>
            </w:r>
          </w:p>
        </w:tc>
        <w:tc>
          <w:tcPr>
            <w:tcW w:w="652" w:type="dxa"/>
            <w:shd w:val="clear" w:color="auto" w:fill="auto"/>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4.0</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912/9</w:t>
            </w:r>
          </w:p>
        </w:tc>
        <w:tc>
          <w:tcPr>
            <w:tcW w:w="853" w:type="dxa"/>
            <w:tcBorders>
              <w:right w:val="single" w:sz="4" w:space="0" w:color="auto"/>
            </w:tcBorders>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2.0</w:t>
            </w:r>
          </w:p>
        </w:tc>
        <w:tc>
          <w:tcPr>
            <w:tcW w:w="615" w:type="dxa"/>
            <w:tcBorders>
              <w:left w:val="single" w:sz="4" w:space="0" w:color="auto"/>
            </w:tcBorders>
            <w:vAlign w:val="center"/>
          </w:tcPr>
          <w:p w:rsidR="00CA2089" w:rsidRDefault="00035E4E">
            <w:pPr>
              <w:snapToGrid w:val="0"/>
              <w:spacing w:line="360" w:lineRule="auto"/>
              <w:jc w:val="center"/>
              <w:rPr>
                <w:szCs w:val="21"/>
              </w:rPr>
            </w:pPr>
            <w:r>
              <w:rPr>
                <w:szCs w:val="21"/>
              </w:rPr>
              <w:t>2.5</w:t>
            </w:r>
          </w:p>
        </w:tc>
        <w:tc>
          <w:tcPr>
            <w:tcW w:w="649" w:type="dxa"/>
            <w:vAlign w:val="center"/>
          </w:tcPr>
          <w:p w:rsidR="00CA2089" w:rsidRDefault="00035E4E">
            <w:pPr>
              <w:snapToGrid w:val="0"/>
              <w:spacing w:line="360" w:lineRule="auto"/>
              <w:jc w:val="center"/>
              <w:rPr>
                <w:szCs w:val="21"/>
              </w:rPr>
            </w:pPr>
            <w:r>
              <w:rPr>
                <w:szCs w:val="21"/>
              </w:rPr>
              <w:t>2.8</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3.0</w:t>
            </w:r>
          </w:p>
        </w:tc>
        <w:tc>
          <w:tcPr>
            <w:tcW w:w="649" w:type="dxa"/>
            <w:vAlign w:val="center"/>
          </w:tcPr>
          <w:p w:rsidR="00CA2089" w:rsidRDefault="00035E4E">
            <w:pPr>
              <w:snapToGrid w:val="0"/>
              <w:spacing w:line="360" w:lineRule="auto"/>
              <w:jc w:val="center"/>
              <w:rPr>
                <w:szCs w:val="21"/>
              </w:rPr>
            </w:pPr>
            <w:r>
              <w:rPr>
                <w:szCs w:val="21"/>
              </w:rPr>
              <w:t>3.3</w:t>
            </w:r>
          </w:p>
        </w:tc>
        <w:tc>
          <w:tcPr>
            <w:tcW w:w="646" w:type="dxa"/>
            <w:vAlign w:val="center"/>
          </w:tcPr>
          <w:p w:rsidR="00CA2089" w:rsidRDefault="00035E4E">
            <w:pPr>
              <w:snapToGrid w:val="0"/>
              <w:spacing w:line="360" w:lineRule="auto"/>
              <w:jc w:val="center"/>
              <w:rPr>
                <w:szCs w:val="21"/>
              </w:rPr>
            </w:pPr>
            <w:r>
              <w:rPr>
                <w:szCs w:val="21"/>
              </w:rPr>
              <w:t>3.5</w:t>
            </w:r>
          </w:p>
        </w:tc>
        <w:tc>
          <w:tcPr>
            <w:tcW w:w="649" w:type="dxa"/>
            <w:vAlign w:val="center"/>
          </w:tcPr>
          <w:p w:rsidR="00CA2089" w:rsidRDefault="00035E4E">
            <w:pPr>
              <w:snapToGrid w:val="0"/>
              <w:spacing w:line="360" w:lineRule="auto"/>
              <w:jc w:val="center"/>
              <w:rPr>
                <w:szCs w:val="21"/>
              </w:rPr>
            </w:pPr>
            <w:r>
              <w:rPr>
                <w:szCs w:val="21"/>
              </w:rPr>
              <w:t>3.8</w:t>
            </w:r>
          </w:p>
        </w:tc>
        <w:tc>
          <w:tcPr>
            <w:tcW w:w="652"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4.1</w:t>
            </w:r>
          </w:p>
        </w:tc>
      </w:tr>
      <w:tr w:rsidR="00CA2089">
        <w:trPr>
          <w:cantSplit/>
          <w:trHeight w:val="287"/>
          <w:jc w:val="center"/>
        </w:trPr>
        <w:tc>
          <w:tcPr>
            <w:tcW w:w="3697" w:type="dxa"/>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1013/10***</w:t>
            </w:r>
            <w:r>
              <w:rPr>
                <w:szCs w:val="21"/>
              </w:rPr>
              <w:t>（额定爆破压力）</w:t>
            </w:r>
          </w:p>
        </w:tc>
        <w:tc>
          <w:tcPr>
            <w:tcW w:w="853" w:type="dxa"/>
            <w:tcBorders>
              <w:right w:val="single" w:sz="4" w:space="0" w:color="auto"/>
            </w:tcBorders>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2.1</w:t>
            </w:r>
          </w:p>
        </w:tc>
        <w:tc>
          <w:tcPr>
            <w:tcW w:w="615" w:type="dxa"/>
            <w:tcBorders>
              <w:left w:val="single" w:sz="4" w:space="0" w:color="auto"/>
            </w:tcBorders>
            <w:shd w:val="clear" w:color="auto" w:fill="BFBFBF" w:themeFill="background1" w:themeFillShade="BF"/>
            <w:vAlign w:val="center"/>
          </w:tcPr>
          <w:p w:rsidR="00CA2089" w:rsidRDefault="00035E4E">
            <w:pPr>
              <w:snapToGrid w:val="0"/>
              <w:spacing w:line="360" w:lineRule="auto"/>
              <w:jc w:val="center"/>
              <w:rPr>
                <w:szCs w:val="21"/>
              </w:rPr>
            </w:pPr>
            <w:r>
              <w:rPr>
                <w:szCs w:val="21"/>
              </w:rPr>
              <w:t>2.5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2.8</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3.1</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3.3</w:t>
            </w:r>
          </w:p>
        </w:tc>
        <w:tc>
          <w:tcPr>
            <w:tcW w:w="646"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3.5</w:t>
            </w:r>
          </w:p>
        </w:tc>
        <w:tc>
          <w:tcPr>
            <w:tcW w:w="649" w:type="dxa"/>
            <w:shd w:val="clear" w:color="auto" w:fill="BFBFBF" w:themeFill="background1" w:themeFillShade="BF"/>
            <w:vAlign w:val="center"/>
          </w:tcPr>
          <w:p w:rsidR="00CA2089" w:rsidRDefault="00035E4E">
            <w:pPr>
              <w:snapToGrid w:val="0"/>
              <w:spacing w:line="360" w:lineRule="auto"/>
              <w:jc w:val="center"/>
              <w:rPr>
                <w:szCs w:val="21"/>
              </w:rPr>
            </w:pPr>
            <w:r>
              <w:rPr>
                <w:szCs w:val="21"/>
              </w:rPr>
              <w:t>3.8</w:t>
            </w:r>
          </w:p>
        </w:tc>
        <w:tc>
          <w:tcPr>
            <w:tcW w:w="652" w:type="dxa"/>
            <w:shd w:val="clear" w:color="auto" w:fill="BFBFBF" w:themeFill="background1" w:themeFillShade="BF"/>
            <w:tcMar>
              <w:top w:w="0" w:type="dxa"/>
              <w:left w:w="108" w:type="dxa"/>
              <w:bottom w:w="0" w:type="dxa"/>
              <w:right w:w="108" w:type="dxa"/>
            </w:tcMar>
            <w:vAlign w:val="center"/>
          </w:tcPr>
          <w:p w:rsidR="00CA2089" w:rsidRDefault="00035E4E">
            <w:pPr>
              <w:snapToGrid w:val="0"/>
              <w:spacing w:line="360" w:lineRule="auto"/>
              <w:jc w:val="center"/>
              <w:rPr>
                <w:szCs w:val="21"/>
              </w:rPr>
            </w:pPr>
            <w:r>
              <w:rPr>
                <w:szCs w:val="21"/>
              </w:rPr>
              <w:t>4.1</w:t>
            </w:r>
          </w:p>
        </w:tc>
      </w:tr>
    </w:tbl>
    <w:p w:rsidR="00CA2089" w:rsidRDefault="00035E4E">
      <w:pPr>
        <w:jc w:val="center"/>
      </w:pPr>
      <w:r>
        <w:lastRenderedPageBreak/>
        <w:t>注：</w:t>
      </w:r>
      <w:r>
        <w:t xml:space="preserve">* 4atm </w:t>
      </w:r>
      <w:r>
        <w:t>是治疗球囊压力，</w:t>
      </w:r>
      <w:r>
        <w:t xml:space="preserve">** 6 atm </w:t>
      </w:r>
      <w:r>
        <w:t>是标称压力，</w:t>
      </w:r>
      <w:r>
        <w:t xml:space="preserve">*** 10 atm </w:t>
      </w:r>
      <w:r>
        <w:t>是额定爆破压力。</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禁忌症</w:t>
      </w:r>
    </w:p>
    <w:p w:rsidR="00CA2089" w:rsidRDefault="00035E4E">
      <w:pPr>
        <w:pStyle w:val="af9"/>
        <w:spacing w:line="360" w:lineRule="auto"/>
        <w:ind w:firstLine="560"/>
        <w:rPr>
          <w:sz w:val="28"/>
          <w:szCs w:val="28"/>
        </w:rPr>
      </w:pPr>
      <w:bookmarkStart w:id="44" w:name="_Toc26042"/>
      <w:r>
        <w:rPr>
          <w:sz w:val="28"/>
          <w:szCs w:val="28"/>
        </w:rPr>
        <w:t>（</w:t>
      </w:r>
      <w:r>
        <w:rPr>
          <w:sz w:val="28"/>
          <w:szCs w:val="28"/>
        </w:rPr>
        <w:t>1</w:t>
      </w:r>
      <w:r>
        <w:rPr>
          <w:sz w:val="28"/>
          <w:szCs w:val="28"/>
        </w:rPr>
        <w:t>）禁忌患者</w:t>
      </w:r>
      <w:bookmarkEnd w:id="44"/>
    </w:p>
    <w:p w:rsidR="00CA2089" w:rsidRDefault="00035E4E">
      <w:pPr>
        <w:pStyle w:val="af9"/>
        <w:spacing w:line="360" w:lineRule="auto"/>
        <w:ind w:firstLine="560"/>
        <w:rPr>
          <w:sz w:val="28"/>
          <w:szCs w:val="28"/>
        </w:rPr>
      </w:pPr>
      <w:r>
        <w:rPr>
          <w:sz w:val="28"/>
          <w:szCs w:val="28"/>
        </w:rPr>
        <w:t>对造影剂过敏的患者</w:t>
      </w:r>
      <w:bookmarkStart w:id="45" w:name="_Toc16406"/>
      <w:r>
        <w:rPr>
          <w:sz w:val="28"/>
          <w:szCs w:val="28"/>
        </w:rPr>
        <w:t>。</w:t>
      </w:r>
    </w:p>
    <w:p w:rsidR="00CA2089" w:rsidRDefault="00035E4E">
      <w:pPr>
        <w:pStyle w:val="af9"/>
        <w:spacing w:line="360" w:lineRule="auto"/>
        <w:ind w:firstLine="560"/>
        <w:rPr>
          <w:sz w:val="28"/>
          <w:szCs w:val="28"/>
        </w:rPr>
      </w:pPr>
      <w:r>
        <w:rPr>
          <w:sz w:val="28"/>
          <w:szCs w:val="28"/>
        </w:rPr>
        <w:t>（</w:t>
      </w:r>
      <w:r>
        <w:rPr>
          <w:sz w:val="28"/>
          <w:szCs w:val="28"/>
        </w:rPr>
        <w:t>2</w:t>
      </w:r>
      <w:r>
        <w:rPr>
          <w:sz w:val="28"/>
          <w:szCs w:val="28"/>
        </w:rPr>
        <w:t>）禁忌症</w:t>
      </w:r>
      <w:bookmarkEnd w:id="45"/>
    </w:p>
    <w:p w:rsidR="00CA2089" w:rsidRDefault="00035E4E">
      <w:pPr>
        <w:pStyle w:val="af9"/>
        <w:spacing w:line="360" w:lineRule="auto"/>
        <w:ind w:firstLineChars="300" w:firstLine="840"/>
        <w:rPr>
          <w:sz w:val="28"/>
          <w:szCs w:val="28"/>
        </w:rPr>
      </w:pPr>
      <w:r>
        <w:rPr>
          <w:sz w:val="28"/>
          <w:szCs w:val="28"/>
        </w:rPr>
        <w:t>1</w:t>
      </w:r>
      <w:r>
        <w:rPr>
          <w:sz w:val="28"/>
          <w:szCs w:val="28"/>
        </w:rPr>
        <w:t>）导丝或球囊不能通过的病变；</w:t>
      </w:r>
    </w:p>
    <w:p w:rsidR="00CA2089" w:rsidRDefault="00035E4E">
      <w:pPr>
        <w:pStyle w:val="af9"/>
        <w:spacing w:line="360" w:lineRule="auto"/>
        <w:ind w:firstLineChars="300" w:firstLine="840"/>
        <w:rPr>
          <w:sz w:val="28"/>
          <w:szCs w:val="28"/>
        </w:rPr>
      </w:pPr>
      <w:r>
        <w:rPr>
          <w:sz w:val="28"/>
          <w:szCs w:val="28"/>
        </w:rPr>
        <w:t>2</w:t>
      </w:r>
      <w:r>
        <w:rPr>
          <w:sz w:val="28"/>
          <w:szCs w:val="28"/>
        </w:rPr>
        <w:t>）桥血管病变；</w:t>
      </w:r>
    </w:p>
    <w:p w:rsidR="00CA2089" w:rsidRDefault="00035E4E">
      <w:pPr>
        <w:pStyle w:val="af9"/>
        <w:spacing w:line="360" w:lineRule="auto"/>
        <w:ind w:firstLineChars="300" w:firstLine="840"/>
        <w:rPr>
          <w:sz w:val="28"/>
          <w:szCs w:val="28"/>
        </w:rPr>
      </w:pPr>
      <w:r>
        <w:rPr>
          <w:sz w:val="28"/>
          <w:szCs w:val="28"/>
        </w:rPr>
        <w:t>3</w:t>
      </w:r>
      <w:r>
        <w:rPr>
          <w:sz w:val="28"/>
          <w:szCs w:val="28"/>
        </w:rPr>
        <w:t>）血栓性病变；</w:t>
      </w:r>
    </w:p>
    <w:p w:rsidR="00CA2089" w:rsidRDefault="00035E4E">
      <w:pPr>
        <w:pStyle w:val="af9"/>
        <w:spacing w:line="360" w:lineRule="auto"/>
        <w:ind w:firstLineChars="300" w:firstLine="840"/>
        <w:rPr>
          <w:sz w:val="28"/>
          <w:szCs w:val="28"/>
        </w:rPr>
      </w:pPr>
      <w:r>
        <w:rPr>
          <w:sz w:val="28"/>
          <w:szCs w:val="28"/>
        </w:rPr>
        <w:t>4</w:t>
      </w:r>
      <w:r>
        <w:rPr>
          <w:sz w:val="28"/>
          <w:szCs w:val="28"/>
        </w:rPr>
        <w:t>）单一冠状动脉供血；</w:t>
      </w:r>
    </w:p>
    <w:p w:rsidR="00CA2089" w:rsidRDefault="00035E4E">
      <w:pPr>
        <w:pStyle w:val="af9"/>
        <w:spacing w:line="360" w:lineRule="auto"/>
        <w:ind w:firstLineChars="300" w:firstLine="840"/>
        <w:rPr>
          <w:sz w:val="28"/>
          <w:szCs w:val="28"/>
        </w:rPr>
      </w:pPr>
      <w:r>
        <w:rPr>
          <w:sz w:val="28"/>
          <w:szCs w:val="28"/>
        </w:rPr>
        <w:t>5</w:t>
      </w:r>
      <w:r>
        <w:rPr>
          <w:sz w:val="28"/>
          <w:szCs w:val="28"/>
        </w:rPr>
        <w:t>）造影提示病变部位存在夹层；</w:t>
      </w:r>
    </w:p>
    <w:p w:rsidR="00CA2089" w:rsidRDefault="00035E4E">
      <w:pPr>
        <w:pStyle w:val="af9"/>
        <w:spacing w:line="360" w:lineRule="auto"/>
        <w:ind w:firstLineChars="300" w:firstLine="840"/>
        <w:rPr>
          <w:sz w:val="28"/>
          <w:szCs w:val="28"/>
        </w:rPr>
      </w:pPr>
      <w:r>
        <w:rPr>
          <w:sz w:val="28"/>
          <w:szCs w:val="28"/>
        </w:rPr>
        <w:t>6</w:t>
      </w:r>
      <w:r>
        <w:rPr>
          <w:sz w:val="28"/>
          <w:szCs w:val="28"/>
        </w:rPr>
        <w:t>）本产品不适用于支架输送；</w:t>
      </w:r>
    </w:p>
    <w:p w:rsidR="00CA2089" w:rsidRDefault="00035E4E">
      <w:pPr>
        <w:pStyle w:val="af9"/>
        <w:spacing w:line="360" w:lineRule="auto"/>
        <w:ind w:firstLineChars="300" w:firstLine="840"/>
        <w:rPr>
          <w:sz w:val="28"/>
          <w:szCs w:val="28"/>
        </w:rPr>
      </w:pPr>
      <w:r>
        <w:rPr>
          <w:sz w:val="28"/>
          <w:szCs w:val="28"/>
        </w:rPr>
        <w:t>7</w:t>
      </w:r>
      <w:r>
        <w:rPr>
          <w:sz w:val="28"/>
          <w:szCs w:val="28"/>
        </w:rPr>
        <w:t>）本产品不适用于外周、颈动脉或颅内血管。</w:t>
      </w:r>
    </w:p>
    <w:p w:rsidR="00CA2089" w:rsidRDefault="00035E4E">
      <w:pPr>
        <w:pStyle w:val="af0"/>
        <w:numPr>
          <w:ilvl w:val="0"/>
          <w:numId w:val="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不良反应</w:t>
      </w:r>
    </w:p>
    <w:p w:rsidR="00CA2089" w:rsidRDefault="00035E4E">
      <w:pPr>
        <w:spacing w:line="360" w:lineRule="auto"/>
        <w:ind w:firstLineChars="200" w:firstLine="560"/>
        <w:rPr>
          <w:sz w:val="28"/>
          <w:szCs w:val="28"/>
        </w:rPr>
      </w:pPr>
      <w:r>
        <w:rPr>
          <w:sz w:val="28"/>
          <w:szCs w:val="28"/>
        </w:rPr>
        <w:t>潜在不良影响与普通的球囊扩张导管扩张手术一致，</w:t>
      </w:r>
      <w:r>
        <w:rPr>
          <w:sz w:val="28"/>
          <w:szCs w:val="28"/>
        </w:rPr>
        <w:t xml:space="preserve"> </w:t>
      </w:r>
      <w:r>
        <w:rPr>
          <w:sz w:val="28"/>
          <w:szCs w:val="28"/>
        </w:rPr>
        <w:t>包括但不限于以下不良事件：血管急性闭塞；对造影剂、抗凝剂和</w:t>
      </w:r>
      <w:r>
        <w:rPr>
          <w:sz w:val="28"/>
          <w:szCs w:val="28"/>
        </w:rPr>
        <w:t>/</w:t>
      </w:r>
      <w:r>
        <w:rPr>
          <w:sz w:val="28"/>
          <w:szCs w:val="28"/>
        </w:rPr>
        <w:t>或抗血栓治疗的过敏反应；动脉瘤；心律失常；动静脉瘘；出血并发症；心脏压塞或心包积液；心肺骤停；脑血管意外</w:t>
      </w:r>
      <w:r>
        <w:rPr>
          <w:sz w:val="28"/>
          <w:szCs w:val="28"/>
        </w:rPr>
        <w:t xml:space="preserve"> </w:t>
      </w:r>
      <w:r>
        <w:rPr>
          <w:sz w:val="28"/>
          <w:szCs w:val="28"/>
        </w:rPr>
        <w:t>（</w:t>
      </w:r>
      <w:r>
        <w:rPr>
          <w:sz w:val="28"/>
          <w:szCs w:val="28"/>
        </w:rPr>
        <w:t>CVA</w:t>
      </w:r>
      <w:r>
        <w:rPr>
          <w:sz w:val="28"/>
          <w:szCs w:val="28"/>
        </w:rPr>
        <w:t>）；冠状动脉</w:t>
      </w:r>
      <w:r>
        <w:rPr>
          <w:sz w:val="28"/>
          <w:szCs w:val="28"/>
        </w:rPr>
        <w:t>/</w:t>
      </w:r>
      <w:r>
        <w:rPr>
          <w:sz w:val="28"/>
          <w:szCs w:val="28"/>
        </w:rPr>
        <w:t>血管闭塞、穿孔、破裂或夹层；冠状动脉痉挛；死亡；栓子（空气、组织、血栓或动脉粥样硬化栓子）；紧急手术或非紧急冠状动脉搭桥手术；紧急情况或非紧急情况下的经皮冠状动脉介入治疗；入路并发症；导线断裂或设备任何部件故障，可能或不会导致血管栓塞、解剖、严重损伤或手术干预；血管通路部位的血肿；大</w:t>
      </w:r>
      <w:r>
        <w:rPr>
          <w:sz w:val="28"/>
          <w:szCs w:val="28"/>
        </w:rPr>
        <w:lastRenderedPageBreak/>
        <w:t>出血；高血压患者</w:t>
      </w:r>
      <w:r>
        <w:rPr>
          <w:sz w:val="28"/>
          <w:szCs w:val="28"/>
        </w:rPr>
        <w:t>/</w:t>
      </w:r>
      <w:r>
        <w:rPr>
          <w:sz w:val="28"/>
          <w:szCs w:val="28"/>
        </w:rPr>
        <w:t>低血压的患者；感染、败血症、发热；心肌梗死；心肌缺血或不稳定型心绞痛；疼痛感；外周缺血；假性动脉瘤；肾功能</w:t>
      </w:r>
      <w:proofErr w:type="gramStart"/>
      <w:r>
        <w:rPr>
          <w:sz w:val="28"/>
          <w:szCs w:val="28"/>
        </w:rPr>
        <w:t>不</w:t>
      </w:r>
      <w:proofErr w:type="gramEnd"/>
      <w:r>
        <w:rPr>
          <w:sz w:val="28"/>
          <w:szCs w:val="28"/>
        </w:rPr>
        <w:t>衰竭</w:t>
      </w:r>
      <w:r>
        <w:rPr>
          <w:sz w:val="28"/>
          <w:szCs w:val="28"/>
        </w:rPr>
        <w:t>/</w:t>
      </w:r>
      <w:r>
        <w:rPr>
          <w:sz w:val="28"/>
          <w:szCs w:val="28"/>
        </w:rPr>
        <w:t>功能不全；再狭窄导致血运重建；休克</w:t>
      </w:r>
      <w:r>
        <w:rPr>
          <w:sz w:val="28"/>
          <w:szCs w:val="28"/>
        </w:rPr>
        <w:t>/</w:t>
      </w:r>
      <w:r>
        <w:rPr>
          <w:sz w:val="28"/>
          <w:szCs w:val="28"/>
        </w:rPr>
        <w:t>脉水肿；血流缓慢、无回流、冠状动脉闭塞；中风；血栓形成；血管急性闭塞；需要手术修复的血管损伤；血管解剖、穿孔、破裂或痉挛。</w:t>
      </w:r>
    </w:p>
    <w:p w:rsidR="00CA2089" w:rsidRDefault="00035E4E">
      <w:pPr>
        <w:spacing w:line="360" w:lineRule="auto"/>
        <w:ind w:firstLineChars="200" w:firstLine="560"/>
        <w:rPr>
          <w:sz w:val="28"/>
          <w:szCs w:val="28"/>
        </w:rPr>
      </w:pPr>
      <w:r>
        <w:rPr>
          <w:sz w:val="28"/>
          <w:szCs w:val="28"/>
        </w:rPr>
        <w:t>此外，患者可能暴露于与冠状动脉介入手术相关的其他风险，包括有意识镇静和局部麻醉的风险、血管造影期间使用的放射线造影剂、手术过程期间管理治疗对象的药物以及透视辐射照射的风险。</w:t>
      </w:r>
    </w:p>
    <w:p w:rsidR="00CA2089" w:rsidRDefault="00035E4E">
      <w:pPr>
        <w:spacing w:line="360" w:lineRule="auto"/>
        <w:ind w:firstLine="420"/>
        <w:rPr>
          <w:sz w:val="28"/>
          <w:szCs w:val="28"/>
        </w:rPr>
      </w:pPr>
      <w:r>
        <w:rPr>
          <w:sz w:val="28"/>
          <w:szCs w:val="28"/>
        </w:rPr>
        <w:t>确定与设备及使用相关的其他风险：对导管材料或涂层的过敏</w:t>
      </w:r>
      <w:r>
        <w:rPr>
          <w:sz w:val="28"/>
          <w:szCs w:val="28"/>
        </w:rPr>
        <w:t>/</w:t>
      </w:r>
      <w:r>
        <w:rPr>
          <w:sz w:val="28"/>
          <w:szCs w:val="28"/>
        </w:rPr>
        <w:t>免疫反应；器械故障、失效或球囊失压，导致器械栓塞、解剖、严重损伤或手术干预；心室或心房早搏；心室或心房捕获。</w:t>
      </w:r>
    </w:p>
    <w:p w:rsidR="00CA2089" w:rsidRDefault="00035E4E">
      <w:pPr>
        <w:pStyle w:val="af0"/>
        <w:numPr>
          <w:ilvl w:val="0"/>
          <w:numId w:val="8"/>
        </w:numPr>
        <w:spacing w:line="360" w:lineRule="auto"/>
        <w:ind w:firstLineChars="200" w:firstLine="560"/>
        <w:outlineLvl w:val="2"/>
        <w:rPr>
          <w:rFonts w:ascii="Times New Roman" w:hAnsi="Times New Roman" w:cs="Times New Roman"/>
          <w:sz w:val="28"/>
          <w:szCs w:val="28"/>
        </w:rPr>
      </w:pPr>
      <w:r>
        <w:rPr>
          <w:rFonts w:ascii="Times New Roman" w:eastAsia="宋体" w:hAnsi="Times New Roman" w:cs="Times New Roman"/>
          <w:sz w:val="28"/>
          <w:szCs w:val="28"/>
        </w:rPr>
        <w:t>注意事项</w:t>
      </w:r>
    </w:p>
    <w:p w:rsidR="00CA2089" w:rsidRDefault="00035E4E">
      <w:pPr>
        <w:pStyle w:val="af9"/>
        <w:spacing w:line="360" w:lineRule="auto"/>
        <w:ind w:firstLine="560"/>
        <w:rPr>
          <w:sz w:val="28"/>
          <w:szCs w:val="28"/>
        </w:rPr>
      </w:pPr>
      <w:r>
        <w:rPr>
          <w:sz w:val="28"/>
          <w:szCs w:val="28"/>
        </w:rPr>
        <w:t>（</w:t>
      </w:r>
      <w:r>
        <w:rPr>
          <w:sz w:val="28"/>
          <w:szCs w:val="28"/>
        </w:rPr>
        <w:t>1</w:t>
      </w:r>
      <w:r>
        <w:rPr>
          <w:sz w:val="28"/>
          <w:szCs w:val="28"/>
        </w:rPr>
        <w:t>）该设备只能由接受过血管造影和血管内冠状动脉手术培训的医生使用；</w:t>
      </w:r>
    </w:p>
    <w:p w:rsidR="00CA2089" w:rsidRDefault="00035E4E">
      <w:pPr>
        <w:pStyle w:val="af9"/>
        <w:spacing w:line="360" w:lineRule="auto"/>
        <w:ind w:firstLine="560"/>
        <w:rPr>
          <w:sz w:val="28"/>
          <w:szCs w:val="28"/>
        </w:rPr>
      </w:pPr>
      <w:r>
        <w:rPr>
          <w:sz w:val="28"/>
          <w:szCs w:val="28"/>
        </w:rPr>
        <w:t>（</w:t>
      </w:r>
      <w:r>
        <w:rPr>
          <w:sz w:val="28"/>
          <w:szCs w:val="28"/>
        </w:rPr>
        <w:t>2</w:t>
      </w:r>
      <w:r>
        <w:rPr>
          <w:sz w:val="28"/>
          <w:szCs w:val="28"/>
        </w:rPr>
        <w:t>）经皮腔内震波球囊手术应在有足够紧急手术支持的医院进行；</w:t>
      </w:r>
    </w:p>
    <w:p w:rsidR="00CA2089" w:rsidRDefault="00035E4E">
      <w:pPr>
        <w:pStyle w:val="af9"/>
        <w:spacing w:line="360" w:lineRule="auto"/>
        <w:ind w:firstLine="560"/>
        <w:rPr>
          <w:sz w:val="28"/>
          <w:szCs w:val="28"/>
        </w:rPr>
      </w:pPr>
      <w:r>
        <w:rPr>
          <w:sz w:val="28"/>
          <w:szCs w:val="28"/>
        </w:rPr>
        <w:t>（</w:t>
      </w:r>
      <w:r>
        <w:rPr>
          <w:sz w:val="28"/>
          <w:szCs w:val="28"/>
        </w:rPr>
        <w:t>3</w:t>
      </w:r>
      <w:r>
        <w:rPr>
          <w:sz w:val="28"/>
          <w:szCs w:val="28"/>
        </w:rPr>
        <w:t>）有关血管内冲击波治疗设备及其附件的准备、操作、警告和预防措施以及维护，请参阅《血管内冲击波治疗设备使用说明书》；</w:t>
      </w:r>
    </w:p>
    <w:p w:rsidR="00CA2089" w:rsidRDefault="00035E4E">
      <w:pPr>
        <w:pStyle w:val="af9"/>
        <w:spacing w:line="360" w:lineRule="auto"/>
        <w:ind w:firstLine="560"/>
        <w:rPr>
          <w:sz w:val="28"/>
          <w:szCs w:val="28"/>
        </w:rPr>
      </w:pPr>
      <w:r>
        <w:rPr>
          <w:sz w:val="28"/>
          <w:szCs w:val="28"/>
        </w:rPr>
        <w:t>（</w:t>
      </w:r>
      <w:r>
        <w:rPr>
          <w:sz w:val="28"/>
          <w:szCs w:val="28"/>
        </w:rPr>
        <w:t>4</w:t>
      </w:r>
      <w:r>
        <w:rPr>
          <w:sz w:val="28"/>
          <w:szCs w:val="28"/>
        </w:rPr>
        <w:t>）震波球囊扩张导管仅供单（</w:t>
      </w:r>
      <w:r>
        <w:rPr>
          <w:sz w:val="28"/>
          <w:szCs w:val="28"/>
        </w:rPr>
        <w:t>1</w:t>
      </w:r>
      <w:r>
        <w:rPr>
          <w:sz w:val="28"/>
          <w:szCs w:val="28"/>
        </w:rPr>
        <w:t>）次使用。请勿重新消毒和</w:t>
      </w:r>
      <w:r>
        <w:rPr>
          <w:sz w:val="28"/>
          <w:szCs w:val="28"/>
        </w:rPr>
        <w:t>/</w:t>
      </w:r>
      <w:r>
        <w:rPr>
          <w:sz w:val="28"/>
          <w:szCs w:val="28"/>
        </w:rPr>
        <w:t>或重复使用。如果需要使用相同尺寸的第二根导管，请勿重复使用第一根导管。在准备第二根导管之前将其丢弃；</w:t>
      </w:r>
    </w:p>
    <w:p w:rsidR="00CA2089" w:rsidRDefault="00035E4E">
      <w:pPr>
        <w:pStyle w:val="af9"/>
        <w:spacing w:line="360" w:lineRule="auto"/>
        <w:ind w:firstLine="560"/>
        <w:rPr>
          <w:sz w:val="28"/>
          <w:szCs w:val="28"/>
        </w:rPr>
      </w:pPr>
      <w:r>
        <w:rPr>
          <w:sz w:val="28"/>
          <w:szCs w:val="28"/>
        </w:rPr>
        <w:t>（</w:t>
      </w:r>
      <w:r>
        <w:rPr>
          <w:sz w:val="28"/>
          <w:szCs w:val="28"/>
        </w:rPr>
        <w:t>5</w:t>
      </w:r>
      <w:r>
        <w:rPr>
          <w:sz w:val="28"/>
          <w:szCs w:val="28"/>
        </w:rPr>
        <w:t>）根据影像学测量结果，仅使用适合待治疗血管的尺寸合适的球</w:t>
      </w:r>
      <w:r>
        <w:rPr>
          <w:sz w:val="28"/>
          <w:szCs w:val="28"/>
        </w:rPr>
        <w:lastRenderedPageBreak/>
        <w:t>囊：</w:t>
      </w:r>
      <w:r>
        <w:rPr>
          <w:sz w:val="28"/>
          <w:szCs w:val="28"/>
        </w:rPr>
        <w:t xml:space="preserve">1:1 </w:t>
      </w:r>
      <w:r>
        <w:rPr>
          <w:sz w:val="28"/>
          <w:szCs w:val="28"/>
        </w:rPr>
        <w:t>基于球囊顺应性图表和参考血管直径；</w:t>
      </w:r>
    </w:p>
    <w:p w:rsidR="00CA2089" w:rsidRDefault="00035E4E">
      <w:pPr>
        <w:pStyle w:val="af9"/>
        <w:spacing w:line="360" w:lineRule="auto"/>
        <w:ind w:firstLine="560"/>
        <w:rPr>
          <w:sz w:val="28"/>
          <w:szCs w:val="28"/>
        </w:rPr>
      </w:pPr>
      <w:r>
        <w:rPr>
          <w:sz w:val="28"/>
          <w:szCs w:val="28"/>
        </w:rPr>
        <w:t>（</w:t>
      </w:r>
      <w:r>
        <w:rPr>
          <w:sz w:val="28"/>
          <w:szCs w:val="28"/>
        </w:rPr>
        <w:t>6</w:t>
      </w:r>
      <w:r>
        <w:rPr>
          <w:sz w:val="28"/>
          <w:szCs w:val="28"/>
        </w:rPr>
        <w:t>）根据球囊顺应性图表给球囊充盈压力，充盈压力不应超过额定爆破压力；</w:t>
      </w:r>
    </w:p>
    <w:p w:rsidR="00CA2089" w:rsidRDefault="00035E4E">
      <w:pPr>
        <w:pStyle w:val="af9"/>
        <w:spacing w:line="360" w:lineRule="auto"/>
        <w:ind w:firstLine="560"/>
        <w:rPr>
          <w:sz w:val="28"/>
          <w:szCs w:val="28"/>
        </w:rPr>
      </w:pPr>
      <w:r>
        <w:rPr>
          <w:sz w:val="28"/>
          <w:szCs w:val="28"/>
        </w:rPr>
        <w:t>（</w:t>
      </w:r>
      <w:r>
        <w:rPr>
          <w:sz w:val="28"/>
          <w:szCs w:val="28"/>
        </w:rPr>
        <w:t>7</w:t>
      </w:r>
      <w:r>
        <w:rPr>
          <w:sz w:val="28"/>
          <w:szCs w:val="28"/>
        </w:rPr>
        <w:t>）仅使用推荐的</w:t>
      </w:r>
      <w:r>
        <w:rPr>
          <w:sz w:val="28"/>
          <w:szCs w:val="28"/>
        </w:rPr>
        <w:t xml:space="preserve"> 50/50 </w:t>
      </w:r>
      <w:r>
        <w:rPr>
          <w:sz w:val="28"/>
          <w:szCs w:val="28"/>
        </w:rPr>
        <w:t>造影剂</w:t>
      </w:r>
      <w:r>
        <w:rPr>
          <w:sz w:val="28"/>
          <w:szCs w:val="28"/>
        </w:rPr>
        <w:t>/</w:t>
      </w:r>
      <w:r>
        <w:rPr>
          <w:sz w:val="28"/>
          <w:szCs w:val="28"/>
        </w:rPr>
        <w:t>生理盐水给球囊充盈，以确保足以进行震波术；</w:t>
      </w:r>
    </w:p>
    <w:p w:rsidR="00CA2089" w:rsidRDefault="00035E4E">
      <w:pPr>
        <w:pStyle w:val="af9"/>
        <w:spacing w:line="360" w:lineRule="auto"/>
        <w:ind w:firstLine="560"/>
        <w:rPr>
          <w:sz w:val="28"/>
          <w:szCs w:val="28"/>
        </w:rPr>
      </w:pPr>
      <w:r>
        <w:rPr>
          <w:sz w:val="28"/>
          <w:szCs w:val="28"/>
        </w:rPr>
        <w:t>（</w:t>
      </w:r>
      <w:r>
        <w:rPr>
          <w:sz w:val="28"/>
          <w:szCs w:val="28"/>
        </w:rPr>
        <w:t>8</w:t>
      </w:r>
      <w:r>
        <w:rPr>
          <w:sz w:val="28"/>
          <w:szCs w:val="28"/>
        </w:rPr>
        <w:t>）如果震波球囊扩张导管表面变干，用无菌生理盐水</w:t>
      </w:r>
      <w:proofErr w:type="gramStart"/>
      <w:r>
        <w:rPr>
          <w:sz w:val="28"/>
          <w:szCs w:val="28"/>
        </w:rPr>
        <w:t>润湿会</w:t>
      </w:r>
      <w:proofErr w:type="gramEnd"/>
      <w:r>
        <w:rPr>
          <w:sz w:val="28"/>
          <w:szCs w:val="28"/>
        </w:rPr>
        <w:t>重新激活亲水涂层。用无菌生理盐水以外的溶剂润湿导管会损害涂层的完整性或性能；</w:t>
      </w:r>
    </w:p>
    <w:p w:rsidR="00CA2089" w:rsidRDefault="00035E4E">
      <w:pPr>
        <w:pStyle w:val="af9"/>
        <w:spacing w:line="360" w:lineRule="auto"/>
        <w:ind w:firstLine="560"/>
        <w:rPr>
          <w:sz w:val="28"/>
          <w:szCs w:val="28"/>
        </w:rPr>
      </w:pPr>
      <w:r>
        <w:rPr>
          <w:sz w:val="28"/>
          <w:szCs w:val="28"/>
        </w:rPr>
        <w:t>（</w:t>
      </w:r>
      <w:r>
        <w:rPr>
          <w:sz w:val="28"/>
          <w:szCs w:val="28"/>
        </w:rPr>
        <w:t>9</w:t>
      </w:r>
      <w:r>
        <w:rPr>
          <w:sz w:val="28"/>
          <w:szCs w:val="28"/>
        </w:rPr>
        <w:t>）在足够的影像学条件指导下执行所有操作；</w:t>
      </w:r>
    </w:p>
    <w:p w:rsidR="00CA2089" w:rsidRDefault="00035E4E">
      <w:pPr>
        <w:pStyle w:val="af9"/>
        <w:spacing w:line="360" w:lineRule="auto"/>
        <w:ind w:firstLine="560"/>
        <w:rPr>
          <w:sz w:val="28"/>
          <w:szCs w:val="28"/>
        </w:rPr>
      </w:pPr>
      <w:r>
        <w:rPr>
          <w:sz w:val="28"/>
          <w:szCs w:val="28"/>
        </w:rPr>
        <w:t>（</w:t>
      </w:r>
      <w:r>
        <w:rPr>
          <w:sz w:val="28"/>
          <w:szCs w:val="28"/>
        </w:rPr>
        <w:t>10</w:t>
      </w:r>
      <w:r>
        <w:rPr>
          <w:sz w:val="28"/>
          <w:szCs w:val="28"/>
        </w:rPr>
        <w:t>）除非球囊在真空下完全泄压，否则不要推进或回撤导管。如果遇到阻力，请在继续之前确定阻力的原因，排除后继续回撤；</w:t>
      </w:r>
    </w:p>
    <w:p w:rsidR="00CA2089" w:rsidRDefault="00035E4E">
      <w:pPr>
        <w:pStyle w:val="af9"/>
        <w:spacing w:line="360" w:lineRule="auto"/>
        <w:ind w:firstLine="560"/>
        <w:rPr>
          <w:sz w:val="28"/>
          <w:szCs w:val="28"/>
        </w:rPr>
      </w:pPr>
      <w:r>
        <w:rPr>
          <w:sz w:val="28"/>
          <w:szCs w:val="28"/>
        </w:rPr>
        <w:t>（</w:t>
      </w:r>
      <w:r>
        <w:rPr>
          <w:sz w:val="28"/>
          <w:szCs w:val="28"/>
        </w:rPr>
        <w:t>11</w:t>
      </w:r>
      <w:r>
        <w:rPr>
          <w:sz w:val="28"/>
          <w:szCs w:val="28"/>
        </w:rPr>
        <w:t>）操作、推进和</w:t>
      </w:r>
      <w:r>
        <w:rPr>
          <w:sz w:val="28"/>
          <w:szCs w:val="28"/>
        </w:rPr>
        <w:t>/</w:t>
      </w:r>
      <w:r>
        <w:rPr>
          <w:sz w:val="28"/>
          <w:szCs w:val="28"/>
        </w:rPr>
        <w:t>或撤回设备经过尖锐物体时必须小心，因为这可能会损坏亲水涂层和导管密封性；</w:t>
      </w:r>
    </w:p>
    <w:p w:rsidR="00CA2089" w:rsidRDefault="00035E4E">
      <w:pPr>
        <w:pStyle w:val="af9"/>
        <w:spacing w:line="360" w:lineRule="auto"/>
        <w:ind w:firstLine="560"/>
        <w:rPr>
          <w:sz w:val="28"/>
          <w:szCs w:val="28"/>
        </w:rPr>
      </w:pPr>
      <w:r>
        <w:rPr>
          <w:sz w:val="28"/>
          <w:szCs w:val="28"/>
        </w:rPr>
        <w:t>（</w:t>
      </w:r>
      <w:r>
        <w:rPr>
          <w:sz w:val="28"/>
          <w:szCs w:val="28"/>
        </w:rPr>
        <w:t>12</w:t>
      </w:r>
      <w:r>
        <w:rPr>
          <w:sz w:val="28"/>
          <w:szCs w:val="28"/>
        </w:rPr>
        <w:t>）如果导管弯曲或扭结，请勿使用或试图拉直导管。更换一个新的导管，继续手术；</w:t>
      </w:r>
    </w:p>
    <w:p w:rsidR="00CA2089" w:rsidRDefault="00035E4E">
      <w:pPr>
        <w:pStyle w:val="af9"/>
        <w:spacing w:line="360" w:lineRule="auto"/>
        <w:ind w:firstLine="560"/>
        <w:rPr>
          <w:sz w:val="28"/>
          <w:szCs w:val="28"/>
        </w:rPr>
      </w:pPr>
      <w:r>
        <w:rPr>
          <w:sz w:val="28"/>
          <w:szCs w:val="28"/>
        </w:rPr>
        <w:t>（</w:t>
      </w:r>
      <w:r>
        <w:rPr>
          <w:sz w:val="28"/>
          <w:szCs w:val="28"/>
        </w:rPr>
        <w:t>13</w:t>
      </w:r>
      <w:r>
        <w:rPr>
          <w:sz w:val="28"/>
          <w:szCs w:val="28"/>
        </w:rPr>
        <w:t>）在手术过程中，必须根据需要为患者提供适当的抗凝治疗。抗凝治疗应持续一段时间，由医生决定；</w:t>
      </w:r>
    </w:p>
    <w:p w:rsidR="00CA2089" w:rsidRDefault="00035E4E">
      <w:pPr>
        <w:pStyle w:val="af9"/>
        <w:spacing w:line="360" w:lineRule="auto"/>
        <w:ind w:firstLine="560"/>
        <w:rPr>
          <w:sz w:val="28"/>
          <w:szCs w:val="28"/>
        </w:rPr>
      </w:pPr>
      <w:r>
        <w:rPr>
          <w:sz w:val="28"/>
          <w:szCs w:val="28"/>
        </w:rPr>
        <w:t>（</w:t>
      </w:r>
      <w:r>
        <w:rPr>
          <w:sz w:val="28"/>
          <w:szCs w:val="28"/>
        </w:rPr>
        <w:t>14</w:t>
      </w:r>
      <w:r>
        <w:rPr>
          <w:sz w:val="28"/>
          <w:szCs w:val="28"/>
        </w:rPr>
        <w:t>）电极贴近球囊可能会增加球囊损坏的发生率。在进行震波</w:t>
      </w:r>
      <w:proofErr w:type="gramStart"/>
      <w:r>
        <w:rPr>
          <w:sz w:val="28"/>
          <w:szCs w:val="28"/>
        </w:rPr>
        <w:t>术之前</w:t>
      </w:r>
      <w:proofErr w:type="gramEnd"/>
      <w:r>
        <w:rPr>
          <w:sz w:val="28"/>
          <w:szCs w:val="28"/>
        </w:rPr>
        <w:t>确保球囊充分扩张，并考虑可能使电极离球囊材料太近的解剖结构限制；</w:t>
      </w:r>
    </w:p>
    <w:p w:rsidR="00CA2089" w:rsidRDefault="00035E4E">
      <w:pPr>
        <w:pStyle w:val="af9"/>
        <w:spacing w:line="360" w:lineRule="auto"/>
        <w:ind w:firstLine="560"/>
        <w:rPr>
          <w:sz w:val="28"/>
          <w:szCs w:val="28"/>
        </w:rPr>
      </w:pPr>
      <w:r>
        <w:rPr>
          <w:sz w:val="28"/>
          <w:szCs w:val="28"/>
        </w:rPr>
        <w:t>（</w:t>
      </w:r>
      <w:r>
        <w:rPr>
          <w:sz w:val="28"/>
          <w:szCs w:val="28"/>
        </w:rPr>
        <w:t>15</w:t>
      </w:r>
      <w:r>
        <w:rPr>
          <w:sz w:val="28"/>
          <w:szCs w:val="28"/>
        </w:rPr>
        <w:t>）如果震波球囊扩张导管不能进行震波球囊治疗，请将其取出并更换为另一根导管；</w:t>
      </w:r>
    </w:p>
    <w:p w:rsidR="00CA2089" w:rsidRDefault="00035E4E">
      <w:pPr>
        <w:pStyle w:val="af9"/>
        <w:spacing w:line="360" w:lineRule="auto"/>
        <w:ind w:firstLine="560"/>
        <w:rPr>
          <w:sz w:val="28"/>
          <w:szCs w:val="28"/>
        </w:rPr>
      </w:pPr>
      <w:r>
        <w:rPr>
          <w:sz w:val="28"/>
          <w:szCs w:val="28"/>
        </w:rPr>
        <w:lastRenderedPageBreak/>
        <w:t>（</w:t>
      </w:r>
      <w:r>
        <w:rPr>
          <w:sz w:val="28"/>
          <w:szCs w:val="28"/>
        </w:rPr>
        <w:t>16</w:t>
      </w:r>
      <w:r>
        <w:rPr>
          <w:sz w:val="28"/>
          <w:szCs w:val="28"/>
        </w:rPr>
        <w:t>）在接触患者后处理设备时应采取预防措施，例如：与血液接触。使用过的产品被视为具有生物危害性的材料，应按照医院规定妥善处置；</w:t>
      </w:r>
    </w:p>
    <w:p w:rsidR="00CA2089" w:rsidRDefault="00035E4E">
      <w:pPr>
        <w:widowControl/>
        <w:spacing w:line="360" w:lineRule="auto"/>
        <w:ind w:firstLineChars="200" w:firstLine="560"/>
        <w:jc w:val="left"/>
        <w:rPr>
          <w:sz w:val="28"/>
          <w:szCs w:val="28"/>
        </w:rPr>
      </w:pPr>
      <w:r>
        <w:rPr>
          <w:sz w:val="28"/>
          <w:szCs w:val="28"/>
        </w:rPr>
        <w:t>（</w:t>
      </w:r>
      <w:r>
        <w:rPr>
          <w:sz w:val="28"/>
          <w:szCs w:val="28"/>
        </w:rPr>
        <w:t>17</w:t>
      </w:r>
      <w:r>
        <w:rPr>
          <w:sz w:val="28"/>
          <w:szCs w:val="28"/>
        </w:rPr>
        <w:t>）治疗目标病灶距离</w:t>
      </w:r>
      <w:r>
        <w:rPr>
          <w:sz w:val="28"/>
          <w:szCs w:val="28"/>
        </w:rPr>
        <w:t>5mm</w:t>
      </w:r>
      <w:r>
        <w:rPr>
          <w:sz w:val="28"/>
          <w:szCs w:val="28"/>
        </w:rPr>
        <w:t>以内有支架置入的患者时应特别注意。</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46" w:name="_Toc27540"/>
      <w:bookmarkStart w:id="47" w:name="_Toc134753805"/>
      <w:r>
        <w:rPr>
          <w:rFonts w:ascii="Times New Roman" w:eastAsia="宋体" w:hAnsi="Times New Roman" w:cs="Times New Roman"/>
          <w:b/>
          <w:bCs/>
          <w:sz w:val="28"/>
          <w:szCs w:val="28"/>
        </w:rPr>
        <w:t>四、试验目的</w:t>
      </w:r>
      <w:bookmarkEnd w:id="46"/>
      <w:bookmarkEnd w:id="47"/>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通过本次试验评价上海科亚方舟医疗科技有限公司研发的血管内冲击波治疗设备</w:t>
      </w:r>
      <w:r>
        <w:rPr>
          <w:rFonts w:hint="eastAsia"/>
          <w:color w:val="000000"/>
          <w:kern w:val="0"/>
          <w:sz w:val="28"/>
          <w:szCs w:val="28"/>
        </w:rPr>
        <w:t>和</w:t>
      </w:r>
      <w:r>
        <w:rPr>
          <w:color w:val="000000"/>
          <w:kern w:val="0"/>
          <w:sz w:val="28"/>
          <w:szCs w:val="28"/>
        </w:rPr>
        <w:t>震波球囊扩张导管用于治疗中、重度钙化、原发性的冠状动脉狭窄患者的安全性和有效性，为其在国内注册上市提供临床依据。</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48" w:name="_Toc25490"/>
      <w:bookmarkStart w:id="49" w:name="_Toc134753806"/>
      <w:r>
        <w:rPr>
          <w:rFonts w:ascii="Times New Roman" w:eastAsia="宋体" w:hAnsi="Times New Roman" w:cs="Times New Roman"/>
          <w:b/>
          <w:bCs/>
          <w:sz w:val="28"/>
          <w:szCs w:val="28"/>
        </w:rPr>
        <w:t>五、试验设计</w:t>
      </w:r>
      <w:bookmarkEnd w:id="48"/>
      <w:bookmarkEnd w:id="49"/>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0" w:name="_Toc21313"/>
      <w:bookmarkStart w:id="51" w:name="_Toc134753807"/>
      <w:r>
        <w:rPr>
          <w:rFonts w:ascii="Times New Roman" w:eastAsia="宋体" w:hAnsi="Times New Roman" w:cs="Times New Roman"/>
          <w:sz w:val="28"/>
          <w:szCs w:val="28"/>
        </w:rPr>
        <w:t>（一）总体设计以及确定依据</w:t>
      </w:r>
      <w:bookmarkEnd w:id="50"/>
      <w:bookmarkEnd w:id="51"/>
    </w:p>
    <w:p w:rsidR="00CA2089" w:rsidRDefault="00035E4E">
      <w:pPr>
        <w:pStyle w:val="af0"/>
        <w:numPr>
          <w:ilvl w:val="0"/>
          <w:numId w:val="9"/>
        </w:numPr>
        <w:spacing w:line="360" w:lineRule="auto"/>
        <w:ind w:firstLineChars="200" w:firstLine="560"/>
        <w:outlineLvl w:val="2"/>
        <w:rPr>
          <w:sz w:val="28"/>
          <w:szCs w:val="28"/>
        </w:rPr>
      </w:pPr>
      <w:r>
        <w:rPr>
          <w:rFonts w:ascii="Times New Roman" w:eastAsia="宋体" w:hAnsi="Times New Roman" w:cs="Times New Roman" w:hint="eastAsia"/>
          <w:sz w:val="28"/>
          <w:szCs w:val="28"/>
        </w:rPr>
        <w:t>总体设计</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本研究是一项前瞻性、多中心、单组、目标值法的临床试验，选择</w:t>
      </w:r>
      <w:r>
        <w:rPr>
          <w:color w:val="000000"/>
          <w:kern w:val="0"/>
          <w:sz w:val="28"/>
          <w:szCs w:val="28"/>
        </w:rPr>
        <w:t>205</w:t>
      </w:r>
      <w:proofErr w:type="gramStart"/>
      <w:r>
        <w:rPr>
          <w:color w:val="000000"/>
          <w:kern w:val="0"/>
          <w:sz w:val="28"/>
          <w:szCs w:val="28"/>
        </w:rPr>
        <w:t>例经过</w:t>
      </w:r>
      <w:proofErr w:type="gramEnd"/>
      <w:r>
        <w:rPr>
          <w:color w:val="000000"/>
          <w:kern w:val="0"/>
          <w:sz w:val="28"/>
          <w:szCs w:val="28"/>
        </w:rPr>
        <w:t>筛选合格并签署知情同意书的冠状动脉钙化病变的受试者，并使用血管内冲击波治疗设备</w:t>
      </w:r>
      <w:r>
        <w:rPr>
          <w:rFonts w:hint="eastAsia"/>
          <w:color w:val="000000"/>
          <w:kern w:val="0"/>
          <w:sz w:val="28"/>
          <w:szCs w:val="28"/>
        </w:rPr>
        <w:t>和</w:t>
      </w:r>
      <w:r>
        <w:rPr>
          <w:color w:val="000000"/>
          <w:kern w:val="0"/>
          <w:sz w:val="28"/>
          <w:szCs w:val="28"/>
        </w:rPr>
        <w:t>震波球囊扩张导管进行冠状动脉手术治疗。所有参加研究的受试者均进行出院前（术后</w:t>
      </w:r>
      <w:r>
        <w:rPr>
          <w:color w:val="000000"/>
          <w:kern w:val="0"/>
          <w:sz w:val="28"/>
          <w:szCs w:val="28"/>
        </w:rPr>
        <w:t>0-7</w:t>
      </w:r>
      <w:r>
        <w:rPr>
          <w:color w:val="000000"/>
          <w:kern w:val="0"/>
          <w:sz w:val="28"/>
          <w:szCs w:val="28"/>
        </w:rPr>
        <w:t>天）、术后</w:t>
      </w:r>
      <w:r>
        <w:rPr>
          <w:color w:val="000000"/>
          <w:kern w:val="0"/>
          <w:sz w:val="28"/>
          <w:szCs w:val="28"/>
        </w:rPr>
        <w:t>1</w:t>
      </w:r>
      <w:r>
        <w:rPr>
          <w:color w:val="000000"/>
          <w:kern w:val="0"/>
          <w:sz w:val="28"/>
          <w:szCs w:val="28"/>
        </w:rPr>
        <w:t>个月</w:t>
      </w:r>
      <w:r>
        <w:rPr>
          <w:color w:val="000000"/>
          <w:kern w:val="0"/>
          <w:sz w:val="28"/>
          <w:szCs w:val="28"/>
        </w:rPr>
        <w:t>±7</w:t>
      </w:r>
      <w:r>
        <w:rPr>
          <w:color w:val="000000"/>
          <w:kern w:val="0"/>
          <w:sz w:val="28"/>
          <w:szCs w:val="28"/>
        </w:rPr>
        <w:t>天、术后</w:t>
      </w:r>
      <w:r>
        <w:rPr>
          <w:color w:val="000000"/>
          <w:kern w:val="0"/>
          <w:sz w:val="28"/>
          <w:szCs w:val="28"/>
        </w:rPr>
        <w:t>6</w:t>
      </w:r>
      <w:r>
        <w:rPr>
          <w:color w:val="000000"/>
          <w:kern w:val="0"/>
          <w:sz w:val="28"/>
          <w:szCs w:val="28"/>
        </w:rPr>
        <w:t>个月</w:t>
      </w:r>
      <w:r>
        <w:rPr>
          <w:color w:val="000000"/>
          <w:kern w:val="0"/>
          <w:sz w:val="28"/>
          <w:szCs w:val="28"/>
        </w:rPr>
        <w:t>±14</w:t>
      </w:r>
      <w:r>
        <w:rPr>
          <w:color w:val="000000"/>
          <w:kern w:val="0"/>
          <w:sz w:val="28"/>
          <w:szCs w:val="28"/>
        </w:rPr>
        <w:t>天随访。通过观察、记录治疗和随访过程中的相关有效性指标和安全性指标，验证上海科亚方舟医疗科技有限公司生产的血管内冲击波治疗设备</w:t>
      </w:r>
      <w:r>
        <w:rPr>
          <w:rFonts w:hint="eastAsia"/>
          <w:color w:val="000000"/>
          <w:kern w:val="0"/>
          <w:sz w:val="28"/>
          <w:szCs w:val="28"/>
        </w:rPr>
        <w:t>和</w:t>
      </w:r>
      <w:r>
        <w:rPr>
          <w:color w:val="000000"/>
          <w:kern w:val="0"/>
          <w:sz w:val="28"/>
          <w:szCs w:val="28"/>
        </w:rPr>
        <w:t>震波球囊扩张导管用于治疗冠状动脉钙化病变的有效性和安全性。</w:t>
      </w:r>
    </w:p>
    <w:p w:rsidR="00CA2089" w:rsidRDefault="00035E4E">
      <w:pPr>
        <w:widowControl/>
        <w:spacing w:line="360" w:lineRule="auto"/>
        <w:ind w:firstLineChars="200" w:firstLine="560"/>
        <w:jc w:val="left"/>
        <w:rPr>
          <w:color w:val="000000"/>
          <w:kern w:val="0"/>
          <w:sz w:val="28"/>
          <w:szCs w:val="28"/>
        </w:rPr>
      </w:pPr>
      <w:r>
        <w:rPr>
          <w:rFonts w:hint="eastAsia"/>
          <w:color w:val="000000"/>
          <w:kern w:val="0"/>
          <w:sz w:val="28"/>
          <w:szCs w:val="28"/>
        </w:rPr>
        <w:lastRenderedPageBreak/>
        <w:t>本研究计划在</w:t>
      </w:r>
      <w:r>
        <w:rPr>
          <w:rFonts w:hint="eastAsia"/>
          <w:color w:val="000000"/>
          <w:kern w:val="0"/>
          <w:sz w:val="28"/>
          <w:szCs w:val="28"/>
        </w:rPr>
        <w:t>1-2</w:t>
      </w:r>
      <w:r>
        <w:rPr>
          <w:rFonts w:hint="eastAsia"/>
          <w:color w:val="000000"/>
          <w:kern w:val="0"/>
          <w:sz w:val="28"/>
          <w:szCs w:val="28"/>
        </w:rPr>
        <w:t>家中心选取</w:t>
      </w:r>
      <w:r>
        <w:rPr>
          <w:rFonts w:hint="eastAsia"/>
          <w:color w:val="000000"/>
          <w:kern w:val="0"/>
          <w:sz w:val="28"/>
          <w:szCs w:val="28"/>
        </w:rPr>
        <w:t>1/3</w:t>
      </w:r>
      <w:r>
        <w:rPr>
          <w:rFonts w:hint="eastAsia"/>
          <w:color w:val="000000"/>
          <w:kern w:val="0"/>
          <w:sz w:val="28"/>
          <w:szCs w:val="28"/>
        </w:rPr>
        <w:t>的受试者（</w:t>
      </w:r>
      <w:r>
        <w:rPr>
          <w:rFonts w:hint="eastAsia"/>
          <w:color w:val="000000"/>
          <w:kern w:val="0"/>
          <w:sz w:val="28"/>
          <w:szCs w:val="28"/>
        </w:rPr>
        <w:t>68</w:t>
      </w:r>
      <w:r>
        <w:rPr>
          <w:rFonts w:hint="eastAsia"/>
          <w:color w:val="000000"/>
          <w:kern w:val="0"/>
          <w:sz w:val="28"/>
          <w:szCs w:val="28"/>
        </w:rPr>
        <w:t>例）组成腔内超声导管（</w:t>
      </w:r>
      <w:r>
        <w:rPr>
          <w:color w:val="000000"/>
          <w:kern w:val="0"/>
          <w:sz w:val="28"/>
          <w:szCs w:val="28"/>
        </w:rPr>
        <w:t>IVUS</w:t>
      </w:r>
      <w:r>
        <w:rPr>
          <w:rFonts w:hint="eastAsia"/>
          <w:color w:val="000000"/>
          <w:kern w:val="0"/>
          <w:sz w:val="28"/>
          <w:szCs w:val="28"/>
        </w:rPr>
        <w:t>）亚组，以便准确地评估钙化病变的治疗效果。</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当所有受试者完成术后</w:t>
      </w:r>
      <w:r>
        <w:rPr>
          <w:color w:val="000000"/>
          <w:kern w:val="0"/>
          <w:sz w:val="28"/>
          <w:szCs w:val="28"/>
        </w:rPr>
        <w:t>1</w:t>
      </w:r>
      <w:r>
        <w:rPr>
          <w:color w:val="000000"/>
          <w:kern w:val="0"/>
          <w:sz w:val="28"/>
          <w:szCs w:val="28"/>
        </w:rPr>
        <w:t>个月的随访后，先出具临床总结报告用于产品的注册申请，并在此基础上继续随访至术后</w:t>
      </w:r>
      <w:r>
        <w:rPr>
          <w:color w:val="000000"/>
          <w:kern w:val="0"/>
          <w:sz w:val="28"/>
          <w:szCs w:val="28"/>
        </w:rPr>
        <w:t>6</w:t>
      </w:r>
      <w:r>
        <w:rPr>
          <w:color w:val="000000"/>
          <w:kern w:val="0"/>
          <w:sz w:val="28"/>
          <w:szCs w:val="28"/>
        </w:rPr>
        <w:t>个月，当所有受试者完成术后</w:t>
      </w:r>
      <w:r>
        <w:rPr>
          <w:color w:val="000000"/>
          <w:kern w:val="0"/>
          <w:sz w:val="28"/>
          <w:szCs w:val="28"/>
        </w:rPr>
        <w:t>6</w:t>
      </w:r>
      <w:r>
        <w:rPr>
          <w:color w:val="000000"/>
          <w:kern w:val="0"/>
          <w:sz w:val="28"/>
          <w:szCs w:val="28"/>
        </w:rPr>
        <w:t>个月随访后再次出具临床总结报告用于产品</w:t>
      </w:r>
      <w:r>
        <w:rPr>
          <w:rFonts w:hint="eastAsia"/>
          <w:color w:val="000000"/>
          <w:kern w:val="0"/>
          <w:sz w:val="28"/>
          <w:szCs w:val="28"/>
        </w:rPr>
        <w:t>注册补充材料提交</w:t>
      </w:r>
      <w:r>
        <w:rPr>
          <w:color w:val="000000"/>
          <w:kern w:val="0"/>
          <w:sz w:val="28"/>
          <w:szCs w:val="28"/>
        </w:rPr>
        <w:t>。</w:t>
      </w:r>
    </w:p>
    <w:p w:rsidR="00ED4DCD" w:rsidRDefault="008F30C4" w:rsidP="00F00815">
      <w:pPr>
        <w:widowControl/>
        <w:spacing w:line="360" w:lineRule="auto"/>
        <w:ind w:firstLineChars="200" w:firstLine="560"/>
        <w:rPr>
          <w:color w:val="000000"/>
          <w:kern w:val="0"/>
          <w:sz w:val="28"/>
          <w:szCs w:val="28"/>
        </w:rPr>
      </w:pPr>
      <w:r w:rsidRPr="004F388B">
        <w:rPr>
          <w:rFonts w:hint="eastAsia"/>
          <w:color w:val="000000"/>
          <w:kern w:val="0"/>
          <w:sz w:val="28"/>
          <w:szCs w:val="28"/>
        </w:rPr>
        <w:t>本试验由研究者对所有影像资料进行收集、整理，交由专业的冠状动脉影像核心实验室进行分析及判定。</w:t>
      </w:r>
    </w:p>
    <w:p w:rsidR="00CA2089" w:rsidRDefault="00035E4E">
      <w:pPr>
        <w:pStyle w:val="af0"/>
        <w:numPr>
          <w:ilvl w:val="0"/>
          <w:numId w:val="9"/>
        </w:numPr>
        <w:spacing w:line="360" w:lineRule="auto"/>
        <w:ind w:firstLineChars="200" w:firstLine="560"/>
        <w:outlineLvl w:val="2"/>
        <w:rPr>
          <w:sz w:val="28"/>
          <w:szCs w:val="28"/>
        </w:rPr>
      </w:pPr>
      <w:r>
        <w:rPr>
          <w:rFonts w:ascii="Times New Roman" w:eastAsia="宋体" w:hAnsi="Times New Roman" w:cs="Times New Roman" w:hint="eastAsia"/>
          <w:sz w:val="28"/>
          <w:szCs w:val="28"/>
        </w:rPr>
        <w:t>确定依据</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前瞻性：采用以现在为起点追踪到将来的研究方法。前瞻性研究可以明确因果关系。对于获取的数据有统一的诊断、检测、评判标准，因此数据处理可控。</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多中心：是指按照同一临床试验方案，在两个以上（含两个）器械临床试验机构实施的临床试验。多个试验机构更可能在较短时间内完成相应受试者的招募，同时可避免单一试验机构可能存在的局限性，因此本试验在两个以上（含两个）试验机构中开展。</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单组目标值：总局发布《医疗器械临床试验设计指导原则》中，提出当试验器械技术比较成熟且对其适用疾病有较为深刻的了解时，可考虑采用单组目标值设计。国外已有血管内冲击波治疗设备和震波球囊扩张导管产品上市使用多年，积累了大量的临床数据。本次临床试验使用的目标值能代表当前同类产品的实际水平。</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2" w:name="_Toc8171"/>
      <w:bookmarkStart w:id="53" w:name="_Toc134753808"/>
      <w:r>
        <w:rPr>
          <w:rFonts w:ascii="Times New Roman" w:eastAsia="宋体" w:hAnsi="Times New Roman" w:cs="Times New Roman"/>
          <w:sz w:val="28"/>
          <w:szCs w:val="28"/>
        </w:rPr>
        <w:lastRenderedPageBreak/>
        <w:t>（二）受试者选择</w:t>
      </w:r>
      <w:bookmarkEnd w:id="52"/>
      <w:bookmarkEnd w:id="53"/>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入选标准</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w:t>
      </w:r>
      <w:r>
        <w:rPr>
          <w:rFonts w:eastAsia="宋体" w:cs="Times New Roman"/>
          <w:color w:val="000000"/>
          <w:kern w:val="0"/>
          <w:sz w:val="28"/>
          <w:szCs w:val="28"/>
        </w:rPr>
        <w:t>）年龄</w:t>
      </w:r>
      <w:r>
        <w:rPr>
          <w:rFonts w:eastAsia="宋体" w:cs="Times New Roman"/>
          <w:color w:val="000000"/>
          <w:kern w:val="0"/>
          <w:sz w:val="28"/>
          <w:szCs w:val="28"/>
        </w:rPr>
        <w:t>≥18</w:t>
      </w:r>
      <w:r>
        <w:rPr>
          <w:rFonts w:eastAsia="宋体" w:cs="Times New Roman"/>
          <w:color w:val="000000"/>
          <w:kern w:val="0"/>
          <w:sz w:val="28"/>
          <w:szCs w:val="28"/>
        </w:rPr>
        <w:t>岁，性别不限；</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w:t>
      </w:r>
      <w:r>
        <w:rPr>
          <w:rFonts w:eastAsia="宋体" w:cs="Times New Roman"/>
          <w:color w:val="000000"/>
          <w:kern w:val="0"/>
          <w:sz w:val="28"/>
          <w:szCs w:val="28"/>
        </w:rPr>
        <w:t>）存在明显的冠状动脉疾病（包括稳定型或不稳定型心绞痛和无症状心肌缺血）且适用于</w:t>
      </w:r>
      <w:r>
        <w:rPr>
          <w:rFonts w:eastAsia="宋体" w:cs="Times New Roman"/>
          <w:color w:val="000000"/>
          <w:kern w:val="0"/>
          <w:sz w:val="28"/>
          <w:szCs w:val="28"/>
        </w:rPr>
        <w:t>PCI</w:t>
      </w:r>
      <w:r>
        <w:rPr>
          <w:rFonts w:eastAsia="宋体" w:cs="Times New Roman"/>
          <w:color w:val="000000"/>
          <w:kern w:val="0"/>
          <w:sz w:val="28"/>
          <w:szCs w:val="28"/>
        </w:rPr>
        <w:t>治疗的患者；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3</w:t>
      </w:r>
      <w:r>
        <w:rPr>
          <w:rFonts w:eastAsia="宋体" w:cs="Times New Roman"/>
          <w:color w:val="000000"/>
          <w:kern w:val="0"/>
          <w:sz w:val="28"/>
          <w:szCs w:val="28"/>
        </w:rPr>
        <w:t>）</w:t>
      </w:r>
      <w:r>
        <w:rPr>
          <w:rFonts w:eastAsia="宋体" w:cs="Times New Roman" w:hint="eastAsia"/>
          <w:color w:val="000000"/>
          <w:kern w:val="0"/>
          <w:sz w:val="28"/>
          <w:szCs w:val="28"/>
        </w:rPr>
        <w:t>靶血管为前降支、</w:t>
      </w:r>
      <w:proofErr w:type="gramStart"/>
      <w:r>
        <w:rPr>
          <w:rFonts w:eastAsia="宋体" w:cs="Times New Roman" w:hint="eastAsia"/>
          <w:color w:val="000000"/>
          <w:kern w:val="0"/>
          <w:sz w:val="28"/>
          <w:szCs w:val="28"/>
        </w:rPr>
        <w:t>右冠或</w:t>
      </w:r>
      <w:proofErr w:type="gramEnd"/>
      <w:r>
        <w:rPr>
          <w:rFonts w:eastAsia="宋体" w:cs="Times New Roman" w:hint="eastAsia"/>
          <w:color w:val="000000"/>
          <w:kern w:val="0"/>
          <w:sz w:val="28"/>
          <w:szCs w:val="28"/>
        </w:rPr>
        <w:t>回旋支（或其分支）的单一新发狭窄</w:t>
      </w:r>
      <w:r>
        <w:rPr>
          <w:rFonts w:eastAsia="宋体" w:cs="Times New Roman"/>
          <w:color w:val="000000"/>
          <w:kern w:val="0"/>
          <w:sz w:val="28"/>
          <w:szCs w:val="28"/>
        </w:rPr>
        <w:t>，且狭窄程度</w:t>
      </w:r>
      <w:r>
        <w:rPr>
          <w:rFonts w:eastAsia="宋体" w:cs="Times New Roman"/>
          <w:color w:val="000000"/>
          <w:kern w:val="0"/>
          <w:sz w:val="28"/>
          <w:szCs w:val="28"/>
        </w:rPr>
        <w:t>≥70%</w:t>
      </w:r>
      <w:r>
        <w:rPr>
          <w:rFonts w:eastAsia="宋体" w:cs="Times New Roman"/>
          <w:color w:val="000000"/>
          <w:kern w:val="0"/>
          <w:sz w:val="28"/>
          <w:szCs w:val="28"/>
        </w:rPr>
        <w:t>或</w:t>
      </w:r>
      <w:r>
        <w:rPr>
          <w:rFonts w:eastAsia="宋体" w:cs="Times New Roman"/>
          <w:color w:val="000000"/>
          <w:kern w:val="0"/>
          <w:sz w:val="28"/>
          <w:szCs w:val="28"/>
        </w:rPr>
        <w:t>≥50%</w:t>
      </w:r>
      <w:r>
        <w:rPr>
          <w:rFonts w:eastAsia="宋体" w:cs="Times New Roman"/>
          <w:color w:val="000000"/>
          <w:kern w:val="0"/>
          <w:sz w:val="28"/>
          <w:szCs w:val="28"/>
        </w:rPr>
        <w:t>（目测）并伴有缺血证据；</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hint="eastAsia"/>
          <w:color w:val="000000"/>
          <w:kern w:val="0"/>
          <w:sz w:val="28"/>
          <w:szCs w:val="28"/>
        </w:rPr>
        <w:t>（</w:t>
      </w:r>
      <w:r>
        <w:rPr>
          <w:rFonts w:eastAsia="宋体" w:cs="Times New Roman"/>
          <w:color w:val="000000"/>
          <w:kern w:val="0"/>
          <w:sz w:val="28"/>
          <w:szCs w:val="28"/>
        </w:rPr>
        <w:t>4</w:t>
      </w:r>
      <w:r>
        <w:rPr>
          <w:rFonts w:eastAsia="宋体" w:cs="Times New Roman" w:hint="eastAsia"/>
          <w:color w:val="000000"/>
          <w:kern w:val="0"/>
          <w:sz w:val="28"/>
          <w:szCs w:val="28"/>
        </w:rPr>
        <w:t>）靶病变为原发、原位冠状动脉病变；</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5</w:t>
      </w:r>
      <w:r>
        <w:rPr>
          <w:rFonts w:eastAsia="宋体" w:cs="Times New Roman"/>
          <w:color w:val="000000"/>
          <w:kern w:val="0"/>
          <w:sz w:val="28"/>
          <w:szCs w:val="28"/>
        </w:rPr>
        <w:t>）靶病变参考血管直径为</w:t>
      </w:r>
      <w:r>
        <w:rPr>
          <w:rFonts w:eastAsia="宋体" w:cs="Times New Roman"/>
          <w:color w:val="000000"/>
          <w:kern w:val="0"/>
          <w:sz w:val="28"/>
          <w:szCs w:val="28"/>
        </w:rPr>
        <w:t>2.0-4.0mm</w:t>
      </w:r>
      <w:r>
        <w:rPr>
          <w:rFonts w:eastAsia="宋体" w:cs="Times New Roman"/>
          <w:color w:val="000000"/>
          <w:kern w:val="0"/>
          <w:sz w:val="28"/>
          <w:szCs w:val="28"/>
        </w:rPr>
        <w:t>，靶病变长度</w:t>
      </w:r>
      <w:r>
        <w:rPr>
          <w:rFonts w:eastAsia="宋体" w:cs="Times New Roman"/>
          <w:color w:val="000000"/>
          <w:kern w:val="0"/>
          <w:sz w:val="28"/>
          <w:szCs w:val="28"/>
        </w:rPr>
        <w:t>≤40mm</w:t>
      </w:r>
      <w:r>
        <w:rPr>
          <w:rFonts w:eastAsia="宋体" w:cs="Times New Roman"/>
          <w:color w:val="000000"/>
          <w:kern w:val="0"/>
          <w:sz w:val="28"/>
          <w:szCs w:val="28"/>
        </w:rPr>
        <w:t>（目测）；</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6</w:t>
      </w:r>
      <w:r>
        <w:rPr>
          <w:rFonts w:eastAsia="宋体" w:cs="Times New Roman"/>
          <w:color w:val="000000"/>
          <w:kern w:val="0"/>
          <w:sz w:val="28"/>
          <w:szCs w:val="28"/>
        </w:rPr>
        <w:t>）</w:t>
      </w:r>
      <w:r>
        <w:rPr>
          <w:rFonts w:eastAsia="宋体" w:cs="Times New Roman" w:hint="eastAsia"/>
          <w:color w:val="000000"/>
          <w:kern w:val="0"/>
          <w:sz w:val="28"/>
          <w:szCs w:val="28"/>
        </w:rPr>
        <w:t>目测靶病变位置能够容纳预扩张器械或试验器械穿过病灶</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7</w:t>
      </w:r>
      <w:r>
        <w:rPr>
          <w:rFonts w:eastAsia="宋体" w:cs="Times New Roman"/>
          <w:color w:val="000000"/>
          <w:kern w:val="0"/>
          <w:sz w:val="28"/>
          <w:szCs w:val="28"/>
        </w:rPr>
        <w:t>）靶病变部位存在中重度钙化（满足以下条件之一即可）；</w:t>
      </w:r>
    </w:p>
    <w:p w:rsidR="00CA2089" w:rsidRDefault="00035E4E">
      <w:pPr>
        <w:pStyle w:val="05220"/>
        <w:spacing w:line="300" w:lineRule="auto"/>
        <w:ind w:left="440" w:firstLineChars="200" w:firstLine="560"/>
        <w:rPr>
          <w:rFonts w:eastAsia="宋体" w:cs="Times New Roman"/>
          <w:color w:val="000000"/>
          <w:kern w:val="0"/>
          <w:sz w:val="28"/>
          <w:szCs w:val="28"/>
        </w:rPr>
      </w:pPr>
      <w:r>
        <w:rPr>
          <w:rFonts w:eastAsia="宋体" w:cs="Times New Roman"/>
          <w:color w:val="000000"/>
          <w:kern w:val="0"/>
          <w:sz w:val="28"/>
          <w:szCs w:val="28"/>
        </w:rPr>
        <w:t>1</w:t>
      </w:r>
      <w:r>
        <w:rPr>
          <w:rFonts w:eastAsia="宋体" w:cs="Times New Roman"/>
          <w:color w:val="000000"/>
          <w:kern w:val="0"/>
          <w:sz w:val="28"/>
          <w:szCs w:val="28"/>
        </w:rPr>
        <w:t>）血管造影：中度钙化，在心脏搏动时看到较清晰、较容易看到的高密度阴影；重度钙化，在心脏搏动和不搏动时均可看到清晰高密度阴影；</w:t>
      </w:r>
    </w:p>
    <w:p w:rsidR="00CA2089" w:rsidRDefault="00035E4E">
      <w:pPr>
        <w:pStyle w:val="05220"/>
        <w:spacing w:line="300" w:lineRule="auto"/>
        <w:ind w:left="440" w:firstLineChars="200" w:firstLine="560"/>
        <w:rPr>
          <w:rFonts w:eastAsia="宋体" w:cs="Times New Roman"/>
          <w:color w:val="000000"/>
          <w:kern w:val="0"/>
          <w:sz w:val="28"/>
          <w:szCs w:val="28"/>
        </w:rPr>
      </w:pPr>
      <w:r>
        <w:rPr>
          <w:rFonts w:eastAsia="宋体" w:cs="Times New Roman"/>
          <w:color w:val="000000"/>
          <w:kern w:val="0"/>
          <w:sz w:val="28"/>
          <w:szCs w:val="28"/>
        </w:rPr>
        <w:t>2</w:t>
      </w:r>
      <w:r>
        <w:rPr>
          <w:rFonts w:eastAsia="宋体" w:cs="Times New Roman"/>
          <w:color w:val="000000"/>
          <w:kern w:val="0"/>
          <w:sz w:val="28"/>
          <w:szCs w:val="28"/>
        </w:rPr>
        <w:t>）</w:t>
      </w:r>
      <w:r>
        <w:rPr>
          <w:rFonts w:eastAsia="宋体" w:cs="Times New Roman"/>
          <w:color w:val="000000"/>
          <w:kern w:val="0"/>
          <w:sz w:val="28"/>
          <w:szCs w:val="28"/>
        </w:rPr>
        <w:t>IVUS</w:t>
      </w:r>
      <w:r>
        <w:rPr>
          <w:rFonts w:eastAsia="宋体" w:cs="Times New Roman"/>
          <w:color w:val="000000"/>
          <w:kern w:val="0"/>
          <w:sz w:val="28"/>
          <w:szCs w:val="28"/>
        </w:rPr>
        <w:t>钙化评分</w:t>
      </w:r>
      <w:r>
        <w:rPr>
          <w:rFonts w:eastAsia="宋体" w:cs="Times New Roman"/>
          <w:color w:val="000000"/>
          <w:kern w:val="0"/>
          <w:sz w:val="28"/>
          <w:szCs w:val="28"/>
        </w:rPr>
        <w:t>≥2</w:t>
      </w:r>
      <w:r>
        <w:rPr>
          <w:rFonts w:eastAsia="宋体" w:cs="Times New Roman"/>
          <w:color w:val="000000"/>
          <w:kern w:val="0"/>
          <w:sz w:val="28"/>
          <w:szCs w:val="28"/>
        </w:rPr>
        <w:t>分的内膜浅层、中膜深层和混合性钙化；</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hint="eastAsia"/>
          <w:color w:val="000000"/>
          <w:kern w:val="0"/>
          <w:sz w:val="28"/>
          <w:szCs w:val="28"/>
        </w:rPr>
        <w:t>8</w:t>
      </w:r>
      <w:r>
        <w:rPr>
          <w:rFonts w:eastAsia="宋体" w:cs="Times New Roman"/>
          <w:color w:val="000000"/>
          <w:kern w:val="0"/>
          <w:sz w:val="28"/>
          <w:szCs w:val="28"/>
        </w:rPr>
        <w:t>）登记</w:t>
      </w:r>
      <w:proofErr w:type="gramStart"/>
      <w:r>
        <w:rPr>
          <w:rFonts w:eastAsia="宋体" w:cs="Times New Roman"/>
          <w:color w:val="000000"/>
          <w:kern w:val="0"/>
          <w:sz w:val="28"/>
          <w:szCs w:val="28"/>
        </w:rPr>
        <w:t>入组前靶血管</w:t>
      </w:r>
      <w:proofErr w:type="gramEnd"/>
      <w:r>
        <w:rPr>
          <w:rFonts w:eastAsia="宋体" w:cs="Times New Roman"/>
          <w:color w:val="000000"/>
          <w:kern w:val="0"/>
          <w:sz w:val="28"/>
          <w:szCs w:val="28"/>
        </w:rPr>
        <w:t>TIMI</w:t>
      </w:r>
      <w:r>
        <w:rPr>
          <w:rFonts w:eastAsia="宋体" w:cs="Times New Roman"/>
          <w:color w:val="000000"/>
          <w:kern w:val="0"/>
          <w:sz w:val="28"/>
          <w:szCs w:val="28"/>
        </w:rPr>
        <w:t>血流</w:t>
      </w:r>
      <w:r>
        <w:rPr>
          <w:rFonts w:eastAsia="宋体" w:cs="Times New Roman"/>
          <w:color w:val="000000"/>
          <w:kern w:val="0"/>
          <w:sz w:val="28"/>
          <w:szCs w:val="28"/>
        </w:rPr>
        <w:t>3</w:t>
      </w:r>
      <w:r>
        <w:rPr>
          <w:rFonts w:eastAsia="宋体" w:cs="Times New Roman"/>
          <w:color w:val="000000"/>
          <w:kern w:val="0"/>
          <w:sz w:val="28"/>
          <w:szCs w:val="28"/>
        </w:rPr>
        <w:t>级（允许进行预扩张）；</w:t>
      </w:r>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w:t>
      </w:r>
      <w:r>
        <w:rPr>
          <w:rFonts w:hint="eastAsia"/>
          <w:color w:val="000000"/>
          <w:kern w:val="0"/>
          <w:sz w:val="28"/>
          <w:szCs w:val="28"/>
        </w:rPr>
        <w:t>9</w:t>
      </w:r>
      <w:r>
        <w:rPr>
          <w:color w:val="000000"/>
          <w:kern w:val="0"/>
          <w:sz w:val="28"/>
          <w:szCs w:val="28"/>
        </w:rPr>
        <w:t>）自愿参加并签署知情同意书，愿意接受相关检查和临床随访。</w:t>
      </w:r>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排除标准</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w:t>
      </w:r>
      <w:r>
        <w:rPr>
          <w:rFonts w:eastAsia="宋体" w:cs="Times New Roman"/>
          <w:color w:val="000000"/>
          <w:kern w:val="0"/>
          <w:sz w:val="28"/>
          <w:szCs w:val="28"/>
        </w:rPr>
        <w:t>）左心室射血分数</w:t>
      </w:r>
      <w:r>
        <w:rPr>
          <w:rFonts w:eastAsia="宋体" w:cs="Times New Roman"/>
          <w:color w:val="000000"/>
          <w:kern w:val="0"/>
          <w:sz w:val="28"/>
          <w:szCs w:val="28"/>
        </w:rPr>
        <w:t>&lt; 40%</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w:t>
      </w:r>
      <w:r>
        <w:rPr>
          <w:rFonts w:eastAsia="宋体" w:cs="Times New Roman"/>
          <w:color w:val="000000"/>
          <w:kern w:val="0"/>
          <w:sz w:val="28"/>
          <w:szCs w:val="28"/>
        </w:rPr>
        <w:t>）心功能分级（</w:t>
      </w:r>
      <w:r>
        <w:rPr>
          <w:rFonts w:eastAsia="宋体" w:cs="Times New Roman"/>
          <w:color w:val="000000"/>
          <w:kern w:val="0"/>
          <w:sz w:val="28"/>
          <w:szCs w:val="28"/>
          <w:lang w:eastAsia="zh-Hans"/>
        </w:rPr>
        <w:t>NYHA</w:t>
      </w:r>
      <w:r>
        <w:rPr>
          <w:rFonts w:eastAsia="宋体" w:cs="Times New Roman"/>
          <w:color w:val="000000"/>
          <w:kern w:val="0"/>
          <w:sz w:val="28"/>
          <w:szCs w:val="28"/>
        </w:rPr>
        <w:t>）</w:t>
      </w:r>
      <w:r>
        <w:rPr>
          <w:rFonts w:eastAsia="宋体" w:cs="Times New Roman"/>
          <w:color w:val="000000"/>
          <w:kern w:val="0"/>
          <w:sz w:val="28"/>
          <w:szCs w:val="28"/>
          <w:lang w:eastAsia="zh-Hans"/>
        </w:rPr>
        <w:t xml:space="preserve">III </w:t>
      </w:r>
      <w:r>
        <w:rPr>
          <w:rFonts w:eastAsia="宋体" w:cs="Times New Roman"/>
          <w:color w:val="000000"/>
          <w:kern w:val="0"/>
          <w:sz w:val="28"/>
          <w:szCs w:val="28"/>
          <w:lang w:eastAsia="zh-Hans"/>
        </w:rPr>
        <w:t>级或</w:t>
      </w:r>
      <w:r>
        <w:rPr>
          <w:rFonts w:eastAsia="宋体" w:cs="Times New Roman"/>
          <w:color w:val="000000"/>
          <w:kern w:val="0"/>
          <w:sz w:val="28"/>
          <w:szCs w:val="28"/>
          <w:lang w:eastAsia="zh-Hans"/>
        </w:rPr>
        <w:t>IV</w:t>
      </w:r>
      <w:r>
        <w:rPr>
          <w:rFonts w:eastAsia="宋体" w:cs="Times New Roman"/>
          <w:color w:val="000000"/>
          <w:kern w:val="0"/>
          <w:sz w:val="28"/>
          <w:szCs w:val="28"/>
          <w:lang w:eastAsia="zh-Hans"/>
        </w:rPr>
        <w:t>级心力衰竭</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3</w:t>
      </w:r>
      <w:r>
        <w:rPr>
          <w:rFonts w:eastAsia="宋体" w:cs="Times New Roman"/>
          <w:color w:val="000000"/>
          <w:kern w:val="0"/>
          <w:sz w:val="28"/>
          <w:szCs w:val="28"/>
        </w:rPr>
        <w:t>）单一冠状动脉供血的患者；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lastRenderedPageBreak/>
        <w:t>（</w:t>
      </w:r>
      <w:r>
        <w:rPr>
          <w:rFonts w:eastAsia="宋体" w:cs="Times New Roman"/>
          <w:color w:val="000000"/>
          <w:kern w:val="0"/>
          <w:sz w:val="28"/>
          <w:szCs w:val="28"/>
        </w:rPr>
        <w:t>4</w:t>
      </w:r>
      <w:r>
        <w:rPr>
          <w:rFonts w:eastAsia="宋体" w:cs="Times New Roman"/>
          <w:color w:val="000000"/>
          <w:kern w:val="0"/>
          <w:sz w:val="28"/>
          <w:szCs w:val="28"/>
        </w:rPr>
        <w:t>）造影提示病变部位存在夹层的患者；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5</w:t>
      </w:r>
      <w:r>
        <w:rPr>
          <w:rFonts w:eastAsia="宋体" w:cs="Times New Roman"/>
          <w:color w:val="000000"/>
          <w:kern w:val="0"/>
          <w:sz w:val="28"/>
          <w:szCs w:val="28"/>
        </w:rPr>
        <w:t>）造影提示血管路径迂回，</w:t>
      </w:r>
      <w:r>
        <w:rPr>
          <w:rFonts w:eastAsia="宋体" w:cs="Times New Roman" w:hint="eastAsia"/>
          <w:color w:val="000000"/>
          <w:kern w:val="0"/>
          <w:sz w:val="28"/>
          <w:szCs w:val="28"/>
        </w:rPr>
        <w:t>预扩张器械</w:t>
      </w:r>
      <w:r>
        <w:rPr>
          <w:rFonts w:eastAsia="宋体" w:cs="Times New Roman"/>
          <w:color w:val="000000"/>
          <w:kern w:val="0"/>
          <w:sz w:val="28"/>
          <w:szCs w:val="28"/>
        </w:rPr>
        <w:t>难以达到目标位置或难以回收；</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6</w:t>
      </w:r>
      <w:r>
        <w:rPr>
          <w:rFonts w:eastAsia="宋体" w:cs="Times New Roman"/>
          <w:color w:val="000000"/>
          <w:kern w:val="0"/>
          <w:sz w:val="28"/>
          <w:szCs w:val="28"/>
        </w:rPr>
        <w:t>）存在活动性全身感染的患者；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7</w:t>
      </w:r>
      <w:r>
        <w:rPr>
          <w:rFonts w:eastAsia="宋体" w:cs="Times New Roman"/>
          <w:color w:val="000000"/>
          <w:kern w:val="0"/>
          <w:sz w:val="28"/>
          <w:szCs w:val="28"/>
        </w:rPr>
        <w:t>）存在不可控制的重度高血压（收缩压</w:t>
      </w:r>
      <w:r>
        <w:rPr>
          <w:rFonts w:eastAsia="宋体" w:cs="Times New Roman"/>
          <w:color w:val="000000"/>
          <w:kern w:val="0"/>
          <w:sz w:val="28"/>
          <w:szCs w:val="28"/>
        </w:rPr>
        <w:t>&gt;180 mmHg</w:t>
      </w:r>
      <w:r>
        <w:rPr>
          <w:rFonts w:eastAsia="宋体" w:cs="Times New Roman"/>
          <w:color w:val="000000"/>
          <w:kern w:val="0"/>
          <w:sz w:val="28"/>
          <w:szCs w:val="28"/>
        </w:rPr>
        <w:t>或舒张压</w:t>
      </w:r>
      <w:r>
        <w:rPr>
          <w:rFonts w:eastAsia="宋体" w:cs="Times New Roman"/>
          <w:color w:val="000000"/>
          <w:kern w:val="0"/>
          <w:sz w:val="28"/>
          <w:szCs w:val="28"/>
        </w:rPr>
        <w:t>&gt;110 mmHg</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8</w:t>
      </w:r>
      <w:r>
        <w:rPr>
          <w:rFonts w:eastAsia="宋体" w:cs="Times New Roman"/>
          <w:color w:val="000000"/>
          <w:kern w:val="0"/>
          <w:sz w:val="28"/>
          <w:szCs w:val="28"/>
        </w:rPr>
        <w:t>）存在凝血功能障碍、高凝状态或明显出血倾向（血红蛋白</w:t>
      </w:r>
      <w:r>
        <w:rPr>
          <w:rFonts w:eastAsia="宋体" w:cs="Times New Roman"/>
          <w:color w:val="000000"/>
          <w:kern w:val="0"/>
          <w:sz w:val="28"/>
          <w:szCs w:val="28"/>
        </w:rPr>
        <w:t>&lt;10g/dL</w:t>
      </w:r>
      <w:r>
        <w:rPr>
          <w:rFonts w:eastAsia="宋体" w:cs="Times New Roman"/>
          <w:color w:val="000000"/>
          <w:kern w:val="0"/>
          <w:sz w:val="28"/>
          <w:szCs w:val="28"/>
        </w:rPr>
        <w:t>或血小板计数</w:t>
      </w:r>
      <w:r>
        <w:rPr>
          <w:rFonts w:eastAsia="宋体" w:cs="Times New Roman"/>
          <w:color w:val="000000"/>
          <w:kern w:val="0"/>
          <w:sz w:val="28"/>
          <w:szCs w:val="28"/>
        </w:rPr>
        <w:t>&lt;80×10</w:t>
      </w:r>
      <w:r>
        <w:rPr>
          <w:rFonts w:eastAsia="宋体" w:cs="Times New Roman"/>
          <w:color w:val="000000"/>
          <w:kern w:val="0"/>
          <w:sz w:val="28"/>
          <w:szCs w:val="28"/>
          <w:vertAlign w:val="superscript"/>
        </w:rPr>
        <w:t>9</w:t>
      </w:r>
      <w:r>
        <w:rPr>
          <w:rFonts w:eastAsia="宋体" w:cs="Times New Roman"/>
          <w:color w:val="000000"/>
          <w:kern w:val="0"/>
          <w:sz w:val="28"/>
          <w:szCs w:val="28"/>
        </w:rPr>
        <w:t>/ L</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9</w:t>
      </w:r>
      <w:r>
        <w:rPr>
          <w:rFonts w:eastAsia="宋体" w:cs="Times New Roman"/>
          <w:color w:val="000000"/>
          <w:kern w:val="0"/>
          <w:sz w:val="28"/>
          <w:szCs w:val="28"/>
        </w:rPr>
        <w:t>）存在严重肾功能损害，转氨酶超过正常值</w:t>
      </w:r>
      <w:r>
        <w:rPr>
          <w:rFonts w:eastAsia="宋体" w:cs="Times New Roman" w:hint="eastAsia"/>
          <w:color w:val="000000"/>
          <w:kern w:val="0"/>
          <w:sz w:val="28"/>
          <w:szCs w:val="28"/>
        </w:rPr>
        <w:t>5</w:t>
      </w:r>
      <w:r>
        <w:rPr>
          <w:rFonts w:eastAsia="宋体" w:cs="Times New Roman"/>
          <w:color w:val="000000"/>
          <w:kern w:val="0"/>
          <w:sz w:val="28"/>
          <w:szCs w:val="28"/>
        </w:rPr>
        <w:t>倍以上，</w:t>
      </w:r>
      <w:r>
        <w:rPr>
          <w:rFonts w:eastAsia="宋体" w:cs="Times New Roman" w:hint="eastAsia"/>
          <w:color w:val="000000"/>
          <w:kern w:val="0"/>
          <w:sz w:val="28"/>
          <w:szCs w:val="28"/>
        </w:rPr>
        <w:t>eGFR</w:t>
      </w:r>
      <w:r>
        <w:rPr>
          <w:rFonts w:eastAsia="宋体" w:cs="Times New Roman" w:hint="eastAsia"/>
          <w:color w:val="000000"/>
          <w:kern w:val="0"/>
          <w:sz w:val="28"/>
          <w:szCs w:val="28"/>
        </w:rPr>
        <w:t>＜</w:t>
      </w:r>
      <w:r>
        <w:rPr>
          <w:rFonts w:eastAsia="宋体" w:cs="Times New Roman" w:hint="eastAsia"/>
          <w:color w:val="000000"/>
          <w:kern w:val="0"/>
          <w:sz w:val="28"/>
          <w:szCs w:val="28"/>
        </w:rPr>
        <w:t>45 mL</w:t>
      </w:r>
      <w:r>
        <w:rPr>
          <w:rFonts w:eastAsia="宋体" w:cs="Times New Roman" w:hint="eastAsia"/>
          <w:color w:val="000000"/>
          <w:kern w:val="0"/>
          <w:sz w:val="28"/>
          <w:szCs w:val="28"/>
        </w:rPr>
        <w:t>·</w:t>
      </w:r>
      <w:r>
        <w:rPr>
          <w:rFonts w:eastAsia="宋体" w:cs="Times New Roman" w:hint="eastAsia"/>
          <w:color w:val="000000"/>
          <w:kern w:val="0"/>
          <w:sz w:val="28"/>
          <w:szCs w:val="28"/>
        </w:rPr>
        <w:t>min</w:t>
      </w:r>
      <w:r>
        <w:rPr>
          <w:rFonts w:eastAsia="宋体" w:cs="Times New Roman" w:hint="eastAsia"/>
          <w:color w:val="000000"/>
          <w:kern w:val="0"/>
          <w:sz w:val="28"/>
          <w:szCs w:val="28"/>
          <w:vertAlign w:val="superscript"/>
        </w:rPr>
        <w:t>-1</w:t>
      </w:r>
      <w:r>
        <w:rPr>
          <w:rFonts w:eastAsia="宋体" w:cs="Times New Roman" w:hint="eastAsia"/>
          <w:color w:val="000000"/>
          <w:kern w:val="0"/>
          <w:sz w:val="28"/>
          <w:szCs w:val="28"/>
        </w:rPr>
        <w:t>·</w:t>
      </w:r>
      <w:r>
        <w:rPr>
          <w:rFonts w:eastAsia="宋体" w:cs="Times New Roman" w:hint="eastAsia"/>
          <w:color w:val="000000"/>
          <w:kern w:val="0"/>
          <w:sz w:val="28"/>
          <w:szCs w:val="28"/>
        </w:rPr>
        <w:t>1.73m</w:t>
      </w:r>
      <w:r>
        <w:rPr>
          <w:rFonts w:eastAsia="宋体" w:cs="Times New Roman" w:hint="eastAsia"/>
          <w:color w:val="000000"/>
          <w:kern w:val="0"/>
          <w:sz w:val="28"/>
          <w:szCs w:val="28"/>
          <w:vertAlign w:val="superscript"/>
        </w:rPr>
        <w:t>-2</w:t>
      </w:r>
      <w:r>
        <w:rPr>
          <w:rFonts w:eastAsia="宋体" w:cs="Times New Roman"/>
          <w:color w:val="000000"/>
          <w:kern w:val="0"/>
          <w:sz w:val="28"/>
          <w:szCs w:val="28"/>
        </w:rPr>
        <w:t>或需要长期透析的慢性肾功能衰竭患者；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10</w:t>
      </w:r>
      <w:r>
        <w:rPr>
          <w:rFonts w:eastAsia="宋体" w:cs="Times New Roman"/>
          <w:color w:val="000000"/>
          <w:kern w:val="0"/>
          <w:sz w:val="28"/>
          <w:szCs w:val="28"/>
        </w:rPr>
        <w:t>）已知桥血管病变</w:t>
      </w:r>
      <w:r>
        <w:rPr>
          <w:rFonts w:eastAsia="宋体" w:cs="Times New Roman" w:hint="eastAsia"/>
          <w:color w:val="000000"/>
          <w:kern w:val="0"/>
          <w:sz w:val="28"/>
          <w:szCs w:val="28"/>
        </w:rPr>
        <w:t>、</w:t>
      </w:r>
      <w:r>
        <w:rPr>
          <w:rFonts w:eastAsia="宋体" w:cs="Times New Roman"/>
          <w:color w:val="000000"/>
          <w:kern w:val="0"/>
          <w:sz w:val="28"/>
          <w:szCs w:val="28"/>
        </w:rPr>
        <w:t>血栓性病变</w:t>
      </w:r>
      <w:r>
        <w:rPr>
          <w:rFonts w:eastAsia="宋体" w:cs="Times New Roman" w:hint="eastAsia"/>
          <w:color w:val="000000"/>
          <w:kern w:val="0"/>
          <w:sz w:val="28"/>
          <w:szCs w:val="28"/>
        </w:rPr>
        <w:t>、左主干病变、闭塞病变、分叉病变</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11</w:t>
      </w:r>
      <w:r>
        <w:rPr>
          <w:rFonts w:eastAsia="宋体" w:cs="Times New Roman"/>
          <w:color w:val="000000"/>
          <w:kern w:val="0"/>
          <w:sz w:val="28"/>
          <w:szCs w:val="28"/>
        </w:rPr>
        <w:t>）已知</w:t>
      </w:r>
      <w:r>
        <w:rPr>
          <w:rFonts w:eastAsia="宋体" w:cs="Times New Roman" w:hint="eastAsia"/>
          <w:color w:val="000000"/>
          <w:kern w:val="0"/>
          <w:sz w:val="28"/>
          <w:szCs w:val="28"/>
        </w:rPr>
        <w:t>对抗血小板药物、抗凝药物</w:t>
      </w:r>
      <w:r>
        <w:rPr>
          <w:rFonts w:eastAsia="宋体" w:cs="Times New Roman"/>
          <w:color w:val="000000"/>
          <w:kern w:val="0"/>
          <w:sz w:val="28"/>
          <w:szCs w:val="28"/>
        </w:rPr>
        <w:t>、造影剂、</w:t>
      </w:r>
      <w:r>
        <w:rPr>
          <w:rFonts w:eastAsia="宋体" w:cs="Times New Roman" w:hint="eastAsia"/>
          <w:color w:val="000000"/>
          <w:kern w:val="0"/>
          <w:sz w:val="28"/>
          <w:szCs w:val="28"/>
        </w:rPr>
        <w:t>试验产品</w:t>
      </w:r>
      <w:r>
        <w:rPr>
          <w:rFonts w:eastAsia="宋体" w:cs="Times New Roman"/>
          <w:color w:val="000000"/>
          <w:kern w:val="0"/>
          <w:sz w:val="28"/>
          <w:szCs w:val="28"/>
        </w:rPr>
        <w:t>导管材料等过敏</w:t>
      </w:r>
      <w:r>
        <w:rPr>
          <w:rFonts w:eastAsia="宋体" w:cs="Times New Roman" w:hint="eastAsia"/>
          <w:color w:val="000000"/>
          <w:kern w:val="0"/>
          <w:sz w:val="28"/>
          <w:szCs w:val="28"/>
        </w:rPr>
        <w:t>或不能耐受</w:t>
      </w:r>
      <w:r>
        <w:rPr>
          <w:rFonts w:eastAsia="宋体" w:cs="Times New Roman"/>
          <w:color w:val="000000"/>
          <w:kern w:val="0"/>
          <w:sz w:val="28"/>
          <w:szCs w:val="28"/>
        </w:rPr>
        <w:t>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12</w:t>
      </w:r>
      <w:r>
        <w:rPr>
          <w:rFonts w:eastAsia="宋体" w:cs="Times New Roman"/>
          <w:color w:val="000000"/>
          <w:kern w:val="0"/>
          <w:sz w:val="28"/>
          <w:szCs w:val="28"/>
        </w:rPr>
        <w:t>）计划术后</w:t>
      </w:r>
      <w:r>
        <w:rPr>
          <w:rFonts w:eastAsia="宋体" w:cs="Times New Roman"/>
          <w:color w:val="000000"/>
          <w:kern w:val="0"/>
          <w:sz w:val="28"/>
          <w:szCs w:val="28"/>
        </w:rPr>
        <w:t>30</w:t>
      </w:r>
      <w:r>
        <w:rPr>
          <w:rFonts w:eastAsia="宋体" w:cs="Times New Roman"/>
          <w:color w:val="000000"/>
          <w:kern w:val="0"/>
          <w:sz w:val="28"/>
          <w:szCs w:val="28"/>
        </w:rPr>
        <w:t>天内进行心血管干预治疗的患者；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13</w:t>
      </w:r>
      <w:r>
        <w:rPr>
          <w:rFonts w:eastAsia="宋体" w:cs="Times New Roman"/>
          <w:color w:val="000000"/>
          <w:kern w:val="0"/>
          <w:sz w:val="28"/>
          <w:szCs w:val="28"/>
        </w:rPr>
        <w:t>）计划同时使用动脉粥样硬化切除术或</w:t>
      </w:r>
      <w:r>
        <w:rPr>
          <w:rFonts w:eastAsia="宋体" w:cs="Times New Roman" w:hint="eastAsia"/>
          <w:color w:val="000000"/>
          <w:kern w:val="0"/>
          <w:sz w:val="28"/>
          <w:szCs w:val="28"/>
        </w:rPr>
        <w:t>试验器械外的其它类似功能</w:t>
      </w:r>
      <w:r>
        <w:rPr>
          <w:rFonts w:eastAsia="宋体" w:cs="Times New Roman"/>
          <w:color w:val="000000"/>
          <w:kern w:val="0"/>
          <w:sz w:val="28"/>
          <w:szCs w:val="28"/>
        </w:rPr>
        <w:t>球囊</w:t>
      </w:r>
      <w:r>
        <w:rPr>
          <w:rFonts w:eastAsia="宋体" w:cs="Times New Roman" w:hint="eastAsia"/>
          <w:color w:val="000000"/>
          <w:kern w:val="0"/>
          <w:sz w:val="28"/>
          <w:szCs w:val="28"/>
        </w:rPr>
        <w:t>（预扩张相关球囊除外）</w:t>
      </w:r>
      <w:r>
        <w:rPr>
          <w:rFonts w:eastAsia="宋体" w:cs="Times New Roman"/>
          <w:color w:val="000000"/>
          <w:kern w:val="0"/>
          <w:sz w:val="28"/>
          <w:szCs w:val="28"/>
        </w:rPr>
        <w:t>或研究性冠状动脉装置的患者；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14</w:t>
      </w:r>
      <w:r>
        <w:rPr>
          <w:rFonts w:eastAsia="宋体" w:cs="Times New Roman"/>
          <w:color w:val="000000"/>
          <w:kern w:val="0"/>
          <w:sz w:val="28"/>
          <w:szCs w:val="28"/>
        </w:rPr>
        <w:t>）术前</w:t>
      </w:r>
      <w:r>
        <w:rPr>
          <w:rFonts w:eastAsia="宋体" w:cs="Times New Roman"/>
          <w:color w:val="000000"/>
          <w:kern w:val="0"/>
          <w:sz w:val="28"/>
          <w:szCs w:val="28"/>
        </w:rPr>
        <w:t>3</w:t>
      </w:r>
      <w:r>
        <w:rPr>
          <w:rFonts w:eastAsia="宋体" w:cs="Times New Roman"/>
          <w:color w:val="000000"/>
          <w:kern w:val="0"/>
          <w:sz w:val="28"/>
          <w:szCs w:val="28"/>
        </w:rPr>
        <w:t>个月内靶病变部位接受过血管介入治疗手术或重大外科手术的患者；</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15</w:t>
      </w:r>
      <w:r>
        <w:rPr>
          <w:rFonts w:eastAsia="宋体" w:cs="Times New Roman"/>
          <w:color w:val="000000"/>
          <w:kern w:val="0"/>
          <w:sz w:val="28"/>
          <w:szCs w:val="28"/>
        </w:rPr>
        <w:t>）</w:t>
      </w:r>
      <w:r>
        <w:rPr>
          <w:rFonts w:eastAsia="宋体" w:cs="Times New Roman" w:hint="eastAsia"/>
          <w:color w:val="000000"/>
          <w:kern w:val="0"/>
          <w:sz w:val="28"/>
          <w:szCs w:val="28"/>
        </w:rPr>
        <w:t>入组前</w:t>
      </w:r>
      <w:r>
        <w:rPr>
          <w:rFonts w:eastAsia="宋体" w:cs="Times New Roman" w:hint="eastAsia"/>
          <w:color w:val="000000"/>
          <w:kern w:val="0"/>
          <w:sz w:val="28"/>
          <w:szCs w:val="28"/>
        </w:rPr>
        <w:t>1</w:t>
      </w:r>
      <w:r>
        <w:rPr>
          <w:rFonts w:eastAsia="宋体" w:cs="Times New Roman" w:hint="eastAsia"/>
          <w:color w:val="000000"/>
          <w:kern w:val="0"/>
          <w:sz w:val="28"/>
          <w:szCs w:val="28"/>
        </w:rPr>
        <w:t>个月内发生急性心肌梗死（</w:t>
      </w:r>
      <w:r>
        <w:rPr>
          <w:rFonts w:eastAsia="宋体" w:cs="Times New Roman" w:hint="eastAsia"/>
          <w:color w:val="000000"/>
          <w:kern w:val="0"/>
          <w:sz w:val="28"/>
          <w:szCs w:val="28"/>
        </w:rPr>
        <w:t>MI</w:t>
      </w:r>
      <w:r>
        <w:rPr>
          <w:rFonts w:eastAsia="宋体" w:cs="Times New Roman" w:hint="eastAsia"/>
          <w:color w:val="000000"/>
          <w:kern w:val="0"/>
          <w:sz w:val="28"/>
          <w:szCs w:val="28"/>
        </w:rPr>
        <w:t>）的患者</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16</w:t>
      </w:r>
      <w:r>
        <w:rPr>
          <w:rFonts w:eastAsia="宋体" w:cs="Times New Roman"/>
          <w:color w:val="000000"/>
          <w:kern w:val="0"/>
          <w:sz w:val="28"/>
          <w:szCs w:val="28"/>
        </w:rPr>
        <w:t>）入组前</w:t>
      </w:r>
      <w:r>
        <w:rPr>
          <w:rFonts w:eastAsia="宋体" w:cs="Times New Roman"/>
          <w:color w:val="000000"/>
          <w:kern w:val="0"/>
          <w:sz w:val="28"/>
          <w:szCs w:val="28"/>
          <w:lang w:eastAsia="zh-Hans"/>
        </w:rPr>
        <w:t>3</w:t>
      </w:r>
      <w:r>
        <w:rPr>
          <w:rFonts w:eastAsia="宋体" w:cs="Times New Roman"/>
          <w:color w:val="000000"/>
          <w:kern w:val="0"/>
          <w:sz w:val="28"/>
          <w:szCs w:val="28"/>
          <w:lang w:eastAsia="zh-Hans"/>
        </w:rPr>
        <w:t>个月内有卒中或短暂性脑缺血发作（</w:t>
      </w:r>
      <w:r>
        <w:rPr>
          <w:rFonts w:eastAsia="宋体" w:cs="Times New Roman"/>
          <w:color w:val="000000"/>
          <w:kern w:val="0"/>
          <w:sz w:val="28"/>
          <w:szCs w:val="28"/>
          <w:lang w:eastAsia="zh-Hans"/>
        </w:rPr>
        <w:t>TIA</w:t>
      </w:r>
      <w:r>
        <w:rPr>
          <w:rFonts w:eastAsia="宋体" w:cs="Times New Roman"/>
          <w:color w:val="000000"/>
          <w:kern w:val="0"/>
          <w:sz w:val="28"/>
          <w:szCs w:val="28"/>
          <w:lang w:eastAsia="zh-Hans"/>
        </w:rPr>
        <w:t>）病史</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lastRenderedPageBreak/>
        <w:t>（</w:t>
      </w:r>
      <w:r>
        <w:rPr>
          <w:rFonts w:eastAsia="宋体" w:cs="Times New Roman"/>
          <w:color w:val="000000"/>
          <w:kern w:val="0"/>
          <w:sz w:val="28"/>
          <w:szCs w:val="28"/>
        </w:rPr>
        <w:t>17</w:t>
      </w:r>
      <w:r>
        <w:rPr>
          <w:rFonts w:eastAsia="宋体" w:cs="Times New Roman"/>
          <w:color w:val="000000"/>
          <w:kern w:val="0"/>
          <w:sz w:val="28"/>
          <w:szCs w:val="28"/>
        </w:rPr>
        <w:t>）入组前</w:t>
      </w:r>
      <w:r>
        <w:rPr>
          <w:rFonts w:eastAsia="宋体" w:cs="Times New Roman"/>
          <w:color w:val="000000"/>
          <w:kern w:val="0"/>
          <w:sz w:val="28"/>
          <w:szCs w:val="28"/>
          <w:lang w:eastAsia="zh-Hans"/>
        </w:rPr>
        <w:t xml:space="preserve">6 </w:t>
      </w:r>
      <w:proofErr w:type="gramStart"/>
      <w:r>
        <w:rPr>
          <w:rFonts w:eastAsia="宋体" w:cs="Times New Roman"/>
          <w:color w:val="000000"/>
          <w:kern w:val="0"/>
          <w:sz w:val="28"/>
          <w:szCs w:val="28"/>
          <w:lang w:eastAsia="zh-Hans"/>
        </w:rPr>
        <w:t>个</w:t>
      </w:r>
      <w:proofErr w:type="gramEnd"/>
      <w:r>
        <w:rPr>
          <w:rFonts w:eastAsia="宋体" w:cs="Times New Roman"/>
          <w:color w:val="000000"/>
          <w:kern w:val="0"/>
          <w:sz w:val="28"/>
          <w:szCs w:val="28"/>
          <w:lang w:eastAsia="zh-Hans"/>
        </w:rPr>
        <w:t>月内存在活动性消化性溃疡或上消化道（</w:t>
      </w:r>
      <w:r>
        <w:rPr>
          <w:rFonts w:eastAsia="宋体" w:cs="Times New Roman"/>
          <w:color w:val="000000"/>
          <w:kern w:val="0"/>
          <w:sz w:val="28"/>
          <w:szCs w:val="28"/>
          <w:lang w:eastAsia="zh-Hans"/>
        </w:rPr>
        <w:t>GI</w:t>
      </w:r>
      <w:r>
        <w:rPr>
          <w:rFonts w:eastAsia="宋体" w:cs="Times New Roman"/>
          <w:color w:val="000000"/>
          <w:kern w:val="0"/>
          <w:sz w:val="28"/>
          <w:szCs w:val="28"/>
          <w:lang w:eastAsia="zh-Hans"/>
        </w:rPr>
        <w:t>）出血病史</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18</w:t>
      </w:r>
      <w:r>
        <w:rPr>
          <w:rFonts w:eastAsia="宋体" w:cs="Times New Roman"/>
          <w:color w:val="000000"/>
          <w:kern w:val="0"/>
          <w:sz w:val="28"/>
          <w:szCs w:val="28"/>
        </w:rPr>
        <w:t>）</w:t>
      </w:r>
      <w:r>
        <w:rPr>
          <w:rFonts w:eastAsia="宋体" w:cs="Times New Roman"/>
          <w:color w:val="000000"/>
          <w:kern w:val="0"/>
          <w:sz w:val="28"/>
          <w:szCs w:val="28"/>
          <w:lang w:eastAsia="zh-Hans"/>
        </w:rPr>
        <w:t>妊娠、哺乳期</w:t>
      </w:r>
      <w:r>
        <w:rPr>
          <w:rFonts w:eastAsia="宋体" w:cs="Times New Roman"/>
          <w:color w:val="000000"/>
          <w:kern w:val="0"/>
          <w:sz w:val="28"/>
          <w:szCs w:val="28"/>
        </w:rPr>
        <w:t>或试验期间有生育计划的</w:t>
      </w:r>
      <w:r>
        <w:rPr>
          <w:rFonts w:eastAsia="宋体" w:cs="Times New Roman"/>
          <w:color w:val="000000"/>
          <w:kern w:val="0"/>
          <w:sz w:val="28"/>
          <w:szCs w:val="28"/>
          <w:lang w:eastAsia="zh-Hans"/>
        </w:rPr>
        <w:t>女性</w:t>
      </w:r>
      <w:r>
        <w:rPr>
          <w:rFonts w:eastAsia="宋体" w:cs="Times New Roman"/>
          <w:color w:val="000000"/>
          <w:kern w:val="0"/>
          <w:sz w:val="28"/>
          <w:szCs w:val="28"/>
        </w:rPr>
        <w:t>；</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19</w:t>
      </w:r>
      <w:r>
        <w:rPr>
          <w:rFonts w:eastAsia="宋体" w:cs="Times New Roman"/>
          <w:color w:val="000000"/>
          <w:kern w:val="0"/>
          <w:sz w:val="28"/>
          <w:szCs w:val="28"/>
        </w:rPr>
        <w:t>）正在参加其他器械或药物的干预性临床研究；</w:t>
      </w:r>
    </w:p>
    <w:p w:rsidR="00CA2089" w:rsidRDefault="00035E4E">
      <w:pPr>
        <w:pStyle w:val="05220"/>
        <w:spacing w:line="300" w:lineRule="auto"/>
        <w:ind w:firstLineChars="200" w:firstLine="560"/>
        <w:rPr>
          <w:rFonts w:eastAsia="宋体" w:cs="Times New Roman"/>
          <w:color w:val="000000"/>
          <w:kern w:val="0"/>
          <w:sz w:val="28"/>
          <w:szCs w:val="28"/>
        </w:rPr>
      </w:pPr>
      <w:r>
        <w:rPr>
          <w:rFonts w:eastAsia="宋体" w:cs="Times New Roman"/>
          <w:color w:val="000000"/>
          <w:kern w:val="0"/>
          <w:sz w:val="28"/>
          <w:szCs w:val="28"/>
        </w:rPr>
        <w:t>（</w:t>
      </w:r>
      <w:r>
        <w:rPr>
          <w:rFonts w:eastAsia="宋体" w:cs="Times New Roman"/>
          <w:color w:val="000000"/>
          <w:kern w:val="0"/>
          <w:sz w:val="28"/>
          <w:szCs w:val="28"/>
        </w:rPr>
        <w:t>20</w:t>
      </w:r>
      <w:r>
        <w:rPr>
          <w:rFonts w:eastAsia="宋体" w:cs="Times New Roman"/>
          <w:color w:val="000000"/>
          <w:kern w:val="0"/>
          <w:sz w:val="28"/>
          <w:szCs w:val="28"/>
        </w:rPr>
        <w:t>）</w:t>
      </w:r>
      <w:r>
        <w:rPr>
          <w:rFonts w:eastAsia="宋体" w:cs="Times New Roman"/>
          <w:color w:val="000000"/>
          <w:kern w:val="0"/>
          <w:sz w:val="28"/>
          <w:szCs w:val="28"/>
          <w:lang w:eastAsia="zh-Hans"/>
        </w:rPr>
        <w:t>研究者认为不适宜参加本次临床研究的其他情况</w:t>
      </w:r>
      <w:r>
        <w:rPr>
          <w:rFonts w:eastAsia="宋体" w:cs="Times New Roman"/>
          <w:color w:val="000000"/>
          <w:kern w:val="0"/>
          <w:sz w:val="28"/>
          <w:szCs w:val="28"/>
        </w:rPr>
        <w:t>。</w:t>
      </w:r>
    </w:p>
    <w:p w:rsidR="00CA2089" w:rsidRDefault="00035E4E">
      <w:pPr>
        <w:pStyle w:val="af0"/>
        <w:numPr>
          <w:ilvl w:val="0"/>
          <w:numId w:val="1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受试者退出标准和程序</w:t>
      </w:r>
    </w:p>
    <w:p w:rsidR="00CA2089" w:rsidRDefault="00035E4E">
      <w:pPr>
        <w:numPr>
          <w:ilvl w:val="0"/>
          <w:numId w:val="11"/>
        </w:numPr>
        <w:spacing w:line="360" w:lineRule="auto"/>
        <w:ind w:left="0" w:firstLineChars="200" w:firstLine="560"/>
        <w:rPr>
          <w:sz w:val="28"/>
          <w:szCs w:val="28"/>
        </w:rPr>
      </w:pPr>
      <w:r>
        <w:rPr>
          <w:sz w:val="28"/>
          <w:szCs w:val="28"/>
        </w:rPr>
        <w:t>受试者在试验过程中依从性差；</w:t>
      </w:r>
    </w:p>
    <w:p w:rsidR="00CA2089" w:rsidRDefault="00035E4E">
      <w:pPr>
        <w:numPr>
          <w:ilvl w:val="0"/>
          <w:numId w:val="11"/>
        </w:numPr>
        <w:spacing w:line="360" w:lineRule="auto"/>
        <w:ind w:left="0" w:firstLineChars="200" w:firstLine="560"/>
        <w:rPr>
          <w:sz w:val="28"/>
          <w:szCs w:val="28"/>
        </w:rPr>
      </w:pPr>
      <w:r>
        <w:rPr>
          <w:sz w:val="28"/>
          <w:szCs w:val="28"/>
        </w:rPr>
        <w:t>出现因研究者违背方案导致影响受试者安全或试验数据真实性、完整性的情况；</w:t>
      </w:r>
    </w:p>
    <w:p w:rsidR="00CA2089" w:rsidRDefault="00035E4E">
      <w:pPr>
        <w:numPr>
          <w:ilvl w:val="0"/>
          <w:numId w:val="11"/>
        </w:numPr>
        <w:spacing w:line="360" w:lineRule="auto"/>
        <w:ind w:left="0" w:firstLineChars="200" w:firstLine="560"/>
        <w:rPr>
          <w:sz w:val="28"/>
          <w:szCs w:val="28"/>
        </w:rPr>
      </w:pPr>
      <w:r>
        <w:rPr>
          <w:sz w:val="28"/>
          <w:szCs w:val="28"/>
        </w:rPr>
        <w:t>使用受试品后出现严重并发症，经研究者明确判定与产品有关，可以将受试品从受试者体内取出，受试者退出临床试验；</w:t>
      </w:r>
    </w:p>
    <w:p w:rsidR="00CA2089" w:rsidRDefault="00035E4E">
      <w:pPr>
        <w:numPr>
          <w:ilvl w:val="0"/>
          <w:numId w:val="11"/>
        </w:numPr>
        <w:spacing w:line="360" w:lineRule="auto"/>
        <w:ind w:left="0" w:firstLineChars="200" w:firstLine="560"/>
        <w:rPr>
          <w:sz w:val="28"/>
          <w:szCs w:val="28"/>
        </w:rPr>
      </w:pPr>
      <w:r>
        <w:rPr>
          <w:sz w:val="28"/>
          <w:szCs w:val="28"/>
        </w:rPr>
        <w:t>受试者自愿退出临床试验；</w:t>
      </w:r>
    </w:p>
    <w:p w:rsidR="00CA2089" w:rsidRDefault="00035E4E">
      <w:pPr>
        <w:numPr>
          <w:ilvl w:val="0"/>
          <w:numId w:val="11"/>
        </w:numPr>
        <w:spacing w:line="360" w:lineRule="auto"/>
        <w:ind w:left="0" w:firstLineChars="200" w:firstLine="560"/>
        <w:rPr>
          <w:sz w:val="28"/>
          <w:szCs w:val="28"/>
        </w:rPr>
      </w:pPr>
      <w:r>
        <w:rPr>
          <w:sz w:val="28"/>
          <w:szCs w:val="28"/>
        </w:rPr>
        <w:t>研究者根据受试者具体情况判断其不适宜继续参加试验。</w:t>
      </w:r>
    </w:p>
    <w:p w:rsidR="00CA2089" w:rsidRDefault="00035E4E">
      <w:pPr>
        <w:numPr>
          <w:ilvl w:val="255"/>
          <w:numId w:val="0"/>
        </w:numPr>
        <w:spacing w:line="360" w:lineRule="auto"/>
        <w:ind w:firstLineChars="200" w:firstLine="560"/>
        <w:rPr>
          <w:sz w:val="28"/>
          <w:szCs w:val="28"/>
        </w:rPr>
      </w:pPr>
      <w:r>
        <w:rPr>
          <w:sz w:val="28"/>
          <w:szCs w:val="28"/>
        </w:rPr>
        <w:t>对于退出试验的受试者，研究者可与受试者或受试者家属联系，尽可能完全了解退出的理由。退出时尽可能作完整评估，并做好相应的记录。</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54" w:name="_Toc16062"/>
      <w:bookmarkStart w:id="55" w:name="_Toc134753809"/>
      <w:r>
        <w:rPr>
          <w:rFonts w:ascii="Times New Roman" w:eastAsia="宋体" w:hAnsi="Times New Roman" w:cs="Times New Roman"/>
          <w:sz w:val="28"/>
          <w:szCs w:val="28"/>
        </w:rPr>
        <w:t>（三）评价方法</w:t>
      </w:r>
      <w:bookmarkEnd w:id="54"/>
      <w:bookmarkEnd w:id="55"/>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有效性评价</w:t>
      </w:r>
    </w:p>
    <w:p w:rsidR="00CA2089" w:rsidRDefault="00035E4E">
      <w:pPr>
        <w:pStyle w:val="af0"/>
        <w:adjustRightInd w:val="0"/>
        <w:snapToGrid w:val="0"/>
        <w:spacing w:line="360" w:lineRule="auto"/>
        <w:ind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）主要</w:t>
      </w:r>
      <w:r>
        <w:rPr>
          <w:rFonts w:ascii="Times New Roman" w:eastAsia="宋体" w:hAnsi="Times New Roman" w:cs="Times New Roman" w:hint="eastAsia"/>
          <w:color w:val="auto"/>
          <w:sz w:val="28"/>
          <w:szCs w:val="28"/>
        </w:rPr>
        <w:t>疗效</w:t>
      </w:r>
      <w:r>
        <w:rPr>
          <w:rFonts w:ascii="Times New Roman" w:eastAsia="宋体" w:hAnsi="Times New Roman" w:cs="Times New Roman"/>
          <w:color w:val="auto"/>
          <w:sz w:val="28"/>
          <w:szCs w:val="28"/>
        </w:rPr>
        <w:t>指标</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bookmarkStart w:id="56" w:name="_Hlk89883738"/>
      <w:r>
        <w:rPr>
          <w:rFonts w:ascii="Times New Roman" w:eastAsia="宋体" w:hAnsi="Times New Roman" w:cs="Times New Roman"/>
          <w:sz w:val="28"/>
          <w:szCs w:val="28"/>
        </w:rPr>
        <w:t>手术成功率</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评价时间：术后即刻至出院前（术后</w:t>
      </w:r>
      <w:r>
        <w:rPr>
          <w:rFonts w:ascii="Times New Roman" w:eastAsia="宋体" w:hAnsi="Times New Roman" w:cs="Times New Roman"/>
          <w:sz w:val="28"/>
          <w:szCs w:val="28"/>
        </w:rPr>
        <w:t>0-7</w:t>
      </w:r>
      <w:r>
        <w:rPr>
          <w:rFonts w:ascii="Times New Roman" w:eastAsia="宋体" w:hAnsi="Times New Roman" w:cs="Times New Roman"/>
          <w:sz w:val="28"/>
          <w:szCs w:val="28"/>
        </w:rPr>
        <w:t>天）</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手术成功定义：</w:t>
      </w:r>
      <w:bookmarkStart w:id="57" w:name="_Hlk92689681"/>
      <w:r>
        <w:rPr>
          <w:rFonts w:ascii="Times New Roman" w:eastAsia="宋体" w:hAnsi="Times New Roman" w:cs="Times New Roman"/>
          <w:sz w:val="28"/>
          <w:szCs w:val="28"/>
        </w:rPr>
        <w:t>术中通过血管造影评估，使用试验器械</w:t>
      </w:r>
      <w:r>
        <w:rPr>
          <w:rFonts w:ascii="Times New Roman" w:eastAsia="宋体" w:hAnsi="Times New Roman" w:cs="Times New Roman" w:hint="eastAsia"/>
          <w:sz w:val="28"/>
          <w:szCs w:val="28"/>
        </w:rPr>
        <w:t>成功</w:t>
      </w:r>
      <w:r>
        <w:rPr>
          <w:rFonts w:ascii="Times New Roman" w:eastAsia="宋体" w:hAnsi="Times New Roman" w:cs="Times New Roman"/>
          <w:sz w:val="28"/>
          <w:szCs w:val="28"/>
        </w:rPr>
        <w:t>对管腔进</w:t>
      </w:r>
      <w:r>
        <w:rPr>
          <w:rFonts w:ascii="Times New Roman" w:eastAsia="宋体" w:hAnsi="Times New Roman" w:cs="Times New Roman"/>
          <w:sz w:val="28"/>
          <w:szCs w:val="28"/>
        </w:rPr>
        <w:lastRenderedPageBreak/>
        <w:t>行预处理，</w:t>
      </w:r>
      <w:r>
        <w:rPr>
          <w:rFonts w:ascii="Times New Roman" w:eastAsia="宋体" w:hAnsi="Times New Roman" w:cs="Times New Roman" w:hint="eastAsia"/>
          <w:sz w:val="28"/>
          <w:szCs w:val="28"/>
        </w:rPr>
        <w:t>支架植入后即刻靶病变残余直径狭窄≤</w:t>
      </w:r>
      <w:r>
        <w:rPr>
          <w:rFonts w:ascii="Times New Roman" w:eastAsia="宋体" w:hAnsi="Times New Roman" w:cs="Times New Roman"/>
          <w:sz w:val="28"/>
          <w:szCs w:val="28"/>
        </w:rPr>
        <w:t>30%</w:t>
      </w:r>
      <w:r>
        <w:rPr>
          <w:rFonts w:ascii="Times New Roman" w:eastAsia="宋体" w:hAnsi="Times New Roman" w:cs="Times New Roman"/>
          <w:sz w:val="28"/>
          <w:szCs w:val="28"/>
        </w:rPr>
        <w:t>且住院期间无心脏血管主要不良事件（</w:t>
      </w:r>
      <w:r>
        <w:rPr>
          <w:rFonts w:ascii="Times New Roman" w:eastAsia="宋体" w:hAnsi="Times New Roman" w:cs="Times New Roman"/>
          <w:sz w:val="28"/>
          <w:szCs w:val="28"/>
        </w:rPr>
        <w:t>MACE</w:t>
      </w:r>
      <w:r>
        <w:rPr>
          <w:rFonts w:ascii="Times New Roman" w:eastAsia="宋体" w:hAnsi="Times New Roman" w:cs="Times New Roman"/>
          <w:sz w:val="28"/>
          <w:szCs w:val="28"/>
        </w:rPr>
        <w:t>）发生。</w:t>
      </w:r>
      <w:bookmarkEnd w:id="57"/>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MACE</w:t>
      </w:r>
      <w:r>
        <w:rPr>
          <w:rFonts w:ascii="Times New Roman" w:eastAsia="宋体" w:hAnsi="Times New Roman" w:cs="Times New Roman"/>
          <w:sz w:val="28"/>
          <w:szCs w:val="28"/>
        </w:rPr>
        <w:t>事件定义：心源性死亡、心肌梗死、靶血管血运重建。</w:t>
      </w:r>
    </w:p>
    <w:p w:rsidR="00CA2089" w:rsidRDefault="00035E4E">
      <w:pPr>
        <w:pStyle w:val="a6"/>
        <w:tabs>
          <w:tab w:val="left" w:pos="2790"/>
        </w:tabs>
        <w:adjustRightInd w:val="0"/>
        <w:snapToGrid w:val="0"/>
        <w:spacing w:after="0" w:line="360" w:lineRule="auto"/>
        <w:ind w:left="560"/>
        <w:rPr>
          <w:rFonts w:ascii="Times New Roman" w:eastAsia="宋体" w:hAnsi="Times New Roman" w:cs="Times New Roman"/>
          <w:sz w:val="28"/>
          <w:szCs w:val="28"/>
        </w:rPr>
      </w:pPr>
      <w:r>
        <w:rPr>
          <w:rFonts w:ascii="Times New Roman" w:eastAsia="宋体" w:hAnsi="Times New Roman" w:cs="Times New Roman"/>
          <w:sz w:val="28"/>
          <w:szCs w:val="28"/>
        </w:rPr>
        <w:t>计算公式：手术成功率</w:t>
      </w:r>
      <w:r>
        <w:rPr>
          <w:rFonts w:ascii="Times New Roman" w:eastAsia="宋体" w:hAnsi="Times New Roman" w:cs="Times New Roman"/>
          <w:sz w:val="28"/>
          <w:szCs w:val="28"/>
        </w:rPr>
        <w:t>=</w:t>
      </w:r>
      <w:r>
        <w:rPr>
          <w:rFonts w:ascii="Times New Roman" w:eastAsia="宋体" w:hAnsi="Times New Roman" w:cs="Times New Roman"/>
          <w:sz w:val="28"/>
          <w:szCs w:val="28"/>
        </w:rPr>
        <w:t>手术成功病例数</w:t>
      </w:r>
      <w:r>
        <w:rPr>
          <w:rFonts w:ascii="Times New Roman" w:eastAsia="宋体" w:hAnsi="Times New Roman" w:cs="Times New Roman"/>
          <w:sz w:val="28"/>
          <w:szCs w:val="28"/>
        </w:rPr>
        <w:t>÷</w:t>
      </w:r>
      <w:r>
        <w:rPr>
          <w:rFonts w:ascii="Times New Roman" w:eastAsia="宋体" w:hAnsi="Times New Roman" w:cs="Times New Roman"/>
          <w:sz w:val="28"/>
          <w:szCs w:val="28"/>
        </w:rPr>
        <w:t>总病例数</w:t>
      </w:r>
      <w:r>
        <w:rPr>
          <w:rFonts w:ascii="Times New Roman" w:eastAsia="宋体" w:hAnsi="Times New Roman" w:cs="Times New Roman"/>
          <w:sz w:val="28"/>
          <w:szCs w:val="28"/>
        </w:rPr>
        <w:t>×100%</w:t>
      </w:r>
      <w:r>
        <w:rPr>
          <w:rFonts w:ascii="Times New Roman" w:eastAsia="宋体" w:hAnsi="Times New Roman" w:cs="Times New Roman"/>
          <w:sz w:val="28"/>
          <w:szCs w:val="28"/>
        </w:rPr>
        <w:t>。</w:t>
      </w:r>
    </w:p>
    <w:p w:rsidR="00CA2089" w:rsidRDefault="00035E4E">
      <w:pPr>
        <w:pStyle w:val="af0"/>
        <w:adjustRightInd w:val="0"/>
        <w:snapToGrid w:val="0"/>
        <w:spacing w:line="360" w:lineRule="auto"/>
        <w:ind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）次要</w:t>
      </w:r>
      <w:r>
        <w:rPr>
          <w:rFonts w:ascii="Times New Roman" w:eastAsia="宋体" w:hAnsi="Times New Roman" w:cs="Times New Roman" w:hint="eastAsia"/>
          <w:color w:val="auto"/>
          <w:sz w:val="28"/>
          <w:szCs w:val="28"/>
        </w:rPr>
        <w:t>疗效</w:t>
      </w:r>
      <w:r>
        <w:rPr>
          <w:rFonts w:ascii="Times New Roman" w:eastAsia="宋体" w:hAnsi="Times New Roman" w:cs="Times New Roman"/>
          <w:color w:val="auto"/>
          <w:sz w:val="28"/>
          <w:szCs w:val="28"/>
        </w:rPr>
        <w:t>指标</w:t>
      </w:r>
    </w:p>
    <w:p w:rsidR="00CA2089" w:rsidRDefault="00035E4E">
      <w:pPr>
        <w:pStyle w:val="a6"/>
        <w:tabs>
          <w:tab w:val="left" w:pos="2790"/>
        </w:tabs>
        <w:adjustRightInd w:val="0"/>
        <w:snapToGrid w:val="0"/>
        <w:spacing w:after="0" w:line="360" w:lineRule="auto"/>
        <w:ind w:leftChars="200" w:left="42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1</w:t>
      </w:r>
      <w:r>
        <w:rPr>
          <w:rFonts w:ascii="Times New Roman" w:eastAsia="宋体" w:hAnsi="Times New Roman" w:cs="Times New Roman"/>
          <w:sz w:val="28"/>
          <w:szCs w:val="28"/>
        </w:rPr>
        <w:t>）器械成功率</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评价时间：术后即刻</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器械成功定义：震波球囊扩张导管能够通过靶病变，并在导管就位后立即进行治疗而无严重血管造影并发症发生，严重血管造影并发症包括严重夹层（</w:t>
      </w:r>
      <w:r>
        <w:rPr>
          <w:rFonts w:ascii="Times New Roman" w:eastAsia="宋体" w:hAnsi="Times New Roman" w:cs="Times New Roman"/>
          <w:sz w:val="28"/>
          <w:szCs w:val="28"/>
        </w:rPr>
        <w:t>D</w:t>
      </w:r>
      <w:proofErr w:type="gramStart"/>
      <w:r>
        <w:rPr>
          <w:rFonts w:ascii="Times New Roman" w:eastAsia="宋体" w:hAnsi="Times New Roman" w:cs="Times New Roman"/>
          <w:sz w:val="28"/>
          <w:szCs w:val="28"/>
        </w:rPr>
        <w:t>型至</w:t>
      </w:r>
      <w:proofErr w:type="gramEnd"/>
      <w:r>
        <w:rPr>
          <w:rFonts w:ascii="Times New Roman" w:eastAsia="宋体" w:hAnsi="Times New Roman" w:cs="Times New Roman"/>
          <w:sz w:val="28"/>
          <w:szCs w:val="28"/>
        </w:rPr>
        <w:t>F</w:t>
      </w:r>
      <w:r>
        <w:rPr>
          <w:rFonts w:ascii="Times New Roman" w:eastAsia="宋体" w:hAnsi="Times New Roman" w:cs="Times New Roman"/>
          <w:sz w:val="28"/>
          <w:szCs w:val="28"/>
        </w:rPr>
        <w:t>型）、穿孔、急性闭合及持续性血流缓慢或持续性无复流。</w:t>
      </w:r>
    </w:p>
    <w:p w:rsidR="00CA2089" w:rsidRDefault="00035E4E">
      <w:pPr>
        <w:pStyle w:val="a6"/>
        <w:tabs>
          <w:tab w:val="left" w:pos="2790"/>
        </w:tabs>
        <w:adjustRightInd w:val="0"/>
        <w:snapToGrid w:val="0"/>
        <w:spacing w:after="0"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计算公式：器械成功率</w:t>
      </w:r>
      <w:r>
        <w:rPr>
          <w:rFonts w:ascii="Times New Roman" w:eastAsia="宋体" w:hAnsi="Times New Roman" w:cs="Times New Roman"/>
          <w:sz w:val="28"/>
          <w:szCs w:val="28"/>
        </w:rPr>
        <w:t>=</w:t>
      </w:r>
      <w:r>
        <w:rPr>
          <w:rFonts w:ascii="Times New Roman" w:eastAsia="宋体" w:hAnsi="Times New Roman" w:cs="Times New Roman"/>
          <w:sz w:val="28"/>
          <w:szCs w:val="28"/>
        </w:rPr>
        <w:t>器械成功病例数</w:t>
      </w:r>
      <w:r>
        <w:rPr>
          <w:rFonts w:ascii="Times New Roman" w:eastAsia="宋体" w:hAnsi="Times New Roman" w:cs="Times New Roman"/>
          <w:sz w:val="28"/>
          <w:szCs w:val="28"/>
        </w:rPr>
        <w:t>÷</w:t>
      </w:r>
      <w:r>
        <w:rPr>
          <w:rFonts w:ascii="Times New Roman" w:eastAsia="宋体" w:hAnsi="Times New Roman" w:cs="Times New Roman"/>
          <w:sz w:val="28"/>
          <w:szCs w:val="28"/>
        </w:rPr>
        <w:t>总病例数</w:t>
      </w:r>
      <w:r>
        <w:rPr>
          <w:rFonts w:ascii="Times New Roman" w:eastAsia="宋体" w:hAnsi="Times New Roman" w:cs="Times New Roman"/>
          <w:sz w:val="28"/>
          <w:szCs w:val="28"/>
        </w:rPr>
        <w:t>×100%</w:t>
      </w:r>
      <w:r>
        <w:rPr>
          <w:rFonts w:ascii="Times New Roman" w:eastAsia="宋体" w:hAnsi="Times New Roman" w:cs="Times New Roman"/>
          <w:sz w:val="28"/>
          <w:szCs w:val="28"/>
        </w:rPr>
        <w:t>。</w:t>
      </w:r>
    </w:p>
    <w:p w:rsidR="00CA2089" w:rsidRDefault="00035E4E">
      <w:pPr>
        <w:pStyle w:val="a6"/>
        <w:tabs>
          <w:tab w:val="left" w:pos="2790"/>
        </w:tabs>
        <w:adjustRightInd w:val="0"/>
        <w:snapToGrid w:val="0"/>
        <w:spacing w:after="0" w:line="360" w:lineRule="auto"/>
        <w:ind w:leftChars="200" w:left="420" w:firstLineChars="100" w:firstLine="280"/>
        <w:rPr>
          <w:rFonts w:ascii="Times New Roman" w:eastAsia="宋体" w:hAnsi="Times New Roman" w:cs="Times New Roman"/>
          <w:sz w:val="28"/>
          <w:szCs w:val="28"/>
        </w:rPr>
      </w:pPr>
      <w:r>
        <w:rPr>
          <w:rFonts w:ascii="Times New Roman" w:eastAsia="宋体" w:hAnsi="Times New Roman" w:cs="Times New Roman"/>
          <w:sz w:val="28"/>
          <w:szCs w:val="28"/>
        </w:rPr>
        <w:t>2</w:t>
      </w:r>
      <w:r>
        <w:rPr>
          <w:rFonts w:ascii="Times New Roman" w:eastAsia="宋体" w:hAnsi="Times New Roman" w:cs="Times New Roman"/>
          <w:sz w:val="28"/>
          <w:szCs w:val="28"/>
        </w:rPr>
        <w:t>）血管造影成功率</w:t>
      </w:r>
    </w:p>
    <w:p w:rsidR="00CA2089" w:rsidRDefault="00035E4E">
      <w:pPr>
        <w:ind w:firstLineChars="200" w:firstLine="560"/>
        <w:jc w:val="left"/>
        <w:rPr>
          <w:sz w:val="28"/>
          <w:szCs w:val="28"/>
        </w:rPr>
      </w:pPr>
      <w:r>
        <w:rPr>
          <w:sz w:val="28"/>
          <w:szCs w:val="28"/>
        </w:rPr>
        <w:t>评价时间：术后即刻</w:t>
      </w:r>
    </w:p>
    <w:p w:rsidR="00CA2089" w:rsidRDefault="00035E4E">
      <w:pPr>
        <w:ind w:firstLineChars="200" w:firstLine="560"/>
        <w:jc w:val="left"/>
        <w:rPr>
          <w:sz w:val="28"/>
          <w:szCs w:val="28"/>
        </w:rPr>
      </w:pPr>
      <w:r>
        <w:rPr>
          <w:sz w:val="28"/>
          <w:szCs w:val="28"/>
        </w:rPr>
        <w:t>血管造影成功定义：完成支架置入后残余狭窄</w:t>
      </w:r>
      <w:r>
        <w:rPr>
          <w:sz w:val="28"/>
          <w:szCs w:val="28"/>
        </w:rPr>
        <w:t>&lt;30%</w:t>
      </w:r>
      <w:r>
        <w:rPr>
          <w:sz w:val="28"/>
          <w:szCs w:val="28"/>
        </w:rPr>
        <w:t>且无严重血管造影并发症发生，严重血管造影并发症包括严重夹层（</w:t>
      </w:r>
      <w:r>
        <w:rPr>
          <w:sz w:val="28"/>
          <w:szCs w:val="28"/>
        </w:rPr>
        <w:t>D</w:t>
      </w:r>
      <w:proofErr w:type="gramStart"/>
      <w:r>
        <w:rPr>
          <w:sz w:val="28"/>
          <w:szCs w:val="28"/>
        </w:rPr>
        <w:t>型至</w:t>
      </w:r>
      <w:proofErr w:type="gramEnd"/>
      <w:r>
        <w:rPr>
          <w:sz w:val="28"/>
          <w:szCs w:val="28"/>
        </w:rPr>
        <w:t>F</w:t>
      </w:r>
      <w:r>
        <w:rPr>
          <w:sz w:val="28"/>
          <w:szCs w:val="28"/>
        </w:rPr>
        <w:t>型）、穿孔、急性闭合及持续性血流缓慢或持续性无复流。</w:t>
      </w:r>
    </w:p>
    <w:p w:rsidR="00CA2089" w:rsidRDefault="00035E4E">
      <w:pPr>
        <w:ind w:firstLineChars="200" w:firstLine="560"/>
        <w:jc w:val="left"/>
        <w:rPr>
          <w:sz w:val="28"/>
          <w:szCs w:val="28"/>
        </w:rPr>
      </w:pPr>
      <w:r>
        <w:rPr>
          <w:sz w:val="28"/>
          <w:szCs w:val="28"/>
        </w:rPr>
        <w:t>计算公式：血管造影成功率</w:t>
      </w:r>
      <w:r>
        <w:rPr>
          <w:sz w:val="28"/>
          <w:szCs w:val="28"/>
        </w:rPr>
        <w:t>=</w:t>
      </w:r>
      <w:r>
        <w:rPr>
          <w:sz w:val="28"/>
          <w:szCs w:val="28"/>
        </w:rPr>
        <w:t>血管造影成功病例数</w:t>
      </w:r>
      <w:r>
        <w:rPr>
          <w:sz w:val="28"/>
          <w:szCs w:val="28"/>
        </w:rPr>
        <w:t>÷</w:t>
      </w:r>
      <w:r>
        <w:rPr>
          <w:sz w:val="28"/>
          <w:szCs w:val="28"/>
        </w:rPr>
        <w:t>总病例数</w:t>
      </w:r>
      <w:r>
        <w:rPr>
          <w:sz w:val="28"/>
          <w:szCs w:val="28"/>
        </w:rPr>
        <w:t>×100%</w:t>
      </w:r>
      <w:r>
        <w:rPr>
          <w:sz w:val="28"/>
          <w:szCs w:val="28"/>
        </w:rPr>
        <w:t>。</w:t>
      </w:r>
      <w:bookmarkEnd w:id="56"/>
    </w:p>
    <w:p w:rsidR="00CA2089" w:rsidRDefault="00035E4E">
      <w:pPr>
        <w:tabs>
          <w:tab w:val="left" w:pos="514"/>
        </w:tabs>
        <w:ind w:firstLineChars="200" w:firstLine="560"/>
        <w:rPr>
          <w:sz w:val="28"/>
          <w:szCs w:val="28"/>
        </w:rPr>
      </w:pPr>
      <w:r>
        <w:rPr>
          <w:rFonts w:hint="eastAsia"/>
          <w:sz w:val="28"/>
          <w:szCs w:val="28"/>
        </w:rPr>
        <w:t>3</w:t>
      </w:r>
      <w:r>
        <w:rPr>
          <w:sz w:val="28"/>
          <w:szCs w:val="28"/>
        </w:rPr>
        <w:t>）靶病变失败（</w:t>
      </w:r>
      <w:r>
        <w:rPr>
          <w:sz w:val="28"/>
          <w:szCs w:val="28"/>
        </w:rPr>
        <w:t>TLF</w:t>
      </w:r>
      <w:r>
        <w:rPr>
          <w:sz w:val="28"/>
          <w:szCs w:val="28"/>
        </w:rPr>
        <w:t>）发生率</w:t>
      </w:r>
    </w:p>
    <w:p w:rsidR="00CA2089" w:rsidRDefault="00035E4E">
      <w:pPr>
        <w:tabs>
          <w:tab w:val="left" w:pos="514"/>
        </w:tabs>
        <w:ind w:firstLineChars="200" w:firstLine="560"/>
        <w:rPr>
          <w:sz w:val="28"/>
          <w:szCs w:val="28"/>
        </w:rPr>
      </w:pPr>
      <w:r>
        <w:rPr>
          <w:sz w:val="28"/>
          <w:szCs w:val="28"/>
        </w:rPr>
        <w:t>评价时间：术后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靶病变失败定义：包括心源性死亡、靶病变心肌梗死（</w:t>
      </w:r>
      <w:r>
        <w:rPr>
          <w:sz w:val="28"/>
          <w:szCs w:val="28"/>
        </w:rPr>
        <w:t>Q</w:t>
      </w:r>
      <w:r>
        <w:rPr>
          <w:sz w:val="28"/>
          <w:szCs w:val="28"/>
        </w:rPr>
        <w:t>波和非</w:t>
      </w:r>
      <w:r>
        <w:rPr>
          <w:sz w:val="28"/>
          <w:szCs w:val="28"/>
        </w:rPr>
        <w:t>Q</w:t>
      </w:r>
      <w:r>
        <w:rPr>
          <w:sz w:val="28"/>
          <w:szCs w:val="28"/>
        </w:rPr>
        <w:t>波）</w:t>
      </w:r>
      <w:r>
        <w:rPr>
          <w:sz w:val="28"/>
          <w:szCs w:val="28"/>
        </w:rPr>
        <w:lastRenderedPageBreak/>
        <w:t>或通过经皮或手术方法进行缺血驱动的靶病变血运重建。</w:t>
      </w:r>
    </w:p>
    <w:p w:rsidR="00CA2089" w:rsidRDefault="00035E4E">
      <w:pPr>
        <w:ind w:firstLineChars="200" w:firstLine="560"/>
        <w:rPr>
          <w:sz w:val="28"/>
          <w:szCs w:val="28"/>
        </w:rPr>
      </w:pPr>
      <w:r>
        <w:rPr>
          <w:sz w:val="28"/>
          <w:szCs w:val="28"/>
        </w:rPr>
        <w:t>靶病变血运重建：指的是针对靶病变再狭窄或其他并发症对靶病变再次进行经皮</w:t>
      </w:r>
      <w:proofErr w:type="gramStart"/>
      <w:r>
        <w:rPr>
          <w:sz w:val="28"/>
          <w:szCs w:val="28"/>
        </w:rPr>
        <w:t>介入治疗或靶血管</w:t>
      </w:r>
      <w:proofErr w:type="gramEnd"/>
      <w:r>
        <w:rPr>
          <w:sz w:val="28"/>
          <w:szCs w:val="28"/>
        </w:rPr>
        <w:t>旁路移植术。</w:t>
      </w:r>
    </w:p>
    <w:p w:rsidR="00CA2089" w:rsidRDefault="00035E4E">
      <w:pPr>
        <w:ind w:firstLineChars="200" w:firstLine="560"/>
        <w:rPr>
          <w:sz w:val="28"/>
          <w:szCs w:val="28"/>
        </w:rPr>
      </w:pPr>
      <w:r>
        <w:rPr>
          <w:sz w:val="28"/>
          <w:szCs w:val="28"/>
        </w:rPr>
        <w:t>计算公式：靶病变失败发生率</w:t>
      </w:r>
      <w:r>
        <w:rPr>
          <w:sz w:val="28"/>
          <w:szCs w:val="28"/>
        </w:rPr>
        <w:t>=</w:t>
      </w:r>
      <w:r>
        <w:rPr>
          <w:sz w:val="28"/>
          <w:szCs w:val="28"/>
        </w:rPr>
        <w:t>靶病变失败病例数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4</w:t>
      </w:r>
      <w:r>
        <w:rPr>
          <w:sz w:val="28"/>
          <w:szCs w:val="28"/>
        </w:rPr>
        <w:t>）靶血管血运重建发生率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靶血管血运重建：靶血管的任何一段再次出现的任何经皮介入治疗或旁路移植术。</w:t>
      </w:r>
    </w:p>
    <w:p w:rsidR="00CA2089" w:rsidRDefault="00035E4E">
      <w:pPr>
        <w:ind w:firstLineChars="200" w:firstLine="560"/>
        <w:rPr>
          <w:sz w:val="28"/>
          <w:szCs w:val="28"/>
        </w:rPr>
      </w:pPr>
      <w:r>
        <w:rPr>
          <w:sz w:val="28"/>
          <w:szCs w:val="28"/>
        </w:rPr>
        <w:t>靶血管：靶病变血管上游或下游的整支主要冠脉血管，包括上、下游分支及靶病变血管本身。</w:t>
      </w:r>
    </w:p>
    <w:p w:rsidR="00CA2089" w:rsidRDefault="00035E4E">
      <w:pPr>
        <w:ind w:firstLineChars="200" w:firstLine="560"/>
        <w:rPr>
          <w:sz w:val="28"/>
          <w:szCs w:val="28"/>
        </w:rPr>
      </w:pPr>
      <w:r>
        <w:rPr>
          <w:sz w:val="28"/>
          <w:szCs w:val="28"/>
        </w:rPr>
        <w:t>计算公式：靶血管血运重建发生率</w:t>
      </w:r>
      <w:r>
        <w:rPr>
          <w:sz w:val="28"/>
          <w:szCs w:val="28"/>
        </w:rPr>
        <w:t>=</w:t>
      </w:r>
      <w:r>
        <w:rPr>
          <w:sz w:val="28"/>
          <w:szCs w:val="28"/>
        </w:rPr>
        <w:t>靶血管血运重建病例数</w:t>
      </w:r>
      <w:r>
        <w:rPr>
          <w:sz w:val="28"/>
          <w:szCs w:val="28"/>
        </w:rPr>
        <w:t>÷</w:t>
      </w:r>
      <w:r>
        <w:rPr>
          <w:sz w:val="28"/>
          <w:szCs w:val="28"/>
        </w:rPr>
        <w:t>总病例数</w:t>
      </w:r>
      <w:r>
        <w:rPr>
          <w:sz w:val="28"/>
          <w:szCs w:val="28"/>
        </w:rPr>
        <w:t>×100%</w:t>
      </w:r>
      <w:r>
        <w:rPr>
          <w:sz w:val="28"/>
          <w:szCs w:val="28"/>
        </w:rPr>
        <w:t>。</w:t>
      </w:r>
    </w:p>
    <w:p w:rsidR="00CA2089" w:rsidRDefault="00035E4E">
      <w:pPr>
        <w:ind w:leftChars="200" w:left="420"/>
        <w:rPr>
          <w:sz w:val="28"/>
          <w:szCs w:val="28"/>
        </w:rPr>
      </w:pPr>
      <w:r>
        <w:rPr>
          <w:rFonts w:hint="eastAsia"/>
          <w:sz w:val="28"/>
          <w:szCs w:val="28"/>
        </w:rPr>
        <w:t>5</w:t>
      </w:r>
      <w:r>
        <w:rPr>
          <w:sz w:val="28"/>
          <w:szCs w:val="28"/>
        </w:rPr>
        <w:t>）试验器械</w:t>
      </w:r>
      <w:proofErr w:type="gramStart"/>
      <w:r>
        <w:rPr>
          <w:sz w:val="28"/>
          <w:szCs w:val="28"/>
        </w:rPr>
        <w:t>预处理后靶病变</w:t>
      </w:r>
      <w:proofErr w:type="gramEnd"/>
      <w:r>
        <w:rPr>
          <w:sz w:val="28"/>
          <w:szCs w:val="28"/>
        </w:rPr>
        <w:t>残余狭窄率</w:t>
      </w:r>
    </w:p>
    <w:p w:rsidR="00CA2089" w:rsidRDefault="00035E4E">
      <w:pPr>
        <w:ind w:firstLineChars="200" w:firstLine="560"/>
        <w:rPr>
          <w:sz w:val="28"/>
          <w:szCs w:val="28"/>
        </w:rPr>
      </w:pPr>
      <w:r>
        <w:rPr>
          <w:sz w:val="28"/>
          <w:szCs w:val="28"/>
        </w:rPr>
        <w:t>评价时间：术中</w:t>
      </w:r>
    </w:p>
    <w:p w:rsidR="00CA2089" w:rsidRDefault="00035E4E">
      <w:pPr>
        <w:ind w:firstLineChars="200" w:firstLine="560"/>
        <w:rPr>
          <w:sz w:val="28"/>
          <w:szCs w:val="28"/>
        </w:rPr>
      </w:pPr>
      <w:r>
        <w:rPr>
          <w:sz w:val="28"/>
          <w:szCs w:val="28"/>
        </w:rPr>
        <w:t>评价方法：术中使用试验器械对靶血管进行预处理达到满意效果后（支架植入前）对靶病变残余狭窄进行造影评价。</w:t>
      </w:r>
    </w:p>
    <w:p w:rsidR="00CA2089" w:rsidRDefault="00035E4E">
      <w:pPr>
        <w:ind w:firstLineChars="200" w:firstLine="560"/>
        <w:rPr>
          <w:sz w:val="28"/>
          <w:szCs w:val="28"/>
        </w:rPr>
      </w:pPr>
      <w:r>
        <w:rPr>
          <w:rFonts w:hint="eastAsia"/>
          <w:sz w:val="28"/>
          <w:szCs w:val="28"/>
        </w:rPr>
        <w:t>计算公式：（靶病变血管参考直径</w:t>
      </w:r>
      <w:r>
        <w:rPr>
          <w:rFonts w:hint="eastAsia"/>
          <w:sz w:val="28"/>
          <w:szCs w:val="28"/>
        </w:rPr>
        <w:t>-</w:t>
      </w:r>
      <w:r>
        <w:rPr>
          <w:rFonts w:hint="eastAsia"/>
          <w:sz w:val="28"/>
          <w:szCs w:val="28"/>
        </w:rPr>
        <w:t>血管最小管</w:t>
      </w:r>
      <w:proofErr w:type="gramStart"/>
      <w:r>
        <w:rPr>
          <w:rFonts w:hint="eastAsia"/>
          <w:sz w:val="28"/>
          <w:szCs w:val="28"/>
        </w:rPr>
        <w:t>腔</w:t>
      </w:r>
      <w:proofErr w:type="gramEnd"/>
      <w:r>
        <w:rPr>
          <w:rFonts w:hint="eastAsia"/>
          <w:sz w:val="28"/>
          <w:szCs w:val="28"/>
        </w:rPr>
        <w:t>直径）÷靶病变血管参考直径×</w:t>
      </w:r>
      <w:r>
        <w:rPr>
          <w:rFonts w:hint="eastAsia"/>
          <w:sz w:val="28"/>
          <w:szCs w:val="28"/>
        </w:rPr>
        <w:t>100%</w:t>
      </w:r>
      <w:r>
        <w:rPr>
          <w:rFonts w:hint="eastAsia"/>
          <w:sz w:val="28"/>
          <w:szCs w:val="28"/>
        </w:rPr>
        <w:t>。</w:t>
      </w:r>
    </w:p>
    <w:p w:rsidR="00CA2089" w:rsidRDefault="00035E4E">
      <w:pPr>
        <w:ind w:leftChars="200" w:left="420"/>
        <w:rPr>
          <w:sz w:val="28"/>
          <w:szCs w:val="28"/>
        </w:rPr>
      </w:pPr>
      <w:r>
        <w:rPr>
          <w:rFonts w:hint="eastAsia"/>
          <w:sz w:val="28"/>
          <w:szCs w:val="28"/>
        </w:rPr>
        <w:t>6</w:t>
      </w:r>
      <w:r>
        <w:rPr>
          <w:sz w:val="28"/>
          <w:szCs w:val="28"/>
        </w:rPr>
        <w:t>）术后即刻靶病变残余狭窄率</w:t>
      </w:r>
    </w:p>
    <w:p w:rsidR="00CA2089" w:rsidRDefault="00035E4E">
      <w:pPr>
        <w:ind w:firstLineChars="200" w:firstLine="560"/>
        <w:rPr>
          <w:sz w:val="28"/>
          <w:szCs w:val="28"/>
        </w:rPr>
      </w:pPr>
      <w:r>
        <w:rPr>
          <w:sz w:val="28"/>
          <w:szCs w:val="28"/>
        </w:rPr>
        <w:t>评价时间：术后即刻</w:t>
      </w:r>
    </w:p>
    <w:p w:rsidR="00CA2089" w:rsidRDefault="00035E4E">
      <w:pPr>
        <w:ind w:firstLineChars="200" w:firstLine="560"/>
        <w:rPr>
          <w:sz w:val="28"/>
          <w:szCs w:val="28"/>
        </w:rPr>
      </w:pPr>
      <w:r>
        <w:rPr>
          <w:sz w:val="28"/>
          <w:szCs w:val="28"/>
        </w:rPr>
        <w:lastRenderedPageBreak/>
        <w:t>评价方法：完成支架置入后，对靶病变残余狭窄进行造影评价。</w:t>
      </w:r>
    </w:p>
    <w:p w:rsidR="00CA2089" w:rsidRDefault="00035E4E">
      <w:pPr>
        <w:ind w:firstLineChars="200" w:firstLine="560"/>
        <w:rPr>
          <w:sz w:val="28"/>
          <w:szCs w:val="28"/>
        </w:rPr>
      </w:pPr>
      <w:r>
        <w:rPr>
          <w:rFonts w:hint="eastAsia"/>
          <w:sz w:val="28"/>
          <w:szCs w:val="28"/>
        </w:rPr>
        <w:t>计算公式：（靶病变血管参考直径</w:t>
      </w:r>
      <w:r>
        <w:rPr>
          <w:rFonts w:hint="eastAsia"/>
          <w:sz w:val="28"/>
          <w:szCs w:val="28"/>
        </w:rPr>
        <w:t>-</w:t>
      </w:r>
      <w:r>
        <w:rPr>
          <w:rFonts w:hint="eastAsia"/>
          <w:sz w:val="28"/>
          <w:szCs w:val="28"/>
        </w:rPr>
        <w:t>血管最小管</w:t>
      </w:r>
      <w:proofErr w:type="gramStart"/>
      <w:r>
        <w:rPr>
          <w:rFonts w:hint="eastAsia"/>
          <w:sz w:val="28"/>
          <w:szCs w:val="28"/>
        </w:rPr>
        <w:t>腔</w:t>
      </w:r>
      <w:proofErr w:type="gramEnd"/>
      <w:r>
        <w:rPr>
          <w:rFonts w:hint="eastAsia"/>
          <w:sz w:val="28"/>
          <w:szCs w:val="28"/>
        </w:rPr>
        <w:t>直径）÷靶病变血管参考直径×</w:t>
      </w:r>
      <w:r>
        <w:rPr>
          <w:rFonts w:hint="eastAsia"/>
          <w:sz w:val="28"/>
          <w:szCs w:val="28"/>
        </w:rPr>
        <w:t>100%</w:t>
      </w:r>
      <w:r>
        <w:rPr>
          <w:rFonts w:hint="eastAsia"/>
          <w:sz w:val="28"/>
          <w:szCs w:val="28"/>
        </w:rPr>
        <w:t>。</w:t>
      </w:r>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安全性评价</w:t>
      </w:r>
    </w:p>
    <w:p w:rsidR="00CA2089" w:rsidRDefault="00035E4E">
      <w:pPr>
        <w:ind w:firstLineChars="200" w:firstLine="560"/>
        <w:rPr>
          <w:sz w:val="28"/>
          <w:szCs w:val="28"/>
        </w:rPr>
      </w:pPr>
      <w:bookmarkStart w:id="58" w:name="_Hlk92689108"/>
      <w:r>
        <w:rPr>
          <w:sz w:val="28"/>
          <w:szCs w:val="28"/>
        </w:rPr>
        <w:t>（</w:t>
      </w:r>
      <w:r>
        <w:rPr>
          <w:sz w:val="28"/>
          <w:szCs w:val="28"/>
        </w:rPr>
        <w:t>1</w:t>
      </w:r>
      <w:r>
        <w:rPr>
          <w:sz w:val="28"/>
          <w:szCs w:val="28"/>
        </w:rPr>
        <w:t>）</w:t>
      </w:r>
      <w:r>
        <w:rPr>
          <w:rFonts w:hint="eastAsia"/>
          <w:sz w:val="28"/>
          <w:szCs w:val="28"/>
        </w:rPr>
        <w:t>主要安全性指标</w:t>
      </w:r>
    </w:p>
    <w:p w:rsidR="00CA2089" w:rsidRDefault="00035E4E">
      <w:pPr>
        <w:ind w:firstLineChars="200" w:firstLine="560"/>
        <w:rPr>
          <w:sz w:val="28"/>
          <w:szCs w:val="28"/>
        </w:rPr>
      </w:pP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p>
    <w:p w:rsidR="00CA2089" w:rsidRDefault="00035E4E">
      <w:pPr>
        <w:ind w:firstLineChars="200" w:firstLine="560"/>
        <w:rPr>
          <w:sz w:val="28"/>
          <w:szCs w:val="28"/>
        </w:rPr>
      </w:pPr>
      <w:r>
        <w:rPr>
          <w:rFonts w:hint="eastAsia"/>
          <w:sz w:val="28"/>
          <w:szCs w:val="28"/>
        </w:rPr>
        <w:t>评价时间：术后</w:t>
      </w:r>
      <w:r>
        <w:rPr>
          <w:rFonts w:hint="eastAsia"/>
          <w:sz w:val="28"/>
          <w:szCs w:val="28"/>
        </w:rPr>
        <w:t>1</w:t>
      </w:r>
      <w:r>
        <w:rPr>
          <w:rFonts w:hint="eastAsia"/>
          <w:sz w:val="28"/>
          <w:szCs w:val="28"/>
        </w:rPr>
        <w:t>个月±</w:t>
      </w:r>
      <w:r>
        <w:rPr>
          <w:rFonts w:hint="eastAsia"/>
          <w:sz w:val="28"/>
          <w:szCs w:val="28"/>
        </w:rPr>
        <w:t>7</w:t>
      </w:r>
      <w:r>
        <w:rPr>
          <w:rFonts w:hint="eastAsia"/>
          <w:sz w:val="28"/>
          <w:szCs w:val="28"/>
        </w:rPr>
        <w:t>天</w:t>
      </w:r>
    </w:p>
    <w:p w:rsidR="00CA2089" w:rsidRDefault="00035E4E">
      <w:pPr>
        <w:ind w:firstLineChars="200" w:firstLine="560"/>
        <w:rPr>
          <w:sz w:val="28"/>
          <w:szCs w:val="28"/>
        </w:rPr>
      </w:pPr>
      <w:r>
        <w:rPr>
          <w:rFonts w:hint="eastAsia"/>
          <w:sz w:val="28"/>
          <w:szCs w:val="28"/>
        </w:rPr>
        <w:t>MACE</w:t>
      </w:r>
      <w:r>
        <w:rPr>
          <w:rFonts w:hint="eastAsia"/>
          <w:sz w:val="28"/>
          <w:szCs w:val="28"/>
        </w:rPr>
        <w:t>事件定义：心源性死亡、心肌梗死、靶血管血运重建。</w:t>
      </w:r>
    </w:p>
    <w:p w:rsidR="00CA2089" w:rsidRDefault="00035E4E">
      <w:pPr>
        <w:ind w:firstLineChars="200" w:firstLine="560"/>
        <w:rPr>
          <w:sz w:val="28"/>
          <w:szCs w:val="28"/>
        </w:rPr>
      </w:pPr>
      <w:r>
        <w:rPr>
          <w:rFonts w:hint="eastAsia"/>
          <w:sz w:val="28"/>
          <w:szCs w:val="28"/>
        </w:rPr>
        <w:t>评价方法：记录术后</w:t>
      </w:r>
      <w:r>
        <w:rPr>
          <w:rFonts w:hint="eastAsia"/>
          <w:sz w:val="28"/>
          <w:szCs w:val="28"/>
        </w:rPr>
        <w:t>1</w:t>
      </w:r>
      <w:r>
        <w:rPr>
          <w:rFonts w:hint="eastAsia"/>
          <w:sz w:val="28"/>
          <w:szCs w:val="28"/>
        </w:rPr>
        <w:t>个月内器械相关心脏不良事件的发生情况。</w:t>
      </w:r>
    </w:p>
    <w:p w:rsidR="00CA2089" w:rsidRDefault="00035E4E">
      <w:pPr>
        <w:ind w:firstLineChars="200" w:firstLine="560"/>
        <w:rPr>
          <w:sz w:val="28"/>
          <w:szCs w:val="28"/>
        </w:rPr>
      </w:pPr>
      <w:r>
        <w:rPr>
          <w:rFonts w:hint="eastAsia"/>
          <w:sz w:val="28"/>
          <w:szCs w:val="28"/>
        </w:rPr>
        <w:t>（</w:t>
      </w:r>
      <w:r>
        <w:rPr>
          <w:rFonts w:hint="eastAsia"/>
          <w:sz w:val="28"/>
          <w:szCs w:val="28"/>
        </w:rPr>
        <w:t>2</w:t>
      </w:r>
      <w:r>
        <w:rPr>
          <w:rFonts w:hint="eastAsia"/>
          <w:sz w:val="28"/>
          <w:szCs w:val="28"/>
        </w:rPr>
        <w:t>）次要安全性指标</w:t>
      </w:r>
    </w:p>
    <w:p w:rsidR="00CA2089" w:rsidRDefault="00035E4E">
      <w:pPr>
        <w:ind w:firstLineChars="200" w:firstLine="560"/>
        <w:rPr>
          <w:sz w:val="28"/>
          <w:szCs w:val="28"/>
        </w:rPr>
      </w:pPr>
      <w:r>
        <w:rPr>
          <w:sz w:val="28"/>
          <w:szCs w:val="28"/>
        </w:rPr>
        <w:t>1</w:t>
      </w:r>
      <w:r>
        <w:rPr>
          <w:rFonts w:hint="eastAsia"/>
          <w:sz w:val="28"/>
          <w:szCs w:val="28"/>
        </w:rPr>
        <w:t>）</w:t>
      </w:r>
      <w:r>
        <w:rPr>
          <w:sz w:val="28"/>
          <w:szCs w:val="28"/>
        </w:rPr>
        <w:t>主要心脏血管不良事件（</w:t>
      </w:r>
      <w:r>
        <w:rPr>
          <w:sz w:val="28"/>
          <w:szCs w:val="28"/>
        </w:rPr>
        <w:t>MACE</w:t>
      </w:r>
      <w:r>
        <w:rPr>
          <w:sz w:val="28"/>
          <w:szCs w:val="28"/>
        </w:rPr>
        <w:t>）发生情况</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MACE</w:t>
      </w:r>
      <w:r>
        <w:rPr>
          <w:sz w:val="28"/>
          <w:szCs w:val="28"/>
        </w:rPr>
        <w:t>事件定义：心源性死亡、心肌梗死、靶血管血运重建。</w:t>
      </w:r>
    </w:p>
    <w:p w:rsidR="00CA2089" w:rsidRDefault="00035E4E">
      <w:pPr>
        <w:ind w:firstLineChars="200" w:firstLine="560"/>
        <w:rPr>
          <w:sz w:val="28"/>
          <w:szCs w:val="28"/>
        </w:rPr>
      </w:pPr>
      <w:r>
        <w:rPr>
          <w:sz w:val="28"/>
          <w:szCs w:val="28"/>
        </w:rPr>
        <w:t>评价方法：记录研究期间器械相关心脏不良事件的发生类型、发生率（</w:t>
      </w:r>
      <w:r>
        <w:rPr>
          <w:sz w:val="28"/>
          <w:szCs w:val="28"/>
        </w:rPr>
        <w:t>%</w:t>
      </w:r>
      <w:r>
        <w:rPr>
          <w:sz w:val="28"/>
          <w:szCs w:val="28"/>
        </w:rPr>
        <w:t>）及发生频率（事件数目）等。</w:t>
      </w:r>
    </w:p>
    <w:bookmarkEnd w:id="58"/>
    <w:p w:rsidR="00CA2089" w:rsidRDefault="00035E4E">
      <w:pPr>
        <w:ind w:firstLineChars="200" w:firstLine="560"/>
        <w:rPr>
          <w:sz w:val="28"/>
          <w:szCs w:val="28"/>
        </w:rPr>
      </w:pPr>
      <w:r>
        <w:rPr>
          <w:rFonts w:hint="eastAsia"/>
          <w:sz w:val="28"/>
          <w:szCs w:val="28"/>
        </w:rPr>
        <w:t>2</w:t>
      </w:r>
      <w:r>
        <w:rPr>
          <w:sz w:val="28"/>
          <w:szCs w:val="28"/>
        </w:rPr>
        <w:t>）心源性死亡发生率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心源性死亡定义：由心源性原因（如心肌梗死、低心排出量心力衰竭、致死性心律失常）直接导致的任何死亡事件。无佐证的死亡和未知原因的死亡，包括所有手术（包括合并治疗相关的手术）相关的死亡均应被界定</w:t>
      </w:r>
      <w:r>
        <w:rPr>
          <w:sz w:val="28"/>
          <w:szCs w:val="28"/>
        </w:rPr>
        <w:lastRenderedPageBreak/>
        <w:t>为心源性死亡。</w:t>
      </w:r>
    </w:p>
    <w:p w:rsidR="00CA2089" w:rsidRDefault="00035E4E">
      <w:pPr>
        <w:ind w:firstLineChars="200" w:firstLine="560"/>
        <w:rPr>
          <w:sz w:val="28"/>
          <w:szCs w:val="28"/>
        </w:rPr>
      </w:pPr>
      <w:r>
        <w:rPr>
          <w:sz w:val="28"/>
          <w:szCs w:val="28"/>
        </w:rPr>
        <w:t>评价方法：记录研究期间患者发生心源性死亡情况。</w:t>
      </w:r>
    </w:p>
    <w:p w:rsidR="00CA2089" w:rsidRDefault="00035E4E">
      <w:pPr>
        <w:ind w:firstLineChars="200" w:firstLine="560"/>
        <w:rPr>
          <w:sz w:val="28"/>
          <w:szCs w:val="28"/>
        </w:rPr>
      </w:pPr>
      <w:r>
        <w:rPr>
          <w:sz w:val="28"/>
          <w:szCs w:val="28"/>
        </w:rPr>
        <w:t>计算公式：心源性死亡发生率</w:t>
      </w:r>
      <w:r>
        <w:rPr>
          <w:sz w:val="28"/>
          <w:szCs w:val="28"/>
        </w:rPr>
        <w:t>=</w:t>
      </w:r>
      <w:r>
        <w:rPr>
          <w:sz w:val="28"/>
          <w:szCs w:val="28"/>
        </w:rPr>
        <w:t>心源性死亡病例数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3</w:t>
      </w:r>
      <w:r>
        <w:rPr>
          <w:sz w:val="28"/>
          <w:szCs w:val="28"/>
        </w:rPr>
        <w:t>）心肌梗死发生率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心肌梗死定义</w:t>
      </w:r>
    </w:p>
    <w:p w:rsidR="00CA2089" w:rsidRDefault="00035E4E">
      <w:pPr>
        <w:ind w:firstLineChars="200" w:firstLine="560"/>
        <w:rPr>
          <w:sz w:val="28"/>
          <w:szCs w:val="28"/>
        </w:rPr>
      </w:pPr>
      <w:r>
        <w:rPr>
          <w:rFonts w:hint="eastAsia"/>
          <w:sz w:val="28"/>
          <w:szCs w:val="28"/>
        </w:rPr>
        <w:t>（</w:t>
      </w:r>
      <w:r>
        <w:rPr>
          <w:rFonts w:hint="eastAsia"/>
          <w:sz w:val="28"/>
          <w:szCs w:val="28"/>
        </w:rPr>
        <w:t>a</w:t>
      </w:r>
      <w:r>
        <w:rPr>
          <w:rFonts w:hint="eastAsia"/>
          <w:sz w:val="28"/>
          <w:szCs w:val="28"/>
        </w:rPr>
        <w:t>）</w:t>
      </w:r>
      <w:proofErr w:type="gramStart"/>
      <w:r>
        <w:rPr>
          <w:rFonts w:hint="eastAsia"/>
          <w:sz w:val="28"/>
          <w:szCs w:val="28"/>
        </w:rPr>
        <w:t>围术期心肌梗死</w:t>
      </w:r>
      <w:proofErr w:type="gramEnd"/>
      <w:r>
        <w:rPr>
          <w:rFonts w:hint="eastAsia"/>
          <w:sz w:val="28"/>
          <w:szCs w:val="28"/>
        </w:rPr>
        <w:t>：实验室检查</w:t>
      </w:r>
      <w:r>
        <w:rPr>
          <w:rFonts w:hint="eastAsia"/>
          <w:sz w:val="28"/>
          <w:szCs w:val="28"/>
        </w:rPr>
        <w:t>CK-MB</w:t>
      </w:r>
      <w:r>
        <w:rPr>
          <w:rFonts w:hint="eastAsia"/>
          <w:sz w:val="28"/>
          <w:szCs w:val="28"/>
        </w:rPr>
        <w:t>水平大于</w:t>
      </w:r>
      <w:r>
        <w:rPr>
          <w:rFonts w:hint="eastAsia"/>
          <w:sz w:val="28"/>
          <w:szCs w:val="28"/>
        </w:rPr>
        <w:t>3</w:t>
      </w:r>
      <w:r>
        <w:rPr>
          <w:rFonts w:hint="eastAsia"/>
          <w:sz w:val="28"/>
          <w:szCs w:val="28"/>
        </w:rPr>
        <w:t>倍正常</w:t>
      </w:r>
      <w:r>
        <w:rPr>
          <w:rFonts w:hint="eastAsia"/>
          <w:sz w:val="28"/>
          <w:szCs w:val="28"/>
        </w:rPr>
        <w:t>(ULN)</w:t>
      </w:r>
      <w:r>
        <w:rPr>
          <w:rFonts w:hint="eastAsia"/>
          <w:sz w:val="28"/>
          <w:szCs w:val="28"/>
        </w:rPr>
        <w:t>值上限，无论是否有新的病理</w:t>
      </w:r>
      <w:r>
        <w:rPr>
          <w:rFonts w:hint="eastAsia"/>
          <w:sz w:val="28"/>
          <w:szCs w:val="28"/>
        </w:rPr>
        <w:t>Q</w:t>
      </w:r>
      <w:proofErr w:type="gramStart"/>
      <w:r>
        <w:rPr>
          <w:rFonts w:hint="eastAsia"/>
          <w:sz w:val="28"/>
          <w:szCs w:val="28"/>
        </w:rPr>
        <w:t>波出现</w:t>
      </w:r>
      <w:proofErr w:type="gramEnd"/>
      <w:r>
        <w:rPr>
          <w:rFonts w:hint="eastAsia"/>
          <w:sz w:val="28"/>
          <w:szCs w:val="28"/>
          <w:vertAlign w:val="superscript"/>
        </w:rPr>
        <w:t>[</w:t>
      </w:r>
      <w:r>
        <w:rPr>
          <w:sz w:val="28"/>
          <w:szCs w:val="28"/>
          <w:vertAlign w:val="superscript"/>
        </w:rPr>
        <w:t>13]</w:t>
      </w:r>
      <w:r>
        <w:rPr>
          <w:rFonts w:hint="eastAsia"/>
          <w:sz w:val="28"/>
          <w:szCs w:val="28"/>
        </w:rPr>
        <w:t>；</w:t>
      </w:r>
    </w:p>
    <w:p w:rsidR="00CA2089" w:rsidRDefault="00035E4E">
      <w:pPr>
        <w:ind w:firstLineChars="200" w:firstLine="560"/>
        <w:rPr>
          <w:sz w:val="28"/>
          <w:szCs w:val="28"/>
        </w:rPr>
      </w:pPr>
      <w:r>
        <w:rPr>
          <w:rFonts w:hint="eastAsia"/>
          <w:sz w:val="28"/>
          <w:szCs w:val="28"/>
        </w:rPr>
        <w:t>（</w:t>
      </w:r>
      <w:r>
        <w:rPr>
          <w:rFonts w:hint="eastAsia"/>
          <w:sz w:val="28"/>
          <w:szCs w:val="28"/>
        </w:rPr>
        <w:t>b</w:t>
      </w:r>
      <w:r>
        <w:rPr>
          <w:rFonts w:hint="eastAsia"/>
          <w:sz w:val="28"/>
          <w:szCs w:val="28"/>
        </w:rPr>
        <w:t>）自发性心肌梗死：使用第四版心肌梗死通用定义</w:t>
      </w:r>
      <w:r>
        <w:rPr>
          <w:rFonts w:hint="eastAsia"/>
          <w:sz w:val="28"/>
          <w:szCs w:val="28"/>
          <w:vertAlign w:val="superscript"/>
        </w:rPr>
        <w:t>[</w:t>
      </w:r>
      <w:r>
        <w:rPr>
          <w:sz w:val="28"/>
          <w:szCs w:val="28"/>
          <w:vertAlign w:val="superscript"/>
        </w:rPr>
        <w:t>14]</w:t>
      </w:r>
      <w:r>
        <w:rPr>
          <w:rFonts w:hint="eastAsia"/>
          <w:sz w:val="28"/>
          <w:szCs w:val="28"/>
        </w:rPr>
        <w:t>。</w:t>
      </w:r>
    </w:p>
    <w:p w:rsidR="00CA2089" w:rsidRDefault="00035E4E">
      <w:pPr>
        <w:ind w:firstLineChars="200" w:firstLine="560"/>
        <w:rPr>
          <w:sz w:val="28"/>
          <w:szCs w:val="28"/>
        </w:rPr>
      </w:pPr>
      <w:r>
        <w:rPr>
          <w:rFonts w:hint="eastAsia"/>
          <w:sz w:val="28"/>
          <w:szCs w:val="28"/>
        </w:rPr>
        <w:t>依据全球心</w:t>
      </w:r>
      <w:proofErr w:type="gramStart"/>
      <w:r>
        <w:rPr>
          <w:rFonts w:hint="eastAsia"/>
          <w:sz w:val="28"/>
          <w:szCs w:val="28"/>
        </w:rPr>
        <w:t>梗</w:t>
      </w:r>
      <w:proofErr w:type="gramEnd"/>
      <w:r>
        <w:rPr>
          <w:rFonts w:hint="eastAsia"/>
          <w:sz w:val="28"/>
          <w:szCs w:val="28"/>
        </w:rPr>
        <w:t>2018</w:t>
      </w:r>
      <w:r>
        <w:rPr>
          <w:rFonts w:hint="eastAsia"/>
          <w:sz w:val="28"/>
          <w:szCs w:val="28"/>
        </w:rPr>
        <w:t>年第四版定义：检测到心脏生物标记物（主要为</w:t>
      </w:r>
      <w:r>
        <w:rPr>
          <w:rFonts w:hint="eastAsia"/>
          <w:sz w:val="28"/>
          <w:szCs w:val="28"/>
        </w:rPr>
        <w:t>cTn</w:t>
      </w:r>
      <w:r>
        <w:rPr>
          <w:rFonts w:hint="eastAsia"/>
          <w:sz w:val="28"/>
          <w:szCs w:val="28"/>
        </w:rPr>
        <w:t>）水平升高和（或）下降，至少有一个检测值超过参考值上限（</w:t>
      </w:r>
      <w:r>
        <w:rPr>
          <w:rFonts w:hint="eastAsia"/>
          <w:sz w:val="28"/>
          <w:szCs w:val="28"/>
        </w:rPr>
        <w:t>URL</w:t>
      </w:r>
      <w:r>
        <w:rPr>
          <w:rFonts w:hint="eastAsia"/>
          <w:sz w:val="28"/>
          <w:szCs w:val="28"/>
        </w:rPr>
        <w:t>）第</w:t>
      </w:r>
      <w:r>
        <w:rPr>
          <w:rFonts w:hint="eastAsia"/>
          <w:sz w:val="28"/>
          <w:szCs w:val="28"/>
        </w:rPr>
        <w:t>99</w:t>
      </w:r>
      <w:proofErr w:type="gramStart"/>
      <w:r>
        <w:rPr>
          <w:rFonts w:hint="eastAsia"/>
          <w:sz w:val="28"/>
          <w:szCs w:val="28"/>
        </w:rPr>
        <w:t>百</w:t>
      </w:r>
      <w:proofErr w:type="gramEnd"/>
      <w:r>
        <w:rPr>
          <w:rFonts w:hint="eastAsia"/>
          <w:sz w:val="28"/>
          <w:szCs w:val="28"/>
        </w:rPr>
        <w:t>分位，且至少具备下列条件之一：</w:t>
      </w:r>
      <w:r>
        <w:rPr>
          <w:rFonts w:hint="eastAsia"/>
          <w:sz w:val="28"/>
          <w:szCs w:val="28"/>
        </w:rPr>
        <w:t xml:space="preserve"> </w:t>
      </w:r>
    </w:p>
    <w:p w:rsidR="00CA2089" w:rsidRDefault="00035E4E">
      <w:pPr>
        <w:pStyle w:val="af9"/>
        <w:numPr>
          <w:ilvl w:val="0"/>
          <w:numId w:val="5"/>
        </w:numPr>
        <w:ind w:firstLineChars="0"/>
        <w:rPr>
          <w:sz w:val="28"/>
          <w:szCs w:val="28"/>
        </w:rPr>
      </w:pPr>
      <w:r>
        <w:rPr>
          <w:rFonts w:hint="eastAsia"/>
          <w:sz w:val="28"/>
          <w:szCs w:val="28"/>
        </w:rPr>
        <w:t>心肌缺血性临床症状；</w:t>
      </w:r>
    </w:p>
    <w:p w:rsidR="00CA2089" w:rsidRDefault="00035E4E">
      <w:pPr>
        <w:pStyle w:val="af9"/>
        <w:numPr>
          <w:ilvl w:val="0"/>
          <w:numId w:val="5"/>
        </w:numPr>
        <w:ind w:firstLineChars="0"/>
        <w:rPr>
          <w:sz w:val="28"/>
          <w:szCs w:val="28"/>
        </w:rPr>
      </w:pPr>
      <w:r>
        <w:rPr>
          <w:rFonts w:hint="eastAsia"/>
          <w:sz w:val="28"/>
          <w:szCs w:val="28"/>
        </w:rPr>
        <w:t>新发缺血性心电图改变；</w:t>
      </w:r>
      <w:r>
        <w:rPr>
          <w:sz w:val="28"/>
          <w:szCs w:val="28"/>
        </w:rPr>
        <w:t xml:space="preserve"> </w:t>
      </w:r>
    </w:p>
    <w:p w:rsidR="00CA2089" w:rsidRDefault="00035E4E">
      <w:pPr>
        <w:pStyle w:val="af9"/>
        <w:numPr>
          <w:ilvl w:val="0"/>
          <w:numId w:val="5"/>
        </w:numPr>
        <w:ind w:firstLineChars="0"/>
        <w:rPr>
          <w:sz w:val="28"/>
          <w:szCs w:val="28"/>
        </w:rPr>
      </w:pPr>
      <w:r>
        <w:rPr>
          <w:rFonts w:hint="eastAsia"/>
          <w:sz w:val="28"/>
          <w:szCs w:val="28"/>
        </w:rPr>
        <w:t>新出现的病理性</w:t>
      </w:r>
      <w:r>
        <w:rPr>
          <w:sz w:val="28"/>
          <w:szCs w:val="28"/>
        </w:rPr>
        <w:t>Q</w:t>
      </w:r>
      <w:r>
        <w:rPr>
          <w:rFonts w:hint="eastAsia"/>
          <w:sz w:val="28"/>
          <w:szCs w:val="28"/>
        </w:rPr>
        <w:t>波；</w:t>
      </w:r>
    </w:p>
    <w:p w:rsidR="00CA2089" w:rsidRDefault="00035E4E">
      <w:pPr>
        <w:pStyle w:val="af9"/>
        <w:numPr>
          <w:ilvl w:val="0"/>
          <w:numId w:val="5"/>
        </w:numPr>
        <w:ind w:firstLineChars="0"/>
        <w:rPr>
          <w:sz w:val="28"/>
          <w:szCs w:val="28"/>
        </w:rPr>
      </w:pPr>
      <w:r>
        <w:rPr>
          <w:rFonts w:hint="eastAsia"/>
          <w:sz w:val="28"/>
          <w:szCs w:val="28"/>
        </w:rPr>
        <w:t>影像学检查证实有新的存活心肌的丢失或新出现的局部室壁运动异常；</w:t>
      </w:r>
    </w:p>
    <w:p w:rsidR="00CA2089" w:rsidRDefault="00035E4E">
      <w:pPr>
        <w:pStyle w:val="af9"/>
        <w:numPr>
          <w:ilvl w:val="0"/>
          <w:numId w:val="5"/>
        </w:numPr>
        <w:ind w:firstLineChars="0"/>
        <w:rPr>
          <w:sz w:val="28"/>
          <w:szCs w:val="28"/>
        </w:rPr>
      </w:pPr>
      <w:r>
        <w:rPr>
          <w:rFonts w:hint="eastAsia"/>
          <w:sz w:val="28"/>
          <w:szCs w:val="28"/>
        </w:rPr>
        <w:t>冠脉造影或尸检证实冠脉内血栓形成。</w:t>
      </w:r>
    </w:p>
    <w:p w:rsidR="00CA2089" w:rsidRDefault="00035E4E">
      <w:pPr>
        <w:ind w:firstLineChars="200" w:firstLine="560"/>
        <w:rPr>
          <w:sz w:val="28"/>
          <w:szCs w:val="28"/>
        </w:rPr>
      </w:pPr>
      <w:r>
        <w:rPr>
          <w:sz w:val="28"/>
          <w:szCs w:val="28"/>
        </w:rPr>
        <w:t>计算公式：心肌梗死发生率</w:t>
      </w:r>
      <w:r>
        <w:rPr>
          <w:sz w:val="28"/>
          <w:szCs w:val="28"/>
        </w:rPr>
        <w:t>=</w:t>
      </w:r>
      <w:r>
        <w:rPr>
          <w:sz w:val="28"/>
          <w:szCs w:val="28"/>
        </w:rPr>
        <w:t>心肌梗死病例数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4</w:t>
      </w:r>
      <w:r>
        <w:rPr>
          <w:sz w:val="28"/>
          <w:szCs w:val="28"/>
        </w:rPr>
        <w:t>）严重血管造影并发症发生情况</w:t>
      </w:r>
    </w:p>
    <w:p w:rsidR="00CA2089" w:rsidRDefault="00035E4E">
      <w:pPr>
        <w:ind w:firstLineChars="200" w:firstLine="560"/>
        <w:rPr>
          <w:sz w:val="28"/>
          <w:szCs w:val="28"/>
        </w:rPr>
      </w:pPr>
      <w:r>
        <w:rPr>
          <w:sz w:val="28"/>
          <w:szCs w:val="28"/>
        </w:rPr>
        <w:lastRenderedPageBreak/>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评价方法：记录研究期间严重血管造影并发症（严重夹层（</w:t>
      </w:r>
      <w:r>
        <w:rPr>
          <w:sz w:val="28"/>
          <w:szCs w:val="28"/>
        </w:rPr>
        <w:t>D</w:t>
      </w:r>
      <w:proofErr w:type="gramStart"/>
      <w:r>
        <w:rPr>
          <w:sz w:val="28"/>
          <w:szCs w:val="28"/>
        </w:rPr>
        <w:t>型至</w:t>
      </w:r>
      <w:proofErr w:type="gramEnd"/>
      <w:r>
        <w:rPr>
          <w:sz w:val="28"/>
          <w:szCs w:val="28"/>
        </w:rPr>
        <w:t>F</w:t>
      </w:r>
      <w:r>
        <w:rPr>
          <w:sz w:val="28"/>
          <w:szCs w:val="28"/>
        </w:rPr>
        <w:t>型）、穿孔、急性闭合及持续性血流缓慢或持续性无复流）发生率（</w:t>
      </w:r>
      <w:r>
        <w:rPr>
          <w:sz w:val="28"/>
          <w:szCs w:val="28"/>
        </w:rPr>
        <w:t>%</w:t>
      </w:r>
      <w:r>
        <w:rPr>
          <w:sz w:val="28"/>
          <w:szCs w:val="28"/>
        </w:rPr>
        <w:t>）及发生频率（事件数目）等。</w:t>
      </w:r>
    </w:p>
    <w:p w:rsidR="00CA2089" w:rsidRDefault="00035E4E">
      <w:pPr>
        <w:ind w:firstLineChars="200" w:firstLine="560"/>
        <w:rPr>
          <w:sz w:val="28"/>
          <w:szCs w:val="28"/>
        </w:rPr>
      </w:pPr>
      <w:r>
        <w:rPr>
          <w:rFonts w:hint="eastAsia"/>
          <w:sz w:val="28"/>
          <w:szCs w:val="28"/>
        </w:rPr>
        <w:t>5</w:t>
      </w:r>
      <w:r>
        <w:rPr>
          <w:sz w:val="28"/>
          <w:szCs w:val="28"/>
        </w:rPr>
        <w:t>）不良事件和严重不良事件发生情况</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评价方法：记录研究期间不良事件及严重不良事件发生率（</w:t>
      </w:r>
      <w:r>
        <w:rPr>
          <w:sz w:val="28"/>
          <w:szCs w:val="28"/>
        </w:rPr>
        <w:t>%</w:t>
      </w:r>
      <w:r>
        <w:rPr>
          <w:sz w:val="28"/>
          <w:szCs w:val="28"/>
        </w:rPr>
        <w:t>）及发生频率（事件数目）等。</w:t>
      </w:r>
    </w:p>
    <w:p w:rsidR="00CA2089" w:rsidRDefault="00035E4E">
      <w:pPr>
        <w:ind w:firstLineChars="200" w:firstLine="560"/>
        <w:rPr>
          <w:sz w:val="28"/>
          <w:szCs w:val="28"/>
        </w:rPr>
      </w:pPr>
      <w:r>
        <w:rPr>
          <w:rFonts w:hint="eastAsia"/>
          <w:sz w:val="28"/>
          <w:szCs w:val="28"/>
        </w:rPr>
        <w:t>6</w:t>
      </w:r>
      <w:r>
        <w:rPr>
          <w:sz w:val="28"/>
          <w:szCs w:val="28"/>
        </w:rPr>
        <w:t>）全因死亡率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评价方法：记录研究期间受试者全因死亡情况。</w:t>
      </w:r>
    </w:p>
    <w:p w:rsidR="00CA2089" w:rsidRDefault="00035E4E">
      <w:pPr>
        <w:ind w:firstLineChars="200" w:firstLine="560"/>
        <w:rPr>
          <w:sz w:val="28"/>
          <w:szCs w:val="28"/>
        </w:rPr>
      </w:pPr>
      <w:r>
        <w:rPr>
          <w:sz w:val="28"/>
          <w:szCs w:val="28"/>
        </w:rPr>
        <w:t>计算公式：全因死亡率</w:t>
      </w:r>
      <w:r>
        <w:rPr>
          <w:sz w:val="28"/>
          <w:szCs w:val="28"/>
        </w:rPr>
        <w:t>=</w:t>
      </w:r>
      <w:r>
        <w:rPr>
          <w:sz w:val="28"/>
          <w:szCs w:val="28"/>
        </w:rPr>
        <w:t>全因死亡病例数</w:t>
      </w:r>
      <w:r>
        <w:rPr>
          <w:sz w:val="28"/>
          <w:szCs w:val="28"/>
        </w:rPr>
        <w:t>÷</w:t>
      </w:r>
      <w:r>
        <w:rPr>
          <w:sz w:val="28"/>
          <w:szCs w:val="28"/>
        </w:rPr>
        <w:t>总病例数</w:t>
      </w:r>
      <w:r>
        <w:rPr>
          <w:sz w:val="28"/>
          <w:szCs w:val="28"/>
        </w:rPr>
        <w:t>×100%</w:t>
      </w:r>
      <w:r>
        <w:rPr>
          <w:sz w:val="28"/>
          <w:szCs w:val="28"/>
        </w:rPr>
        <w:t>。</w:t>
      </w:r>
    </w:p>
    <w:p w:rsidR="00CA2089" w:rsidRDefault="00035E4E">
      <w:pPr>
        <w:ind w:firstLineChars="200" w:firstLine="560"/>
        <w:rPr>
          <w:sz w:val="28"/>
          <w:szCs w:val="28"/>
        </w:rPr>
      </w:pPr>
      <w:r>
        <w:rPr>
          <w:rFonts w:hint="eastAsia"/>
          <w:sz w:val="28"/>
          <w:szCs w:val="28"/>
        </w:rPr>
        <w:t>7</w:t>
      </w:r>
      <w:r>
        <w:rPr>
          <w:sz w:val="28"/>
          <w:szCs w:val="28"/>
        </w:rPr>
        <w:t>）器械缺陷发生率</w:t>
      </w:r>
    </w:p>
    <w:p w:rsidR="00CA2089" w:rsidRDefault="00035E4E">
      <w:pPr>
        <w:ind w:firstLineChars="200" w:firstLine="560"/>
        <w:rPr>
          <w:sz w:val="28"/>
          <w:szCs w:val="28"/>
        </w:rPr>
      </w:pPr>
      <w:r>
        <w:rPr>
          <w:sz w:val="28"/>
          <w:szCs w:val="28"/>
        </w:rPr>
        <w:t>评价时间：术后即刻、术后</w:t>
      </w:r>
      <w:r>
        <w:rPr>
          <w:sz w:val="28"/>
          <w:szCs w:val="28"/>
        </w:rPr>
        <w:t>0-7</w:t>
      </w:r>
      <w:r>
        <w:rPr>
          <w:sz w:val="28"/>
          <w:szCs w:val="28"/>
        </w:rPr>
        <w:t>天、术后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w:t>
      </w:r>
    </w:p>
    <w:p w:rsidR="00CA2089" w:rsidRDefault="00035E4E">
      <w:pPr>
        <w:ind w:firstLineChars="200" w:firstLine="560"/>
        <w:rPr>
          <w:sz w:val="28"/>
          <w:szCs w:val="28"/>
        </w:rPr>
      </w:pPr>
      <w:r>
        <w:rPr>
          <w:sz w:val="28"/>
          <w:szCs w:val="28"/>
        </w:rPr>
        <w:t>评价方法：记录研究期间器械缺陷发生情况。</w:t>
      </w:r>
    </w:p>
    <w:p w:rsidR="00CA2089" w:rsidRDefault="00035E4E">
      <w:pPr>
        <w:ind w:firstLineChars="200" w:firstLine="560"/>
        <w:rPr>
          <w:sz w:val="28"/>
          <w:szCs w:val="28"/>
        </w:rPr>
      </w:pPr>
      <w:r>
        <w:rPr>
          <w:sz w:val="28"/>
          <w:szCs w:val="28"/>
        </w:rPr>
        <w:t>计算公式：器械缺陷发生率</w:t>
      </w:r>
      <w:r>
        <w:rPr>
          <w:sz w:val="28"/>
          <w:szCs w:val="28"/>
        </w:rPr>
        <w:t>=</w:t>
      </w:r>
      <w:r>
        <w:rPr>
          <w:sz w:val="28"/>
          <w:szCs w:val="28"/>
        </w:rPr>
        <w:t>发生器械缺陷病例数</w:t>
      </w:r>
      <w:r>
        <w:rPr>
          <w:sz w:val="28"/>
          <w:szCs w:val="28"/>
        </w:rPr>
        <w:t>÷</w:t>
      </w:r>
      <w:r>
        <w:rPr>
          <w:sz w:val="28"/>
          <w:szCs w:val="28"/>
        </w:rPr>
        <w:t>总病例数</w:t>
      </w:r>
      <w:r>
        <w:rPr>
          <w:sz w:val="28"/>
          <w:szCs w:val="28"/>
        </w:rPr>
        <w:t>×100%</w:t>
      </w:r>
      <w:r>
        <w:rPr>
          <w:sz w:val="28"/>
          <w:szCs w:val="28"/>
        </w:rPr>
        <w:t>。</w:t>
      </w:r>
    </w:p>
    <w:p w:rsidR="00CA2089" w:rsidRDefault="00035E4E">
      <w:pPr>
        <w:pStyle w:val="af0"/>
        <w:numPr>
          <w:ilvl w:val="0"/>
          <w:numId w:val="12"/>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hint="eastAsia"/>
          <w:sz w:val="28"/>
          <w:szCs w:val="28"/>
        </w:rPr>
        <w:t xml:space="preserve"> </w:t>
      </w:r>
      <w:bookmarkStart w:id="59" w:name="_Hlk176265939"/>
      <w:r>
        <w:rPr>
          <w:rFonts w:ascii="Times New Roman" w:eastAsia="宋体" w:hAnsi="Times New Roman" w:cs="Times New Roman" w:hint="eastAsia"/>
          <w:sz w:val="28"/>
          <w:szCs w:val="28"/>
        </w:rPr>
        <w:t>IVUS</w:t>
      </w:r>
      <w:r>
        <w:rPr>
          <w:rFonts w:ascii="Times New Roman" w:eastAsia="宋体" w:hAnsi="Times New Roman" w:cs="Times New Roman" w:hint="eastAsia"/>
          <w:sz w:val="28"/>
          <w:szCs w:val="28"/>
        </w:rPr>
        <w:t>亚组评价</w:t>
      </w:r>
    </w:p>
    <w:p w:rsidR="00CA2089" w:rsidRDefault="00035E4E">
      <w:pPr>
        <w:ind w:firstLineChars="200" w:firstLine="560"/>
        <w:rPr>
          <w:sz w:val="28"/>
          <w:szCs w:val="28"/>
        </w:rPr>
      </w:pPr>
      <w:r>
        <w:rPr>
          <w:sz w:val="28"/>
          <w:szCs w:val="28"/>
        </w:rPr>
        <w:lastRenderedPageBreak/>
        <w:t>1</w:t>
      </w:r>
      <w:r>
        <w:rPr>
          <w:rFonts w:hint="eastAsia"/>
          <w:sz w:val="28"/>
          <w:szCs w:val="28"/>
        </w:rPr>
        <w:t>）术后即刻最小支架面积</w:t>
      </w:r>
      <w:r>
        <w:rPr>
          <w:sz w:val="28"/>
          <w:szCs w:val="28"/>
        </w:rPr>
        <w:t>MSA</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评价方法：术后支架内最小处的管腔面积。</w:t>
      </w:r>
    </w:p>
    <w:p w:rsidR="00CA2089" w:rsidRDefault="00035E4E">
      <w:pPr>
        <w:ind w:firstLineChars="200" w:firstLine="560"/>
        <w:rPr>
          <w:sz w:val="28"/>
          <w:szCs w:val="28"/>
        </w:rPr>
      </w:pPr>
      <w:r>
        <w:rPr>
          <w:sz w:val="28"/>
          <w:szCs w:val="28"/>
        </w:rPr>
        <w:t>2</w:t>
      </w:r>
      <w:r>
        <w:rPr>
          <w:rFonts w:hint="eastAsia"/>
          <w:sz w:val="28"/>
          <w:szCs w:val="28"/>
        </w:rPr>
        <w:t>）术后即刻最小支架管腔直径</w:t>
      </w:r>
      <w:r>
        <w:rPr>
          <w:sz w:val="28"/>
          <w:szCs w:val="28"/>
        </w:rPr>
        <w:t>MLD</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直径。</w:t>
      </w:r>
    </w:p>
    <w:p w:rsidR="00CA2089" w:rsidRDefault="00035E4E">
      <w:pPr>
        <w:ind w:firstLineChars="200" w:firstLine="560"/>
        <w:rPr>
          <w:sz w:val="28"/>
          <w:szCs w:val="28"/>
        </w:rPr>
      </w:pPr>
      <w:r>
        <w:rPr>
          <w:sz w:val="28"/>
          <w:szCs w:val="28"/>
        </w:rPr>
        <w:t>3</w:t>
      </w:r>
      <w:r>
        <w:rPr>
          <w:rFonts w:hint="eastAsia"/>
          <w:sz w:val="28"/>
          <w:szCs w:val="28"/>
        </w:rPr>
        <w:t>）术后即刻管</w:t>
      </w:r>
      <w:proofErr w:type="gramStart"/>
      <w:r>
        <w:rPr>
          <w:rFonts w:hint="eastAsia"/>
          <w:sz w:val="28"/>
          <w:szCs w:val="28"/>
        </w:rPr>
        <w:t>腔获得</w:t>
      </w:r>
      <w:proofErr w:type="gramEnd"/>
      <w:r>
        <w:rPr>
          <w:rFonts w:hint="eastAsia"/>
          <w:sz w:val="28"/>
          <w:szCs w:val="28"/>
        </w:rPr>
        <w:t>直径</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直径</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直径。</w:t>
      </w:r>
    </w:p>
    <w:p w:rsidR="00CA2089" w:rsidRDefault="00035E4E">
      <w:pPr>
        <w:ind w:firstLineChars="200" w:firstLine="560"/>
        <w:rPr>
          <w:sz w:val="28"/>
          <w:szCs w:val="28"/>
        </w:rPr>
      </w:pPr>
      <w:r>
        <w:rPr>
          <w:sz w:val="28"/>
          <w:szCs w:val="28"/>
        </w:rPr>
        <w:t>4</w:t>
      </w:r>
      <w:r>
        <w:rPr>
          <w:rFonts w:hint="eastAsia"/>
          <w:sz w:val="28"/>
          <w:szCs w:val="28"/>
        </w:rPr>
        <w:t>）术后即刻管</w:t>
      </w:r>
      <w:proofErr w:type="gramStart"/>
      <w:r>
        <w:rPr>
          <w:rFonts w:hint="eastAsia"/>
          <w:sz w:val="28"/>
          <w:szCs w:val="28"/>
        </w:rPr>
        <w:t>腔获得</w:t>
      </w:r>
      <w:proofErr w:type="gramEnd"/>
      <w:r>
        <w:rPr>
          <w:rFonts w:hint="eastAsia"/>
          <w:sz w:val="28"/>
          <w:szCs w:val="28"/>
        </w:rPr>
        <w:t>面积</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p>
    <w:p w:rsidR="00CA2089" w:rsidRDefault="00035E4E">
      <w:pPr>
        <w:ind w:firstLineChars="200" w:firstLine="560"/>
        <w:rPr>
          <w:sz w:val="28"/>
          <w:szCs w:val="28"/>
        </w:rPr>
      </w:pPr>
      <w:r>
        <w:rPr>
          <w:sz w:val="28"/>
          <w:szCs w:val="28"/>
        </w:rPr>
        <w:t>5</w:t>
      </w:r>
      <w:r>
        <w:rPr>
          <w:rFonts w:hint="eastAsia"/>
          <w:sz w:val="28"/>
          <w:szCs w:val="28"/>
        </w:rPr>
        <w:t>）术后即刻管</w:t>
      </w:r>
      <w:proofErr w:type="gramStart"/>
      <w:r>
        <w:rPr>
          <w:rFonts w:hint="eastAsia"/>
          <w:sz w:val="28"/>
          <w:szCs w:val="28"/>
        </w:rPr>
        <w:t>腔获得</w:t>
      </w:r>
      <w:proofErr w:type="gramEnd"/>
      <w:r>
        <w:rPr>
          <w:rFonts w:hint="eastAsia"/>
          <w:sz w:val="28"/>
          <w:szCs w:val="28"/>
        </w:rPr>
        <w:t>率</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评价方法：（术后支架内最小管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术前最小管</w:t>
      </w:r>
      <w:proofErr w:type="gramStart"/>
      <w:r>
        <w:rPr>
          <w:rFonts w:hint="eastAsia"/>
          <w:sz w:val="28"/>
          <w:szCs w:val="28"/>
        </w:rPr>
        <w:t>腔</w:t>
      </w:r>
      <w:proofErr w:type="gramEnd"/>
      <w:r>
        <w:rPr>
          <w:rFonts w:hint="eastAsia"/>
          <w:sz w:val="28"/>
          <w:szCs w:val="28"/>
        </w:rPr>
        <w:t>面积。</w:t>
      </w:r>
    </w:p>
    <w:p w:rsidR="00CA2089" w:rsidRDefault="00035E4E">
      <w:pPr>
        <w:ind w:firstLineChars="200" w:firstLine="560"/>
        <w:rPr>
          <w:sz w:val="28"/>
          <w:szCs w:val="28"/>
        </w:rPr>
      </w:pPr>
      <w:r>
        <w:rPr>
          <w:sz w:val="28"/>
          <w:szCs w:val="28"/>
        </w:rPr>
        <w:t>6</w:t>
      </w:r>
      <w:r>
        <w:rPr>
          <w:rFonts w:hint="eastAsia"/>
          <w:sz w:val="28"/>
          <w:szCs w:val="28"/>
        </w:rPr>
        <w:t>）支架膨胀率</w:t>
      </w:r>
    </w:p>
    <w:p w:rsidR="00CA2089" w:rsidRDefault="00035E4E">
      <w:pPr>
        <w:ind w:firstLineChars="200" w:firstLine="560"/>
        <w:rPr>
          <w:sz w:val="28"/>
          <w:szCs w:val="28"/>
        </w:rPr>
      </w:pPr>
      <w:r>
        <w:rPr>
          <w:rFonts w:hint="eastAsia"/>
          <w:sz w:val="28"/>
          <w:szCs w:val="28"/>
        </w:rPr>
        <w:t>评价时间：术后即刻</w:t>
      </w:r>
    </w:p>
    <w:p w:rsidR="00CA2089" w:rsidRDefault="00035E4E">
      <w:pPr>
        <w:ind w:firstLineChars="200" w:firstLine="560"/>
        <w:rPr>
          <w:sz w:val="28"/>
          <w:szCs w:val="28"/>
        </w:rPr>
      </w:pPr>
      <w:r>
        <w:rPr>
          <w:rFonts w:hint="eastAsia"/>
          <w:sz w:val="28"/>
          <w:szCs w:val="28"/>
        </w:rPr>
        <w:t>评价方法：支架内最小管</w:t>
      </w:r>
      <w:proofErr w:type="gramStart"/>
      <w:r>
        <w:rPr>
          <w:rFonts w:hint="eastAsia"/>
          <w:sz w:val="28"/>
          <w:szCs w:val="28"/>
        </w:rPr>
        <w:t>腔</w:t>
      </w:r>
      <w:proofErr w:type="gramEnd"/>
      <w:r>
        <w:rPr>
          <w:rFonts w:hint="eastAsia"/>
          <w:sz w:val="28"/>
          <w:szCs w:val="28"/>
        </w:rPr>
        <w:t>面积</w:t>
      </w:r>
      <w:r>
        <w:rPr>
          <w:sz w:val="28"/>
          <w:szCs w:val="28"/>
        </w:rPr>
        <w:t>/</w:t>
      </w:r>
      <w:r>
        <w:rPr>
          <w:rFonts w:hint="eastAsia"/>
          <w:sz w:val="28"/>
          <w:szCs w:val="28"/>
        </w:rPr>
        <w:t>（远端参考血管面积</w:t>
      </w:r>
      <w:r>
        <w:rPr>
          <w:sz w:val="28"/>
          <w:szCs w:val="28"/>
        </w:rPr>
        <w:t>+</w:t>
      </w:r>
      <w:r>
        <w:rPr>
          <w:rFonts w:hint="eastAsia"/>
          <w:sz w:val="28"/>
          <w:szCs w:val="28"/>
        </w:rPr>
        <w:t>近段参考血管面积）</w:t>
      </w:r>
      <w:r>
        <w:rPr>
          <w:sz w:val="28"/>
          <w:szCs w:val="28"/>
        </w:rPr>
        <w:t>*1/2</w:t>
      </w:r>
      <w:r>
        <w:rPr>
          <w:rFonts w:hint="eastAsia"/>
          <w:sz w:val="28"/>
          <w:szCs w:val="28"/>
        </w:rPr>
        <w:t>。</w:t>
      </w:r>
    </w:p>
    <w:p w:rsidR="00CA2089" w:rsidRDefault="00035E4E">
      <w:pPr>
        <w:ind w:firstLineChars="200" w:firstLine="560"/>
        <w:rPr>
          <w:sz w:val="28"/>
          <w:szCs w:val="28"/>
        </w:rPr>
      </w:pPr>
      <w:bookmarkStart w:id="60" w:name="_Hlk79270913"/>
      <w:r>
        <w:rPr>
          <w:sz w:val="28"/>
          <w:szCs w:val="28"/>
        </w:rPr>
        <w:t>7</w:t>
      </w:r>
      <w:r>
        <w:rPr>
          <w:rFonts w:hint="eastAsia"/>
          <w:sz w:val="28"/>
          <w:szCs w:val="28"/>
        </w:rPr>
        <w:t>）支架梁不完全贴壁率</w:t>
      </w:r>
    </w:p>
    <w:p w:rsidR="00CA2089" w:rsidRDefault="00035E4E">
      <w:pPr>
        <w:ind w:firstLineChars="200" w:firstLine="560"/>
        <w:rPr>
          <w:sz w:val="28"/>
          <w:szCs w:val="28"/>
        </w:rPr>
      </w:pPr>
      <w:r>
        <w:rPr>
          <w:rFonts w:hint="eastAsia"/>
          <w:sz w:val="28"/>
          <w:szCs w:val="28"/>
        </w:rPr>
        <w:lastRenderedPageBreak/>
        <w:t>评价时间：术后即刻</w:t>
      </w:r>
    </w:p>
    <w:p w:rsidR="00CA2089" w:rsidRDefault="00035E4E">
      <w:pPr>
        <w:ind w:firstLineChars="200" w:firstLine="560"/>
        <w:rPr>
          <w:sz w:val="28"/>
          <w:szCs w:val="28"/>
        </w:rPr>
      </w:pPr>
      <w:r>
        <w:rPr>
          <w:rFonts w:hint="eastAsia"/>
          <w:sz w:val="28"/>
          <w:szCs w:val="28"/>
        </w:rPr>
        <w:t>评价方法：支架置入后，至少有</w:t>
      </w:r>
      <w:r>
        <w:rPr>
          <w:sz w:val="28"/>
          <w:szCs w:val="28"/>
        </w:rPr>
        <w:t>1</w:t>
      </w:r>
      <w:r>
        <w:rPr>
          <w:rFonts w:hint="eastAsia"/>
          <w:sz w:val="28"/>
          <w:szCs w:val="28"/>
        </w:rPr>
        <w:t>处或以上的支架梁与内膜未能完全贴合，且在支架梁后存在血流</w:t>
      </w:r>
      <w:bookmarkEnd w:id="59"/>
      <w:bookmarkEnd w:id="60"/>
      <w:r>
        <w:rPr>
          <w:rFonts w:hint="eastAsia"/>
          <w:sz w:val="28"/>
          <w:szCs w:val="28"/>
        </w:rPr>
        <w:t>。</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1" w:name="_Toc134753810"/>
      <w:bookmarkStart w:id="62" w:name="_Toc3074"/>
      <w:r>
        <w:rPr>
          <w:rFonts w:ascii="Times New Roman" w:eastAsia="宋体" w:hAnsi="Times New Roman" w:cs="Times New Roman"/>
          <w:sz w:val="28"/>
          <w:szCs w:val="28"/>
        </w:rPr>
        <w:t>（四）试验医疗器械和对照医疗器械</w:t>
      </w:r>
      <w:bookmarkEnd w:id="61"/>
      <w:bookmarkEnd w:id="62"/>
    </w:p>
    <w:p w:rsidR="00CA2089" w:rsidRDefault="00035E4E">
      <w:pPr>
        <w:widowControl/>
        <w:spacing w:line="360" w:lineRule="auto"/>
        <w:ind w:firstLineChars="200" w:firstLine="560"/>
        <w:jc w:val="left"/>
        <w:rPr>
          <w:color w:val="000000"/>
          <w:kern w:val="0"/>
          <w:sz w:val="28"/>
          <w:szCs w:val="28"/>
        </w:rPr>
      </w:pPr>
      <w:r>
        <w:rPr>
          <w:color w:val="000000"/>
          <w:kern w:val="0"/>
          <w:sz w:val="28"/>
          <w:szCs w:val="28"/>
        </w:rPr>
        <w:t>本试验为单组目标值试验，试验医疗器械使用上海科亚方舟医疗科技有限公司研发的血管内冲击波治疗设备</w:t>
      </w:r>
      <w:r>
        <w:rPr>
          <w:rFonts w:hint="eastAsia"/>
          <w:color w:val="000000"/>
          <w:kern w:val="0"/>
          <w:sz w:val="28"/>
          <w:szCs w:val="28"/>
        </w:rPr>
        <w:t>和</w:t>
      </w:r>
      <w:r>
        <w:rPr>
          <w:color w:val="000000"/>
          <w:kern w:val="0"/>
          <w:sz w:val="28"/>
          <w:szCs w:val="28"/>
        </w:rPr>
        <w:t>震波球囊扩张导管，无对照医疗器械。</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3" w:name="_Toc15978"/>
      <w:bookmarkStart w:id="64" w:name="_Toc134753811"/>
      <w:r>
        <w:rPr>
          <w:rFonts w:ascii="Times New Roman" w:eastAsia="宋体" w:hAnsi="Times New Roman" w:cs="Times New Roman"/>
          <w:sz w:val="28"/>
          <w:szCs w:val="28"/>
        </w:rPr>
        <w:t>（五）试验流程</w:t>
      </w:r>
      <w:bookmarkEnd w:id="63"/>
      <w:bookmarkEnd w:id="64"/>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试验流程图</w:t>
      </w:r>
    </w:p>
    <w:tbl>
      <w:tblPr>
        <w:tblpPr w:leftFromText="180" w:rightFromText="180" w:vertAnchor="text" w:horzAnchor="margin" w:tblpXSpec="center" w:tblpY="134"/>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418"/>
        <w:gridCol w:w="1134"/>
        <w:gridCol w:w="1134"/>
        <w:gridCol w:w="1752"/>
        <w:gridCol w:w="1650"/>
      </w:tblGrid>
      <w:tr w:rsidR="00CA2089">
        <w:trPr>
          <w:trHeight w:hRule="exact" w:val="293"/>
          <w:tblHeader/>
        </w:trPr>
        <w:tc>
          <w:tcPr>
            <w:tcW w:w="2263" w:type="dxa"/>
            <w:tcBorders>
              <w:top w:val="single" w:sz="4" w:space="0" w:color="auto"/>
              <w:left w:val="single" w:sz="4" w:space="0" w:color="auto"/>
              <w:right w:val="single" w:sz="4" w:space="0" w:color="auto"/>
            </w:tcBorders>
            <w:shd w:val="clear" w:color="auto" w:fill="D9D9D9" w:themeFill="background1" w:themeFillShade="D9"/>
            <w:vAlign w:val="center"/>
          </w:tcPr>
          <w:p w:rsidR="00CA2089" w:rsidRDefault="00035E4E">
            <w:pPr>
              <w:rPr>
                <w:b/>
                <w:bCs/>
                <w:sz w:val="20"/>
                <w:szCs w:val="16"/>
              </w:rPr>
            </w:pPr>
            <w:r>
              <w:rPr>
                <w:b/>
                <w:bCs/>
                <w:sz w:val="20"/>
                <w:szCs w:val="16"/>
              </w:rPr>
              <w:t>试验过程</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筛选、入组及手术</w:t>
            </w:r>
          </w:p>
        </w:tc>
        <w:tc>
          <w:tcPr>
            <w:tcW w:w="45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CA2089" w:rsidRDefault="00035E4E">
            <w:pPr>
              <w:jc w:val="center"/>
              <w:rPr>
                <w:b/>
                <w:bCs/>
                <w:sz w:val="20"/>
                <w:szCs w:val="16"/>
              </w:rPr>
            </w:pPr>
            <w:r>
              <w:rPr>
                <w:b/>
                <w:bCs/>
                <w:sz w:val="20"/>
                <w:szCs w:val="16"/>
              </w:rPr>
              <w:t>随访期</w:t>
            </w:r>
            <w:r>
              <w:rPr>
                <w:rFonts w:hint="eastAsia"/>
                <w:b/>
                <w:bCs/>
                <w:sz w:val="20"/>
                <w:szCs w:val="16"/>
                <w:vertAlign w:val="superscript"/>
              </w:rPr>
              <w:t>j</w:t>
            </w:r>
            <w:r>
              <w:rPr>
                <w:rFonts w:hint="eastAsia"/>
                <w:b/>
                <w:bCs/>
                <w:sz w:val="20"/>
                <w:szCs w:val="16"/>
                <w:vertAlign w:val="superscript"/>
              </w:rPr>
              <w:t>）</w:t>
            </w:r>
          </w:p>
        </w:tc>
      </w:tr>
      <w:tr w:rsidR="00CA2089">
        <w:trPr>
          <w:trHeight w:hRule="exact" w:val="566"/>
          <w:tblHeader/>
        </w:trPr>
        <w:tc>
          <w:tcPr>
            <w:tcW w:w="2263" w:type="dxa"/>
            <w:tcBorders>
              <w:top w:val="single" w:sz="4" w:space="0" w:color="auto"/>
              <w:left w:val="single" w:sz="4" w:space="0" w:color="auto"/>
              <w:right w:val="single" w:sz="4" w:space="0" w:color="auto"/>
              <w:tl2br w:val="single" w:sz="4" w:space="0" w:color="auto"/>
            </w:tcBorders>
            <w:shd w:val="clear" w:color="auto" w:fill="D9D9D9" w:themeFill="background1" w:themeFillShade="D9"/>
            <w:vAlign w:val="center"/>
          </w:tcPr>
          <w:p w:rsidR="00CA2089" w:rsidRDefault="00035E4E">
            <w:pPr>
              <w:jc w:val="right"/>
              <w:rPr>
                <w:b/>
                <w:bCs/>
                <w:sz w:val="20"/>
                <w:szCs w:val="16"/>
              </w:rPr>
            </w:pPr>
            <w:r>
              <w:rPr>
                <w:b/>
                <w:bCs/>
                <w:sz w:val="20"/>
                <w:szCs w:val="16"/>
              </w:rPr>
              <w:t>时间节点</w:t>
            </w:r>
          </w:p>
          <w:p w:rsidR="00CA2089" w:rsidRDefault="00035E4E">
            <w:pPr>
              <w:rPr>
                <w:b/>
                <w:bCs/>
                <w:sz w:val="20"/>
                <w:szCs w:val="16"/>
              </w:rPr>
            </w:pPr>
            <w:r>
              <w:rPr>
                <w:b/>
                <w:bCs/>
                <w:sz w:val="20"/>
                <w:szCs w:val="16"/>
              </w:rPr>
              <w:t>项目</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V1</w:t>
            </w:r>
            <w:r>
              <w:rPr>
                <w:b/>
                <w:bCs/>
                <w:sz w:val="20"/>
                <w:szCs w:val="16"/>
              </w:rPr>
              <w:t>筛选期</w:t>
            </w:r>
          </w:p>
          <w:p w:rsidR="00CA2089" w:rsidRDefault="00035E4E">
            <w:pPr>
              <w:jc w:val="center"/>
              <w:rPr>
                <w:b/>
                <w:bCs/>
                <w:sz w:val="20"/>
                <w:szCs w:val="16"/>
              </w:rPr>
            </w:pPr>
            <w:r>
              <w:rPr>
                <w:b/>
                <w:bCs/>
                <w:sz w:val="20"/>
                <w:szCs w:val="16"/>
              </w:rPr>
              <w:t>（</w:t>
            </w:r>
            <w:r>
              <w:rPr>
                <w:b/>
                <w:bCs/>
                <w:sz w:val="20"/>
                <w:szCs w:val="16"/>
              </w:rPr>
              <w:t>-</w:t>
            </w:r>
            <w:r>
              <w:rPr>
                <w:rFonts w:hint="eastAsia"/>
                <w:b/>
                <w:bCs/>
                <w:sz w:val="20"/>
                <w:szCs w:val="16"/>
              </w:rPr>
              <w:t>14</w:t>
            </w:r>
            <w:r>
              <w:rPr>
                <w:b/>
                <w:bCs/>
                <w:sz w:val="20"/>
                <w:szCs w:val="16"/>
              </w:rPr>
              <w:t>~0</w:t>
            </w:r>
            <w:r>
              <w:rPr>
                <w:rFonts w:hint="eastAsia"/>
                <w:b/>
                <w:bCs/>
                <w:sz w:val="20"/>
                <w:szCs w:val="16"/>
              </w:rPr>
              <w:t>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V2</w:t>
            </w:r>
            <w:r>
              <w:rPr>
                <w:b/>
                <w:bCs/>
                <w:sz w:val="20"/>
                <w:szCs w:val="16"/>
              </w:rPr>
              <w:t>手术日</w:t>
            </w:r>
          </w:p>
          <w:p w:rsidR="00CA2089" w:rsidRDefault="00035E4E">
            <w:pPr>
              <w:rPr>
                <w:b/>
                <w:bCs/>
                <w:sz w:val="20"/>
                <w:szCs w:val="16"/>
              </w:rPr>
            </w:pPr>
            <w:r>
              <w:rPr>
                <w:rFonts w:hint="eastAsia"/>
                <w:b/>
                <w:bCs/>
                <w:sz w:val="20"/>
                <w:szCs w:val="16"/>
              </w:rPr>
              <w:t>（第</w:t>
            </w:r>
            <w:r>
              <w:rPr>
                <w:rFonts w:hint="eastAsia"/>
                <w:b/>
                <w:bCs/>
                <w:sz w:val="20"/>
                <w:szCs w:val="16"/>
              </w:rPr>
              <w:t>0</w:t>
            </w:r>
            <w:r>
              <w:rPr>
                <w:rFonts w:hint="eastAsia"/>
                <w:b/>
                <w:bCs/>
                <w:sz w:val="20"/>
                <w:szCs w:val="16"/>
              </w:rPr>
              <w:t>天）</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rPr>
            </w:pPr>
            <w:r>
              <w:rPr>
                <w:b/>
                <w:bCs/>
                <w:sz w:val="20"/>
                <w:szCs w:val="16"/>
              </w:rPr>
              <w:t>V3</w:t>
            </w:r>
            <w:r>
              <w:rPr>
                <w:b/>
                <w:bCs/>
                <w:sz w:val="20"/>
                <w:szCs w:val="16"/>
              </w:rPr>
              <w:t>出院前</w:t>
            </w:r>
          </w:p>
          <w:p w:rsidR="00CA2089" w:rsidRDefault="00035E4E">
            <w:pPr>
              <w:rPr>
                <w:b/>
                <w:bCs/>
                <w:sz w:val="20"/>
                <w:szCs w:val="16"/>
              </w:rPr>
            </w:pPr>
            <w:r>
              <w:rPr>
                <w:rFonts w:hint="eastAsia"/>
                <w:b/>
                <w:bCs/>
                <w:sz w:val="20"/>
                <w:szCs w:val="16"/>
              </w:rPr>
              <w:t>（</w:t>
            </w:r>
            <w:r>
              <w:rPr>
                <w:rFonts w:hint="eastAsia"/>
                <w:b/>
                <w:bCs/>
                <w:sz w:val="20"/>
                <w:szCs w:val="16"/>
              </w:rPr>
              <w:t>0</w:t>
            </w:r>
            <w:r>
              <w:rPr>
                <w:b/>
                <w:bCs/>
                <w:sz w:val="20"/>
                <w:szCs w:val="16"/>
              </w:rPr>
              <w:t>-7</w:t>
            </w:r>
            <w:r>
              <w:rPr>
                <w:rFonts w:hint="eastAsia"/>
                <w:b/>
                <w:bCs/>
                <w:sz w:val="20"/>
                <w:szCs w:val="16"/>
              </w:rPr>
              <w:t>天）</w:t>
            </w:r>
          </w:p>
        </w:tc>
        <w:tc>
          <w:tcPr>
            <w:tcW w:w="17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lang w:val="zh-CN" w:bidi="zh-CN"/>
              </w:rPr>
            </w:pPr>
            <w:r>
              <w:rPr>
                <w:b/>
                <w:bCs/>
                <w:sz w:val="20"/>
                <w:szCs w:val="16"/>
              </w:rPr>
              <w:t xml:space="preserve">V4 </w:t>
            </w:r>
            <w:r>
              <w:rPr>
                <w:b/>
                <w:bCs/>
                <w:sz w:val="20"/>
                <w:szCs w:val="16"/>
                <w:lang w:val="zh-CN" w:bidi="zh-CN"/>
              </w:rPr>
              <w:t>术后</w:t>
            </w:r>
            <w:r>
              <w:rPr>
                <w:b/>
                <w:bCs/>
                <w:sz w:val="20"/>
                <w:szCs w:val="16"/>
                <w:lang w:val="zh-CN" w:bidi="zh-CN"/>
              </w:rPr>
              <w:t>1</w:t>
            </w:r>
            <w:r>
              <w:rPr>
                <w:b/>
                <w:bCs/>
                <w:sz w:val="20"/>
                <w:szCs w:val="16"/>
                <w:lang w:val="zh-CN" w:bidi="zh-CN"/>
              </w:rPr>
              <w:t>个月</w:t>
            </w:r>
          </w:p>
          <w:p w:rsidR="00CA2089" w:rsidRDefault="00035E4E">
            <w:pPr>
              <w:jc w:val="center"/>
              <w:rPr>
                <w:b/>
                <w:bCs/>
                <w:sz w:val="20"/>
                <w:szCs w:val="16"/>
              </w:rPr>
            </w:pPr>
            <w:r>
              <w:rPr>
                <w:b/>
                <w:bCs/>
                <w:sz w:val="20"/>
                <w:szCs w:val="16"/>
                <w:lang w:val="zh-CN" w:bidi="zh-CN"/>
              </w:rPr>
              <w:t>（</w:t>
            </w:r>
            <w:r>
              <w:rPr>
                <w:b/>
                <w:bCs/>
                <w:sz w:val="20"/>
                <w:szCs w:val="16"/>
                <w:lang w:val="zh-CN" w:bidi="zh-CN"/>
              </w:rPr>
              <w:t>±</w:t>
            </w:r>
            <w:r>
              <w:rPr>
                <w:b/>
                <w:bCs/>
                <w:sz w:val="20"/>
                <w:szCs w:val="16"/>
                <w:lang w:bidi="zh-CN"/>
              </w:rPr>
              <w:t>7</w:t>
            </w:r>
            <w:r>
              <w:rPr>
                <w:b/>
                <w:bCs/>
                <w:sz w:val="20"/>
                <w:szCs w:val="16"/>
                <w:lang w:bidi="zh-CN"/>
              </w:rPr>
              <w:t>天）</w:t>
            </w:r>
          </w:p>
        </w:tc>
        <w:tc>
          <w:tcPr>
            <w:tcW w:w="16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A2089" w:rsidRDefault="00035E4E">
            <w:pPr>
              <w:jc w:val="center"/>
              <w:rPr>
                <w:b/>
                <w:bCs/>
                <w:sz w:val="20"/>
                <w:szCs w:val="16"/>
                <w:lang w:val="zh-CN" w:bidi="zh-CN"/>
              </w:rPr>
            </w:pPr>
            <w:r>
              <w:rPr>
                <w:b/>
                <w:bCs/>
                <w:sz w:val="20"/>
                <w:szCs w:val="16"/>
              </w:rPr>
              <w:t xml:space="preserve">V5 </w:t>
            </w:r>
            <w:r>
              <w:rPr>
                <w:b/>
                <w:bCs/>
                <w:sz w:val="20"/>
                <w:szCs w:val="16"/>
                <w:lang w:val="zh-CN" w:bidi="zh-CN"/>
              </w:rPr>
              <w:t>术后</w:t>
            </w:r>
            <w:r>
              <w:rPr>
                <w:b/>
                <w:bCs/>
                <w:sz w:val="20"/>
                <w:szCs w:val="16"/>
                <w:lang w:val="zh-CN" w:bidi="zh-CN"/>
              </w:rPr>
              <w:t>6</w:t>
            </w:r>
            <w:r>
              <w:rPr>
                <w:b/>
                <w:bCs/>
                <w:sz w:val="20"/>
                <w:szCs w:val="16"/>
                <w:lang w:val="zh-CN" w:bidi="zh-CN"/>
              </w:rPr>
              <w:t>个月</w:t>
            </w:r>
          </w:p>
          <w:p w:rsidR="00CA2089" w:rsidRDefault="00035E4E">
            <w:pPr>
              <w:jc w:val="center"/>
              <w:rPr>
                <w:b/>
                <w:bCs/>
                <w:sz w:val="20"/>
                <w:szCs w:val="16"/>
              </w:rPr>
            </w:pPr>
            <w:r>
              <w:rPr>
                <w:b/>
                <w:bCs/>
                <w:sz w:val="20"/>
                <w:szCs w:val="16"/>
                <w:lang w:val="zh-CN" w:bidi="zh-CN"/>
              </w:rPr>
              <w:t>（</w:t>
            </w:r>
            <w:r>
              <w:rPr>
                <w:b/>
                <w:bCs/>
                <w:sz w:val="20"/>
                <w:szCs w:val="16"/>
                <w:lang w:val="zh-CN" w:bidi="zh-CN"/>
              </w:rPr>
              <w:t>±14</w:t>
            </w:r>
            <w:r>
              <w:rPr>
                <w:b/>
                <w:bCs/>
                <w:sz w:val="20"/>
                <w:szCs w:val="16"/>
                <w:lang w:val="zh-CN" w:bidi="zh-CN"/>
              </w:rPr>
              <w:t>天）</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知情同意书</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病史</w:t>
            </w:r>
            <w:r>
              <w:rPr>
                <w:sz w:val="20"/>
                <w:szCs w:val="16"/>
              </w:rPr>
              <w:t>/</w:t>
            </w:r>
            <w:r>
              <w:rPr>
                <w:sz w:val="20"/>
                <w:szCs w:val="16"/>
              </w:rPr>
              <w:t>人口学资料</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proofErr w:type="gramStart"/>
            <w:r>
              <w:rPr>
                <w:sz w:val="20"/>
                <w:szCs w:val="16"/>
              </w:rPr>
              <w:t>入排标准</w:t>
            </w:r>
            <w:proofErr w:type="gramEnd"/>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生命体征</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实验室检查</w:t>
            </w:r>
            <w:r>
              <w:rPr>
                <w:sz w:val="20"/>
                <w:szCs w:val="16"/>
                <w:vertAlign w:val="superscript"/>
              </w:rPr>
              <w:t xml:space="preserve"> a) b)</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心功能分级（</w:t>
            </w:r>
            <w:r>
              <w:rPr>
                <w:sz w:val="20"/>
                <w:szCs w:val="16"/>
              </w:rPr>
              <w:t>NYHA</w:t>
            </w:r>
            <w:r>
              <w:rPr>
                <w:sz w:val="20"/>
                <w:szCs w:val="16"/>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CCS</w:t>
            </w:r>
            <w:r>
              <w:rPr>
                <w:sz w:val="20"/>
                <w:szCs w:val="16"/>
              </w:rPr>
              <w:t>心绞痛分级</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lang w:val="zh-CN" w:bidi="zh-CN"/>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心肌损伤标记物</w:t>
            </w:r>
            <w:r>
              <w:rPr>
                <w:sz w:val="20"/>
                <w:szCs w:val="16"/>
              </w:rPr>
              <w:t xml:space="preserve"> </w:t>
            </w:r>
            <w:r>
              <w:rPr>
                <w:sz w:val="20"/>
                <w:szCs w:val="16"/>
                <w:vertAlign w:val="superscript"/>
              </w:rPr>
              <w:t>c)</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12</w:t>
            </w:r>
            <w:r>
              <w:rPr>
                <w:sz w:val="20"/>
                <w:szCs w:val="16"/>
              </w:rPr>
              <w:t>导联心电图</w:t>
            </w:r>
            <w:r>
              <w:rPr>
                <w:sz w:val="20"/>
                <w:szCs w:val="16"/>
                <w:vertAlign w:val="superscript"/>
              </w:rPr>
              <w:t xml:space="preserve"> a) d</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左室射血分数</w:t>
            </w:r>
            <w:r>
              <w:rPr>
                <w:sz w:val="20"/>
                <w:szCs w:val="16"/>
                <w:vertAlign w:val="superscript"/>
              </w:rPr>
              <w:t>e</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tcPr>
          <w:p w:rsidR="00CA2089" w:rsidRDefault="00035E4E">
            <w:pPr>
              <w:jc w:val="center"/>
              <w:rPr>
                <w:bCs/>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冠脉造影</w:t>
            </w:r>
            <w:r>
              <w:rPr>
                <w:sz w:val="20"/>
                <w:szCs w:val="16"/>
                <w:vertAlign w:val="superscript"/>
              </w:rPr>
              <w:t>f</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AE/SAE</w:t>
            </w:r>
            <w:r>
              <w:rPr>
                <w:rFonts w:hint="eastAsia"/>
                <w:sz w:val="20"/>
                <w:szCs w:val="16"/>
              </w:rPr>
              <w:t xml:space="preserve"> </w:t>
            </w:r>
            <w:r>
              <w:rPr>
                <w:rFonts w:hint="eastAsia"/>
                <w:sz w:val="20"/>
                <w:szCs w:val="16"/>
                <w:vertAlign w:val="superscript"/>
              </w:rPr>
              <w:t>g</w:t>
            </w:r>
            <w:r>
              <w:rPr>
                <w:rFonts w:hint="eastAsia"/>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vertAlign w:val="superscript"/>
              </w:rPr>
            </w:pPr>
            <w:r>
              <w:rPr>
                <w:sz w:val="20"/>
                <w:szCs w:val="16"/>
              </w:rPr>
              <w:t>合并用药</w:t>
            </w:r>
            <w:r>
              <w:rPr>
                <w:sz w:val="20"/>
                <w:szCs w:val="16"/>
              </w:rPr>
              <w:t>/</w:t>
            </w:r>
            <w:r>
              <w:rPr>
                <w:sz w:val="20"/>
                <w:szCs w:val="16"/>
              </w:rPr>
              <w:t>治疗</w:t>
            </w:r>
            <w:r>
              <w:rPr>
                <w:sz w:val="20"/>
                <w:szCs w:val="16"/>
                <w:vertAlign w:val="superscript"/>
              </w:rPr>
              <w:t>i</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IVUS</w:t>
            </w:r>
            <w:r>
              <w:rPr>
                <w:sz w:val="20"/>
                <w:szCs w:val="16"/>
              </w:rPr>
              <w:t>检查</w:t>
            </w:r>
            <w:r>
              <w:rPr>
                <w:rFonts w:hint="eastAsia"/>
                <w:sz w:val="20"/>
                <w:szCs w:val="16"/>
                <w:vertAlign w:val="superscript"/>
              </w:rPr>
              <w:t>h</w:t>
            </w:r>
            <w:r>
              <w:rPr>
                <w:sz w:val="20"/>
                <w:szCs w:val="16"/>
                <w:vertAlign w:val="superscript"/>
              </w:rPr>
              <w:t>）</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TIMI</w:t>
            </w:r>
            <w:r>
              <w:rPr>
                <w:sz w:val="20"/>
                <w:szCs w:val="16"/>
              </w:rPr>
              <w:t>分级</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器械使用</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bCs/>
                <w:sz w:val="20"/>
                <w:szCs w:val="16"/>
                <w:lang w:val="zh-CN" w:bidi="zh-CN"/>
              </w:rPr>
            </w:pP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器械缺陷</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CA2089">
            <w:pPr>
              <w:jc w:val="center"/>
              <w:rPr>
                <w:sz w:val="20"/>
                <w:szCs w:val="16"/>
              </w:rPr>
            </w:pPr>
          </w:p>
        </w:tc>
        <w:tc>
          <w:tcPr>
            <w:tcW w:w="1650" w:type="dxa"/>
            <w:tcBorders>
              <w:top w:val="single" w:sz="4" w:space="0" w:color="auto"/>
              <w:left w:val="single" w:sz="4" w:space="0" w:color="auto"/>
              <w:bottom w:val="single" w:sz="4" w:space="0" w:color="auto"/>
              <w:right w:val="single" w:sz="4" w:space="0" w:color="auto"/>
            </w:tcBorders>
          </w:tcPr>
          <w:p w:rsidR="00CA2089" w:rsidRDefault="00CA2089">
            <w:pPr>
              <w:jc w:val="center"/>
              <w:rPr>
                <w:sz w:val="20"/>
                <w:szCs w:val="16"/>
              </w:rPr>
            </w:pPr>
          </w:p>
        </w:tc>
      </w:tr>
      <w:tr w:rsidR="00CA2089">
        <w:trPr>
          <w:trHeight w:val="260"/>
        </w:trPr>
        <w:tc>
          <w:tcPr>
            <w:tcW w:w="2263" w:type="dxa"/>
            <w:tcBorders>
              <w:top w:val="single" w:sz="4" w:space="0" w:color="auto"/>
              <w:left w:val="single" w:sz="4" w:space="0" w:color="auto"/>
              <w:bottom w:val="single" w:sz="4" w:space="0" w:color="auto"/>
              <w:right w:val="single" w:sz="4" w:space="0" w:color="auto"/>
            </w:tcBorders>
            <w:vAlign w:val="center"/>
          </w:tcPr>
          <w:p w:rsidR="00CA2089" w:rsidRDefault="00035E4E">
            <w:pPr>
              <w:rPr>
                <w:sz w:val="20"/>
                <w:szCs w:val="16"/>
              </w:rPr>
            </w:pPr>
            <w:r>
              <w:rPr>
                <w:sz w:val="20"/>
                <w:szCs w:val="16"/>
              </w:rPr>
              <w:t>方案偏离</w:t>
            </w:r>
          </w:p>
        </w:tc>
        <w:tc>
          <w:tcPr>
            <w:tcW w:w="1418"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bCs/>
                <w:sz w:val="20"/>
                <w:szCs w:val="16"/>
                <w:lang w:val="zh-CN" w:bidi="zh-CN"/>
              </w:rPr>
            </w:pPr>
            <w:r>
              <w:rPr>
                <w:bCs/>
                <w:sz w:val="20"/>
                <w:szCs w:val="16"/>
              </w:rPr>
              <w:t>√</w:t>
            </w:r>
          </w:p>
        </w:tc>
        <w:tc>
          <w:tcPr>
            <w:tcW w:w="1134"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752"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c>
          <w:tcPr>
            <w:tcW w:w="1650" w:type="dxa"/>
            <w:tcBorders>
              <w:top w:val="single" w:sz="4" w:space="0" w:color="auto"/>
              <w:left w:val="single" w:sz="4" w:space="0" w:color="auto"/>
              <w:bottom w:val="single" w:sz="4" w:space="0" w:color="auto"/>
              <w:right w:val="single" w:sz="4" w:space="0" w:color="auto"/>
            </w:tcBorders>
            <w:vAlign w:val="center"/>
          </w:tcPr>
          <w:p w:rsidR="00CA2089" w:rsidRDefault="00035E4E">
            <w:pPr>
              <w:jc w:val="center"/>
              <w:rPr>
                <w:sz w:val="20"/>
                <w:szCs w:val="16"/>
              </w:rPr>
            </w:pPr>
            <w:r>
              <w:rPr>
                <w:bCs/>
                <w:sz w:val="20"/>
                <w:szCs w:val="16"/>
              </w:rPr>
              <w:t>√</w:t>
            </w:r>
          </w:p>
        </w:tc>
      </w:tr>
    </w:tbl>
    <w:p w:rsidR="00CA2089" w:rsidRDefault="00CA2089"/>
    <w:p w:rsidR="00CA2089" w:rsidRDefault="00035E4E">
      <w:pPr>
        <w:spacing w:line="276" w:lineRule="auto"/>
        <w:rPr>
          <w:sz w:val="22"/>
          <w:szCs w:val="22"/>
        </w:rPr>
      </w:pPr>
      <w:r>
        <w:rPr>
          <w:sz w:val="22"/>
          <w:szCs w:val="22"/>
        </w:rPr>
        <w:t>备注：</w:t>
      </w:r>
    </w:p>
    <w:p w:rsidR="00CA2089" w:rsidRDefault="00035E4E">
      <w:pPr>
        <w:pStyle w:val="afb"/>
        <w:numPr>
          <w:ilvl w:val="0"/>
          <w:numId w:val="14"/>
        </w:numPr>
        <w:jc w:val="both"/>
        <w:rPr>
          <w:sz w:val="21"/>
          <w:szCs w:val="21"/>
          <w:lang w:eastAsia="zh-CN"/>
        </w:rPr>
      </w:pPr>
      <w:r>
        <w:rPr>
          <w:sz w:val="21"/>
          <w:szCs w:val="21"/>
          <w:lang w:eastAsia="zh-CN"/>
        </w:rPr>
        <w:lastRenderedPageBreak/>
        <w:t>访视：访视窗口为术前</w:t>
      </w:r>
      <w:r>
        <w:rPr>
          <w:rFonts w:hint="eastAsia"/>
          <w:sz w:val="21"/>
          <w:szCs w:val="21"/>
          <w:lang w:eastAsia="zh-CN"/>
        </w:rPr>
        <w:t>14</w:t>
      </w:r>
      <w:r>
        <w:rPr>
          <w:sz w:val="21"/>
          <w:szCs w:val="21"/>
          <w:lang w:eastAsia="zh-CN"/>
        </w:rPr>
        <w:t>天内，可以接受术前</w:t>
      </w:r>
      <w:r>
        <w:rPr>
          <w:rFonts w:hint="eastAsia"/>
          <w:sz w:val="21"/>
          <w:szCs w:val="21"/>
          <w:lang w:eastAsia="zh-CN"/>
        </w:rPr>
        <w:t>14</w:t>
      </w:r>
      <w:r>
        <w:rPr>
          <w:sz w:val="21"/>
          <w:szCs w:val="21"/>
          <w:lang w:eastAsia="zh-CN"/>
        </w:rPr>
        <w:t>天内的实验室检查和心电图检查，如果有多次检查，以离手术最近的一次检查为</w:t>
      </w:r>
      <w:r>
        <w:rPr>
          <w:sz w:val="21"/>
          <w:szCs w:val="21"/>
          <w:lang w:eastAsia="zh-CN"/>
        </w:rPr>
        <w:t>EDC</w:t>
      </w:r>
      <w:r>
        <w:rPr>
          <w:sz w:val="21"/>
          <w:szCs w:val="21"/>
          <w:lang w:eastAsia="zh-CN"/>
        </w:rPr>
        <w:t>录入数据；</w:t>
      </w:r>
    </w:p>
    <w:p w:rsidR="00CA2089" w:rsidRDefault="00035E4E">
      <w:pPr>
        <w:pStyle w:val="afb"/>
        <w:numPr>
          <w:ilvl w:val="0"/>
          <w:numId w:val="14"/>
        </w:numPr>
        <w:jc w:val="both"/>
        <w:rPr>
          <w:sz w:val="21"/>
          <w:szCs w:val="21"/>
          <w:lang w:eastAsia="zh-CN"/>
        </w:rPr>
      </w:pPr>
      <w:r>
        <w:rPr>
          <w:sz w:val="21"/>
          <w:szCs w:val="21"/>
          <w:lang w:eastAsia="zh-CN"/>
        </w:rPr>
        <w:t>实验室检查：采集数据包括：</w:t>
      </w:r>
    </w:p>
    <w:p w:rsidR="00CA2089" w:rsidRDefault="00035E4E">
      <w:pPr>
        <w:pStyle w:val="afb"/>
        <w:ind w:left="420"/>
        <w:jc w:val="both"/>
        <w:rPr>
          <w:sz w:val="21"/>
          <w:szCs w:val="21"/>
          <w:lang w:eastAsia="zh-CN"/>
        </w:rPr>
      </w:pPr>
      <w:r>
        <w:rPr>
          <w:sz w:val="21"/>
          <w:szCs w:val="21"/>
          <w:lang w:eastAsia="zh-CN"/>
        </w:rPr>
        <w:t>1</w:t>
      </w:r>
      <w:r>
        <w:rPr>
          <w:sz w:val="21"/>
          <w:szCs w:val="21"/>
          <w:lang w:eastAsia="zh-CN"/>
        </w:rPr>
        <w:t>）血常规：包括红细胞计数（</w:t>
      </w:r>
      <w:r>
        <w:rPr>
          <w:sz w:val="21"/>
          <w:szCs w:val="21"/>
          <w:lang w:eastAsia="zh-CN"/>
        </w:rPr>
        <w:t>RBC</w:t>
      </w:r>
      <w:r>
        <w:rPr>
          <w:sz w:val="21"/>
          <w:szCs w:val="21"/>
          <w:lang w:eastAsia="zh-CN"/>
        </w:rPr>
        <w:t>）、血红蛋白含量（</w:t>
      </w:r>
      <w:r>
        <w:rPr>
          <w:sz w:val="21"/>
          <w:szCs w:val="21"/>
          <w:lang w:eastAsia="zh-CN"/>
        </w:rPr>
        <w:t>Hb</w:t>
      </w:r>
      <w:r>
        <w:rPr>
          <w:sz w:val="21"/>
          <w:szCs w:val="21"/>
          <w:lang w:eastAsia="zh-CN"/>
        </w:rPr>
        <w:t>）、白细胞计数（</w:t>
      </w:r>
      <w:r>
        <w:rPr>
          <w:sz w:val="21"/>
          <w:szCs w:val="21"/>
          <w:lang w:eastAsia="zh-CN"/>
        </w:rPr>
        <w:t>WBC</w:t>
      </w:r>
      <w:r>
        <w:rPr>
          <w:sz w:val="21"/>
          <w:szCs w:val="21"/>
          <w:lang w:eastAsia="zh-CN"/>
        </w:rPr>
        <w:t>）及血小板计数（</w:t>
      </w:r>
      <w:r>
        <w:rPr>
          <w:sz w:val="21"/>
          <w:szCs w:val="21"/>
          <w:lang w:eastAsia="zh-CN"/>
        </w:rPr>
        <w:t>PLT</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2</w:t>
      </w:r>
      <w:r>
        <w:rPr>
          <w:sz w:val="21"/>
          <w:szCs w:val="21"/>
          <w:lang w:eastAsia="zh-CN"/>
        </w:rPr>
        <w:t>）凝血四项：包括凝血酶原时间（</w:t>
      </w:r>
      <w:r>
        <w:rPr>
          <w:sz w:val="21"/>
          <w:szCs w:val="21"/>
          <w:lang w:eastAsia="zh-CN"/>
        </w:rPr>
        <w:t>PT</w:t>
      </w:r>
      <w:r>
        <w:rPr>
          <w:sz w:val="21"/>
          <w:szCs w:val="21"/>
          <w:lang w:eastAsia="zh-CN"/>
        </w:rPr>
        <w:t>）、活化部分凝血活酶时间（</w:t>
      </w:r>
      <w:r>
        <w:rPr>
          <w:sz w:val="21"/>
          <w:szCs w:val="21"/>
          <w:lang w:eastAsia="zh-CN"/>
        </w:rPr>
        <w:t>APTT</w:t>
      </w:r>
      <w:r>
        <w:rPr>
          <w:sz w:val="21"/>
          <w:szCs w:val="21"/>
          <w:lang w:eastAsia="zh-CN"/>
        </w:rPr>
        <w:t>）、凝血酶时间（</w:t>
      </w:r>
      <w:r>
        <w:rPr>
          <w:sz w:val="21"/>
          <w:szCs w:val="21"/>
          <w:lang w:eastAsia="zh-CN"/>
        </w:rPr>
        <w:t>TT</w:t>
      </w:r>
      <w:r>
        <w:rPr>
          <w:sz w:val="21"/>
          <w:szCs w:val="21"/>
          <w:lang w:eastAsia="zh-CN"/>
        </w:rPr>
        <w:t>）</w:t>
      </w:r>
      <w:r>
        <w:rPr>
          <w:rFonts w:hint="eastAsia"/>
          <w:sz w:val="21"/>
          <w:szCs w:val="21"/>
          <w:lang w:eastAsia="zh-CN"/>
        </w:rPr>
        <w:t>/</w:t>
      </w:r>
      <w:r>
        <w:rPr>
          <w:rFonts w:hint="eastAsia"/>
          <w:sz w:val="21"/>
          <w:szCs w:val="21"/>
          <w:lang w:eastAsia="zh-CN"/>
        </w:rPr>
        <w:t>纤维蛋白原降解产物测定（</w:t>
      </w:r>
      <w:r>
        <w:rPr>
          <w:rFonts w:hint="eastAsia"/>
          <w:sz w:val="21"/>
          <w:szCs w:val="21"/>
          <w:lang w:eastAsia="zh-CN"/>
        </w:rPr>
        <w:t>FDP</w:t>
      </w:r>
      <w:r>
        <w:rPr>
          <w:rFonts w:hint="eastAsia"/>
          <w:sz w:val="21"/>
          <w:szCs w:val="21"/>
          <w:lang w:eastAsia="zh-CN"/>
        </w:rPr>
        <w:t>）</w:t>
      </w:r>
      <w:r>
        <w:rPr>
          <w:rFonts w:hint="eastAsia"/>
          <w:sz w:val="21"/>
          <w:szCs w:val="21"/>
          <w:lang w:eastAsia="zh-CN"/>
        </w:rPr>
        <w:t>+</w:t>
      </w:r>
      <w:r>
        <w:rPr>
          <w:rFonts w:hint="eastAsia"/>
          <w:sz w:val="21"/>
          <w:szCs w:val="21"/>
          <w:lang w:eastAsia="zh-CN"/>
        </w:rPr>
        <w:t>血浆纤维蛋白原测定（</w:t>
      </w:r>
      <w:r>
        <w:rPr>
          <w:rFonts w:hint="eastAsia"/>
          <w:sz w:val="21"/>
          <w:szCs w:val="21"/>
          <w:lang w:eastAsia="zh-CN"/>
        </w:rPr>
        <w:t>FBG</w:t>
      </w:r>
      <w:r>
        <w:rPr>
          <w:rFonts w:hint="eastAsia"/>
          <w:sz w:val="21"/>
          <w:szCs w:val="21"/>
          <w:lang w:eastAsia="zh-CN"/>
        </w:rPr>
        <w:t>）</w:t>
      </w:r>
      <w:r>
        <w:rPr>
          <w:sz w:val="21"/>
          <w:szCs w:val="21"/>
          <w:lang w:eastAsia="zh-CN"/>
        </w:rPr>
        <w:t>、纤维蛋白原（</w:t>
      </w:r>
      <w:r>
        <w:rPr>
          <w:sz w:val="21"/>
          <w:szCs w:val="21"/>
          <w:lang w:eastAsia="zh-CN"/>
        </w:rPr>
        <w:t>FIB</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3</w:t>
      </w:r>
      <w:r>
        <w:rPr>
          <w:sz w:val="21"/>
          <w:szCs w:val="21"/>
          <w:lang w:eastAsia="zh-CN"/>
        </w:rPr>
        <w:t>）肝功能检查：谷草转氨酶（</w:t>
      </w:r>
      <w:r>
        <w:rPr>
          <w:sz w:val="21"/>
          <w:szCs w:val="21"/>
          <w:lang w:eastAsia="zh-CN"/>
        </w:rPr>
        <w:t>AST</w:t>
      </w:r>
      <w:r>
        <w:rPr>
          <w:sz w:val="21"/>
          <w:szCs w:val="21"/>
          <w:lang w:eastAsia="zh-CN"/>
        </w:rPr>
        <w:t>）、谷丙转氨酶（</w:t>
      </w:r>
      <w:r>
        <w:rPr>
          <w:sz w:val="21"/>
          <w:szCs w:val="21"/>
          <w:lang w:eastAsia="zh-CN"/>
        </w:rPr>
        <w:t>ALT</w:t>
      </w:r>
      <w:r>
        <w:rPr>
          <w:sz w:val="21"/>
          <w:szCs w:val="21"/>
          <w:lang w:eastAsia="zh-CN"/>
        </w:rPr>
        <w:t>）；</w:t>
      </w:r>
    </w:p>
    <w:p w:rsidR="00CA2089" w:rsidRDefault="00035E4E">
      <w:pPr>
        <w:pStyle w:val="afb"/>
        <w:ind w:left="420"/>
        <w:jc w:val="both"/>
        <w:rPr>
          <w:sz w:val="21"/>
          <w:szCs w:val="21"/>
          <w:lang w:eastAsia="zh-CN"/>
        </w:rPr>
      </w:pPr>
      <w:r>
        <w:rPr>
          <w:sz w:val="21"/>
          <w:szCs w:val="21"/>
          <w:lang w:eastAsia="zh-CN"/>
        </w:rPr>
        <w:t>4</w:t>
      </w:r>
      <w:r>
        <w:rPr>
          <w:sz w:val="21"/>
          <w:szCs w:val="21"/>
          <w:lang w:eastAsia="zh-CN"/>
        </w:rPr>
        <w:t>）肾功能检查：血尿素（</w:t>
      </w:r>
      <w:r>
        <w:rPr>
          <w:sz w:val="21"/>
          <w:szCs w:val="21"/>
          <w:lang w:eastAsia="zh-CN"/>
        </w:rPr>
        <w:t>Urea</w:t>
      </w:r>
      <w:r>
        <w:rPr>
          <w:sz w:val="21"/>
          <w:szCs w:val="21"/>
          <w:lang w:eastAsia="zh-CN"/>
        </w:rPr>
        <w:t>）、血肌</w:t>
      </w:r>
      <w:proofErr w:type="gramStart"/>
      <w:r>
        <w:rPr>
          <w:sz w:val="21"/>
          <w:szCs w:val="21"/>
          <w:lang w:eastAsia="zh-CN"/>
        </w:rPr>
        <w:t>酐</w:t>
      </w:r>
      <w:proofErr w:type="gramEnd"/>
      <w:r>
        <w:rPr>
          <w:sz w:val="21"/>
          <w:szCs w:val="21"/>
          <w:lang w:eastAsia="zh-CN"/>
        </w:rPr>
        <w:t>（</w:t>
      </w:r>
      <w:r>
        <w:rPr>
          <w:sz w:val="21"/>
          <w:szCs w:val="21"/>
          <w:lang w:eastAsia="zh-CN"/>
        </w:rPr>
        <w:t>Scr</w:t>
      </w:r>
      <w:r>
        <w:rPr>
          <w:sz w:val="21"/>
          <w:szCs w:val="21"/>
          <w:lang w:eastAsia="zh-CN"/>
        </w:rPr>
        <w:t>）、估算的肾小球滤过率（</w:t>
      </w:r>
      <w:r>
        <w:rPr>
          <w:sz w:val="21"/>
          <w:szCs w:val="21"/>
          <w:lang w:eastAsia="zh-CN"/>
        </w:rPr>
        <w:t>eGFR</w:t>
      </w:r>
      <w:r>
        <w:rPr>
          <w:sz w:val="21"/>
          <w:szCs w:val="21"/>
          <w:lang w:eastAsia="zh-CN"/>
        </w:rPr>
        <w:t>）；</w:t>
      </w:r>
    </w:p>
    <w:p w:rsidR="00CA2089" w:rsidRDefault="00035E4E">
      <w:pPr>
        <w:pStyle w:val="afb"/>
        <w:ind w:left="420"/>
        <w:jc w:val="both"/>
        <w:rPr>
          <w:sz w:val="21"/>
          <w:szCs w:val="21"/>
          <w:lang w:eastAsia="zh-CN"/>
        </w:rPr>
      </w:pPr>
      <w:r>
        <w:rPr>
          <w:rFonts w:hint="eastAsia"/>
          <w:sz w:val="21"/>
          <w:szCs w:val="21"/>
          <w:lang w:eastAsia="zh-CN"/>
        </w:rPr>
        <w:t>5</w:t>
      </w:r>
      <w:r>
        <w:rPr>
          <w:sz w:val="21"/>
          <w:szCs w:val="21"/>
          <w:lang w:eastAsia="zh-CN"/>
        </w:rPr>
        <w:t>）实验室检查接受知情同意之前的已经产生的、且在术前</w:t>
      </w:r>
      <w:r>
        <w:rPr>
          <w:sz w:val="21"/>
          <w:szCs w:val="21"/>
          <w:lang w:eastAsia="zh-CN"/>
        </w:rPr>
        <w:t>7</w:t>
      </w:r>
      <w:r>
        <w:rPr>
          <w:sz w:val="21"/>
          <w:szCs w:val="21"/>
          <w:lang w:eastAsia="zh-CN"/>
        </w:rPr>
        <w:t>天内的检查结果。</w:t>
      </w:r>
    </w:p>
    <w:p w:rsidR="00CA2089" w:rsidRDefault="00035E4E">
      <w:pPr>
        <w:pStyle w:val="afb"/>
        <w:numPr>
          <w:ilvl w:val="0"/>
          <w:numId w:val="14"/>
        </w:numPr>
        <w:rPr>
          <w:sz w:val="21"/>
          <w:szCs w:val="21"/>
          <w:lang w:eastAsia="zh-CN"/>
        </w:rPr>
      </w:pPr>
      <w:r>
        <w:rPr>
          <w:sz w:val="21"/>
          <w:szCs w:val="21"/>
          <w:lang w:eastAsia="zh-CN"/>
        </w:rPr>
        <w:t>心肌损伤标记物需在术前</w:t>
      </w:r>
      <w:r>
        <w:rPr>
          <w:rFonts w:hint="eastAsia"/>
          <w:sz w:val="21"/>
          <w:szCs w:val="21"/>
          <w:lang w:eastAsia="zh-CN"/>
        </w:rPr>
        <w:t>72</w:t>
      </w:r>
      <w:r>
        <w:rPr>
          <w:sz w:val="21"/>
          <w:szCs w:val="21"/>
          <w:lang w:eastAsia="zh-CN"/>
        </w:rPr>
        <w:t>小时内采集：</w:t>
      </w:r>
    </w:p>
    <w:p w:rsidR="00CA2089" w:rsidRDefault="00035E4E">
      <w:pPr>
        <w:pStyle w:val="afb"/>
        <w:ind w:left="420"/>
        <w:rPr>
          <w:sz w:val="21"/>
          <w:szCs w:val="21"/>
          <w:lang w:eastAsia="zh-CN"/>
        </w:rPr>
      </w:pPr>
      <w:r>
        <w:rPr>
          <w:sz w:val="21"/>
          <w:szCs w:val="21"/>
          <w:lang w:eastAsia="zh-CN"/>
        </w:rPr>
        <w:t>1</w:t>
      </w:r>
      <w:r>
        <w:rPr>
          <w:sz w:val="21"/>
          <w:szCs w:val="21"/>
          <w:lang w:eastAsia="zh-CN"/>
        </w:rPr>
        <w:t>）</w:t>
      </w:r>
      <w:r>
        <w:rPr>
          <w:sz w:val="21"/>
          <w:szCs w:val="21"/>
          <w:lang w:eastAsia="zh-CN"/>
        </w:rPr>
        <w:t xml:space="preserve"> 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w:t>
      </w:r>
    </w:p>
    <w:p w:rsidR="00CA2089" w:rsidRDefault="00035E4E">
      <w:pPr>
        <w:pStyle w:val="afb"/>
        <w:ind w:left="420"/>
        <w:jc w:val="both"/>
        <w:rPr>
          <w:sz w:val="21"/>
          <w:szCs w:val="21"/>
          <w:lang w:eastAsia="zh-CN"/>
        </w:rPr>
      </w:pPr>
      <w:r>
        <w:rPr>
          <w:sz w:val="21"/>
          <w:szCs w:val="21"/>
          <w:lang w:eastAsia="zh-CN"/>
        </w:rPr>
        <w:t>2</w:t>
      </w:r>
      <w:r>
        <w:rPr>
          <w:sz w:val="21"/>
          <w:szCs w:val="21"/>
          <w:lang w:eastAsia="zh-CN"/>
        </w:rPr>
        <w:t>）</w:t>
      </w:r>
      <w:r>
        <w:rPr>
          <w:sz w:val="21"/>
          <w:szCs w:val="21"/>
          <w:lang w:eastAsia="zh-CN"/>
        </w:rPr>
        <w:t xml:space="preserve"> </w:t>
      </w:r>
      <w:r>
        <w:rPr>
          <w:sz w:val="21"/>
          <w:szCs w:val="21"/>
          <w:lang w:eastAsia="zh-CN"/>
        </w:rPr>
        <w:t>如果受试者术后或者参加研究期间发生了心肌梗死，将收集</w:t>
      </w:r>
      <w:r>
        <w:rPr>
          <w:sz w:val="21"/>
          <w:szCs w:val="21"/>
          <w:lang w:eastAsia="zh-CN"/>
        </w:rPr>
        <w:t>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肌钙蛋白检查值。如果观察到</w:t>
      </w:r>
      <w:r>
        <w:rPr>
          <w:rFonts w:hint="eastAsia"/>
          <w:sz w:val="21"/>
          <w:szCs w:val="21"/>
          <w:lang w:eastAsia="zh-CN"/>
        </w:rPr>
        <w:t>任</w:t>
      </w:r>
      <w:r>
        <w:rPr>
          <w:sz w:val="21"/>
          <w:szCs w:val="21"/>
          <w:lang w:eastAsia="zh-CN"/>
        </w:rPr>
        <w:t>何</w:t>
      </w:r>
      <w:r>
        <w:rPr>
          <w:sz w:val="21"/>
          <w:szCs w:val="21"/>
          <w:lang w:eastAsia="zh-CN"/>
        </w:rPr>
        <w:t>CK</w:t>
      </w:r>
      <w:r>
        <w:rPr>
          <w:rFonts w:hint="eastAsia"/>
          <w:sz w:val="21"/>
          <w:szCs w:val="21"/>
          <w:lang w:eastAsia="zh-CN"/>
        </w:rPr>
        <w:t>或</w:t>
      </w:r>
      <w:r>
        <w:rPr>
          <w:rFonts w:hint="eastAsia"/>
          <w:sz w:val="21"/>
          <w:szCs w:val="21"/>
          <w:lang w:eastAsia="zh-CN"/>
        </w:rPr>
        <w:t>C</w:t>
      </w:r>
      <w:r>
        <w:rPr>
          <w:sz w:val="21"/>
          <w:szCs w:val="21"/>
          <w:lang w:eastAsia="zh-CN"/>
        </w:rPr>
        <w:t>K-MB</w:t>
      </w:r>
      <w:r>
        <w:rPr>
          <w:sz w:val="21"/>
          <w:szCs w:val="21"/>
          <w:lang w:eastAsia="zh-CN"/>
        </w:rPr>
        <w:t>值的升高，应根据当地医院医疗常规对</w:t>
      </w:r>
      <w:r>
        <w:rPr>
          <w:sz w:val="21"/>
          <w:szCs w:val="21"/>
          <w:lang w:eastAsia="zh-CN"/>
        </w:rPr>
        <w:t>CK</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CK-MB</w:t>
      </w:r>
      <w:r>
        <w:rPr>
          <w:sz w:val="21"/>
          <w:szCs w:val="21"/>
          <w:lang w:eastAsia="zh-CN"/>
        </w:rPr>
        <w:t>和</w:t>
      </w:r>
      <w:r>
        <w:rPr>
          <w:rFonts w:hint="eastAsia"/>
          <w:sz w:val="21"/>
          <w:szCs w:val="21"/>
          <w:lang w:eastAsia="zh-CN"/>
        </w:rPr>
        <w:t>/</w:t>
      </w:r>
      <w:r>
        <w:rPr>
          <w:rFonts w:hint="eastAsia"/>
          <w:sz w:val="21"/>
          <w:szCs w:val="21"/>
          <w:lang w:eastAsia="zh-CN"/>
        </w:rPr>
        <w:t>或</w:t>
      </w:r>
      <w:r>
        <w:rPr>
          <w:sz w:val="21"/>
          <w:szCs w:val="21"/>
          <w:lang w:eastAsia="zh-CN"/>
        </w:rPr>
        <w:t>肌钙蛋白持续进行测定。从初次观察到升高开始直至恢复正常水平或受试者出院，并记录在适当的</w:t>
      </w:r>
      <w:r>
        <w:rPr>
          <w:sz w:val="21"/>
          <w:szCs w:val="21"/>
          <w:lang w:eastAsia="zh-CN"/>
        </w:rPr>
        <w:t>CRF</w:t>
      </w:r>
      <w:r>
        <w:rPr>
          <w:sz w:val="21"/>
          <w:szCs w:val="21"/>
          <w:lang w:eastAsia="zh-CN"/>
        </w:rPr>
        <w:t>内；</w:t>
      </w:r>
    </w:p>
    <w:p w:rsidR="00CA2089" w:rsidRDefault="00035E4E">
      <w:pPr>
        <w:pStyle w:val="afb"/>
        <w:numPr>
          <w:ilvl w:val="0"/>
          <w:numId w:val="14"/>
        </w:numPr>
        <w:jc w:val="both"/>
        <w:rPr>
          <w:sz w:val="21"/>
          <w:szCs w:val="21"/>
          <w:lang w:eastAsia="zh-CN"/>
        </w:rPr>
      </w:pPr>
      <w:r>
        <w:rPr>
          <w:sz w:val="21"/>
          <w:szCs w:val="21"/>
          <w:lang w:eastAsia="zh-CN"/>
        </w:rPr>
        <w:t>术前</w:t>
      </w:r>
      <w:r>
        <w:rPr>
          <w:sz w:val="21"/>
          <w:szCs w:val="21"/>
          <w:lang w:eastAsia="zh-CN"/>
        </w:rPr>
        <w:t>7</w:t>
      </w:r>
      <w:r>
        <w:rPr>
          <w:sz w:val="21"/>
          <w:szCs w:val="21"/>
          <w:lang w:eastAsia="zh-CN"/>
        </w:rPr>
        <w:t>天内和术后</w:t>
      </w:r>
      <w:r>
        <w:rPr>
          <w:sz w:val="21"/>
          <w:szCs w:val="21"/>
          <w:lang w:eastAsia="zh-CN"/>
        </w:rPr>
        <w:t>24</w:t>
      </w:r>
      <w:r>
        <w:rPr>
          <w:sz w:val="21"/>
          <w:szCs w:val="21"/>
          <w:lang w:eastAsia="zh-CN"/>
        </w:rPr>
        <w:t>小时内或者出院前（以</w:t>
      </w:r>
      <w:proofErr w:type="gramStart"/>
      <w:r>
        <w:rPr>
          <w:sz w:val="21"/>
          <w:szCs w:val="21"/>
          <w:lang w:eastAsia="zh-CN"/>
        </w:rPr>
        <w:t>早发生</w:t>
      </w:r>
      <w:proofErr w:type="gramEnd"/>
      <w:r>
        <w:rPr>
          <w:sz w:val="21"/>
          <w:szCs w:val="21"/>
          <w:lang w:eastAsia="zh-CN"/>
        </w:rPr>
        <w:t>的为准），需查</w:t>
      </w:r>
      <w:r>
        <w:rPr>
          <w:sz w:val="21"/>
          <w:szCs w:val="21"/>
          <w:lang w:eastAsia="zh-CN"/>
        </w:rPr>
        <w:t>12</w:t>
      </w:r>
      <w:r>
        <w:rPr>
          <w:sz w:val="21"/>
          <w:szCs w:val="21"/>
          <w:lang w:eastAsia="zh-CN"/>
        </w:rPr>
        <w:t>导联心电图。</w:t>
      </w:r>
    </w:p>
    <w:p w:rsidR="00CA2089" w:rsidRDefault="00035E4E">
      <w:pPr>
        <w:pStyle w:val="af9"/>
        <w:numPr>
          <w:ilvl w:val="0"/>
          <w:numId w:val="14"/>
        </w:numPr>
        <w:ind w:firstLineChars="0"/>
        <w:rPr>
          <w:szCs w:val="18"/>
        </w:rPr>
      </w:pPr>
      <w:r>
        <w:rPr>
          <w:szCs w:val="18"/>
        </w:rPr>
        <w:t>可接受术前</w:t>
      </w:r>
      <w:r>
        <w:rPr>
          <w:szCs w:val="18"/>
        </w:rPr>
        <w:t>14</w:t>
      </w:r>
      <w:r>
        <w:rPr>
          <w:rFonts w:hint="eastAsia"/>
          <w:szCs w:val="18"/>
        </w:rPr>
        <w:t>天</w:t>
      </w:r>
      <w:r>
        <w:rPr>
          <w:szCs w:val="18"/>
        </w:rPr>
        <w:t>内的左室射血分数值。</w:t>
      </w:r>
    </w:p>
    <w:p w:rsidR="00CA2089" w:rsidRDefault="00035E4E">
      <w:pPr>
        <w:pStyle w:val="af9"/>
        <w:numPr>
          <w:ilvl w:val="0"/>
          <w:numId w:val="14"/>
        </w:numPr>
        <w:ind w:firstLineChars="0"/>
        <w:rPr>
          <w:szCs w:val="18"/>
        </w:rPr>
      </w:pPr>
      <w:r>
        <w:rPr>
          <w:szCs w:val="18"/>
        </w:rPr>
        <w:t>接受外院及本院在知情前</w:t>
      </w:r>
      <w:r>
        <w:rPr>
          <w:szCs w:val="18"/>
        </w:rPr>
        <w:t>6</w:t>
      </w:r>
      <w:r>
        <w:rPr>
          <w:szCs w:val="18"/>
        </w:rPr>
        <w:t>个月内的冠脉造影</w:t>
      </w:r>
      <w:r>
        <w:rPr>
          <w:rFonts w:hint="eastAsia"/>
          <w:szCs w:val="18"/>
        </w:rPr>
        <w:t>，如果筛选期冠脉造影与术中随机前冠脉造影为同一检查，则在</w:t>
      </w:r>
      <w:r>
        <w:rPr>
          <w:rFonts w:hint="eastAsia"/>
          <w:szCs w:val="18"/>
        </w:rPr>
        <w:t>EDC</w:t>
      </w:r>
      <w:r>
        <w:rPr>
          <w:rFonts w:hint="eastAsia"/>
          <w:szCs w:val="18"/>
        </w:rPr>
        <w:t>中录入一次数据即可</w:t>
      </w:r>
      <w:r>
        <w:rPr>
          <w:szCs w:val="18"/>
        </w:rPr>
        <w:t>。</w:t>
      </w:r>
    </w:p>
    <w:p w:rsidR="00CA2089" w:rsidRDefault="00035E4E">
      <w:pPr>
        <w:pStyle w:val="af9"/>
        <w:numPr>
          <w:ilvl w:val="0"/>
          <w:numId w:val="14"/>
        </w:numPr>
        <w:ind w:firstLineChars="0"/>
        <w:rPr>
          <w:szCs w:val="18"/>
        </w:rPr>
      </w:pPr>
      <w:r>
        <w:rPr>
          <w:szCs w:val="18"/>
        </w:rPr>
        <w:t>不良事件信息（如不良事件和严重不良事件）将从签署知情同意书开始收集，直至完成随访评估。</w:t>
      </w:r>
    </w:p>
    <w:p w:rsidR="00CA2089" w:rsidRDefault="00035E4E">
      <w:pPr>
        <w:pStyle w:val="afb"/>
        <w:numPr>
          <w:ilvl w:val="0"/>
          <w:numId w:val="14"/>
        </w:numPr>
        <w:jc w:val="both"/>
        <w:rPr>
          <w:sz w:val="21"/>
          <w:szCs w:val="21"/>
          <w:lang w:eastAsia="zh-CN"/>
        </w:rPr>
      </w:pPr>
      <w:r>
        <w:rPr>
          <w:rFonts w:hint="eastAsia"/>
          <w:sz w:val="21"/>
          <w:szCs w:val="21"/>
          <w:lang w:eastAsia="zh-CN"/>
        </w:rPr>
        <w:t>IVUS</w:t>
      </w:r>
      <w:r>
        <w:rPr>
          <w:rFonts w:hint="eastAsia"/>
          <w:sz w:val="21"/>
          <w:szCs w:val="21"/>
          <w:lang w:eastAsia="zh-CN"/>
        </w:rPr>
        <w:t>检查：筛选期可接受外院及本院在知情前</w:t>
      </w:r>
      <w:r>
        <w:rPr>
          <w:rFonts w:hint="eastAsia"/>
          <w:sz w:val="21"/>
          <w:szCs w:val="21"/>
          <w:lang w:eastAsia="zh-CN"/>
        </w:rPr>
        <w:t>6</w:t>
      </w:r>
      <w:r>
        <w:rPr>
          <w:rFonts w:hint="eastAsia"/>
          <w:sz w:val="21"/>
          <w:szCs w:val="21"/>
          <w:lang w:eastAsia="zh-CN"/>
        </w:rPr>
        <w:t>个月内的结果；术中适用于</w:t>
      </w:r>
      <w:r>
        <w:rPr>
          <w:rFonts w:hint="eastAsia"/>
          <w:sz w:val="21"/>
          <w:szCs w:val="21"/>
          <w:lang w:eastAsia="zh-CN"/>
        </w:rPr>
        <w:t>IVUS</w:t>
      </w:r>
      <w:r>
        <w:rPr>
          <w:rFonts w:hint="eastAsia"/>
          <w:sz w:val="21"/>
          <w:szCs w:val="21"/>
          <w:lang w:eastAsia="zh-CN"/>
        </w:rPr>
        <w:t>亚组受试者。</w:t>
      </w:r>
    </w:p>
    <w:p w:rsidR="00CA2089" w:rsidRDefault="00035E4E">
      <w:pPr>
        <w:pStyle w:val="afb"/>
        <w:numPr>
          <w:ilvl w:val="0"/>
          <w:numId w:val="14"/>
        </w:numPr>
        <w:jc w:val="both"/>
        <w:rPr>
          <w:sz w:val="21"/>
          <w:szCs w:val="21"/>
          <w:lang w:eastAsia="zh-CN"/>
        </w:rPr>
      </w:pPr>
      <w:r>
        <w:rPr>
          <w:sz w:val="21"/>
          <w:szCs w:val="21"/>
          <w:lang w:eastAsia="zh-CN"/>
        </w:rPr>
        <w:t>合并用药：记录合并用药的种类：</w:t>
      </w:r>
      <w:r>
        <w:rPr>
          <w:rFonts w:hint="eastAsia"/>
          <w:sz w:val="21"/>
          <w:szCs w:val="21"/>
          <w:lang w:eastAsia="zh-CN"/>
        </w:rPr>
        <w:t>抗凝抗血小板用药、降脂、降压、治疗心衰等心血管疾病用药</w:t>
      </w:r>
      <w:r>
        <w:rPr>
          <w:sz w:val="21"/>
          <w:szCs w:val="21"/>
          <w:lang w:eastAsia="zh-CN"/>
        </w:rPr>
        <w:t>、现病史用药、</w:t>
      </w:r>
      <w:r>
        <w:rPr>
          <w:sz w:val="21"/>
          <w:szCs w:val="21"/>
          <w:lang w:eastAsia="zh-CN"/>
        </w:rPr>
        <w:t>AE</w:t>
      </w:r>
      <w:r>
        <w:rPr>
          <w:sz w:val="21"/>
          <w:szCs w:val="21"/>
          <w:lang w:eastAsia="zh-CN"/>
        </w:rPr>
        <w:t>及</w:t>
      </w:r>
      <w:r>
        <w:rPr>
          <w:sz w:val="21"/>
          <w:szCs w:val="21"/>
          <w:lang w:eastAsia="zh-CN"/>
        </w:rPr>
        <w:t>SAE</w:t>
      </w:r>
      <w:r>
        <w:rPr>
          <w:sz w:val="21"/>
          <w:szCs w:val="21"/>
          <w:lang w:eastAsia="zh-CN"/>
        </w:rPr>
        <w:t>伴随用药。收集时间为签署知情同意书开始，直至完成随访评估。</w:t>
      </w:r>
    </w:p>
    <w:p w:rsidR="00CA2089" w:rsidRDefault="00035E4E">
      <w:pPr>
        <w:pStyle w:val="afb"/>
        <w:numPr>
          <w:ilvl w:val="0"/>
          <w:numId w:val="14"/>
        </w:numPr>
        <w:jc w:val="both"/>
        <w:rPr>
          <w:sz w:val="21"/>
          <w:szCs w:val="21"/>
          <w:lang w:eastAsia="zh-CN"/>
        </w:rPr>
      </w:pPr>
      <w:r>
        <w:rPr>
          <w:rFonts w:hint="eastAsia"/>
          <w:sz w:val="21"/>
          <w:szCs w:val="21"/>
          <w:lang w:eastAsia="zh-CN"/>
        </w:rPr>
        <w:t>随访期：术后</w:t>
      </w:r>
      <w:r>
        <w:rPr>
          <w:rFonts w:hint="eastAsia"/>
          <w:sz w:val="21"/>
          <w:szCs w:val="21"/>
          <w:lang w:eastAsia="zh-CN"/>
        </w:rPr>
        <w:t>1</w:t>
      </w:r>
      <w:r>
        <w:rPr>
          <w:rFonts w:hint="eastAsia"/>
          <w:sz w:val="21"/>
          <w:szCs w:val="21"/>
          <w:lang w:eastAsia="zh-CN"/>
        </w:rPr>
        <w:t>个月（±</w:t>
      </w:r>
      <w:r>
        <w:rPr>
          <w:rFonts w:hint="eastAsia"/>
          <w:sz w:val="21"/>
          <w:szCs w:val="21"/>
          <w:lang w:eastAsia="zh-CN"/>
        </w:rPr>
        <w:t>7</w:t>
      </w:r>
      <w:r>
        <w:rPr>
          <w:rFonts w:hint="eastAsia"/>
          <w:sz w:val="21"/>
          <w:szCs w:val="21"/>
          <w:lang w:eastAsia="zh-CN"/>
        </w:rPr>
        <w:t>天）、术后</w:t>
      </w:r>
      <w:r>
        <w:rPr>
          <w:rFonts w:hint="eastAsia"/>
          <w:sz w:val="21"/>
          <w:szCs w:val="21"/>
          <w:lang w:eastAsia="zh-CN"/>
        </w:rPr>
        <w:t>6</w:t>
      </w:r>
      <w:r>
        <w:rPr>
          <w:rFonts w:hint="eastAsia"/>
          <w:sz w:val="21"/>
          <w:szCs w:val="21"/>
          <w:lang w:eastAsia="zh-CN"/>
        </w:rPr>
        <w:t>个月（±</w:t>
      </w:r>
      <w:r>
        <w:rPr>
          <w:rFonts w:hint="eastAsia"/>
          <w:sz w:val="21"/>
          <w:szCs w:val="21"/>
          <w:lang w:eastAsia="zh-CN"/>
        </w:rPr>
        <w:t>14</w:t>
      </w:r>
      <w:r>
        <w:rPr>
          <w:rFonts w:hint="eastAsia"/>
          <w:sz w:val="21"/>
          <w:szCs w:val="21"/>
          <w:lang w:eastAsia="zh-CN"/>
        </w:rPr>
        <w:t>天）为电话随访。</w:t>
      </w:r>
    </w:p>
    <w:p w:rsidR="00CA2089" w:rsidRDefault="00CA2089">
      <w:pPr>
        <w:pStyle w:val="af9"/>
        <w:ind w:left="442" w:firstLineChars="0" w:firstLine="0"/>
        <w:rPr>
          <w:sz w:val="16"/>
          <w:szCs w:val="16"/>
        </w:rPr>
      </w:pP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试验实施</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1</w:t>
      </w:r>
      <w:r>
        <w:rPr>
          <w:b/>
          <w:sz w:val="28"/>
          <w:szCs w:val="28"/>
        </w:rPr>
        <w:t>：筛选期（第</w:t>
      </w:r>
      <w:r>
        <w:rPr>
          <w:b/>
          <w:sz w:val="28"/>
          <w:szCs w:val="28"/>
        </w:rPr>
        <w:t>-</w:t>
      </w:r>
      <w:r>
        <w:rPr>
          <w:rFonts w:hint="eastAsia"/>
          <w:b/>
          <w:sz w:val="28"/>
          <w:szCs w:val="28"/>
        </w:rPr>
        <w:t>14</w:t>
      </w:r>
      <w:r>
        <w:rPr>
          <w:b/>
          <w:sz w:val="28"/>
          <w:szCs w:val="28"/>
        </w:rPr>
        <w:t>-0</w:t>
      </w:r>
      <w:r>
        <w:rPr>
          <w:b/>
          <w:sz w:val="28"/>
          <w:szCs w:val="28"/>
        </w:rPr>
        <w:t>天）</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）签署知情同意书</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）记录病史</w:t>
      </w:r>
      <w:r>
        <w:rPr>
          <w:sz w:val="28"/>
          <w:szCs w:val="28"/>
        </w:rPr>
        <w:t>/</w:t>
      </w:r>
      <w:r>
        <w:rPr>
          <w:sz w:val="28"/>
          <w:szCs w:val="28"/>
        </w:rPr>
        <w:t>人口学资料：包括年龄（出生日期）、性别、身高、体重、</w:t>
      </w:r>
      <w:r>
        <w:rPr>
          <w:sz w:val="28"/>
          <w:szCs w:val="28"/>
        </w:rPr>
        <w:t>BMI</w:t>
      </w:r>
      <w:r>
        <w:rPr>
          <w:sz w:val="28"/>
          <w:szCs w:val="28"/>
        </w:rPr>
        <w:t>、民族、病史等</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）记录生命体征：包括血压、脉搏、呼吸、体温</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4</w:t>
      </w:r>
      <w:r>
        <w:rPr>
          <w:sz w:val="28"/>
          <w:szCs w:val="28"/>
        </w:rPr>
        <w:t>）实验室检查（血常规、肝肾功能、凝血四项、心肌损伤标记物）</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7</w:t>
      </w:r>
      <w:r>
        <w:rPr>
          <w:sz w:val="28"/>
          <w:szCs w:val="28"/>
        </w:rPr>
        <w:t>）收集左室射血分数</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w:t>
      </w:r>
      <w:r>
        <w:rPr>
          <w:sz w:val="28"/>
          <w:szCs w:val="28"/>
        </w:rPr>
        <w:t>12</w:t>
      </w:r>
      <w:r>
        <w:rPr>
          <w:sz w:val="28"/>
          <w:szCs w:val="28"/>
        </w:rPr>
        <w:t>导联心电图</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9</w:t>
      </w:r>
      <w:r>
        <w:rPr>
          <w:sz w:val="28"/>
          <w:szCs w:val="28"/>
        </w:rPr>
        <w:t>）冠脉造影</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10</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11</w:t>
      </w:r>
      <w:r>
        <w:rPr>
          <w:sz w:val="28"/>
          <w:szCs w:val="28"/>
        </w:rPr>
        <w:t>）根据入选排除标准筛选受试者</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2</w:t>
      </w:r>
      <w:r>
        <w:rPr>
          <w:b/>
          <w:sz w:val="28"/>
          <w:szCs w:val="28"/>
        </w:rPr>
        <w:t>：术中（第</w:t>
      </w:r>
      <w:r>
        <w:rPr>
          <w:b/>
          <w:sz w:val="28"/>
          <w:szCs w:val="28"/>
        </w:rPr>
        <w:t>0</w:t>
      </w:r>
      <w:r>
        <w:rPr>
          <w:b/>
          <w:sz w:val="28"/>
          <w:szCs w:val="28"/>
        </w:rPr>
        <w:t>天）</w:t>
      </w:r>
      <w:r>
        <w:rPr>
          <w:b/>
          <w:sz w:val="28"/>
          <w:szCs w:val="28"/>
        </w:rPr>
        <w:t xml:space="preserve"> </w:t>
      </w:r>
    </w:p>
    <w:p w:rsidR="00CA2089" w:rsidRDefault="00035E4E">
      <w:pPr>
        <w:numPr>
          <w:ilvl w:val="0"/>
          <w:numId w:val="15"/>
        </w:numPr>
        <w:autoSpaceDE w:val="0"/>
        <w:autoSpaceDN w:val="0"/>
        <w:spacing w:line="360" w:lineRule="auto"/>
        <w:ind w:firstLineChars="200" w:firstLine="560"/>
        <w:jc w:val="left"/>
        <w:rPr>
          <w:sz w:val="28"/>
          <w:szCs w:val="28"/>
        </w:rPr>
      </w:pPr>
      <w:r>
        <w:rPr>
          <w:sz w:val="28"/>
          <w:szCs w:val="28"/>
        </w:rPr>
        <w:t>再次核对受试者是否符合入选排除标准</w:t>
      </w:r>
    </w:p>
    <w:p w:rsidR="00CA2089" w:rsidRDefault="00035E4E">
      <w:pPr>
        <w:numPr>
          <w:ilvl w:val="0"/>
          <w:numId w:val="15"/>
        </w:numPr>
        <w:autoSpaceDE w:val="0"/>
        <w:autoSpaceDN w:val="0"/>
        <w:spacing w:line="360" w:lineRule="auto"/>
        <w:ind w:firstLineChars="200" w:firstLine="560"/>
        <w:jc w:val="left"/>
        <w:rPr>
          <w:sz w:val="28"/>
          <w:szCs w:val="28"/>
        </w:rPr>
      </w:pPr>
      <w:r>
        <w:rPr>
          <w:sz w:val="28"/>
          <w:szCs w:val="28"/>
        </w:rPr>
        <w:t>冠脉造影</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）以试验器械通过为目的的预处理</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）预处理（如有）后，目测器械可以通过靶病变后，使用登记系统进行登记</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）记录手术情况</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）记录器械使用情况</w:t>
      </w:r>
    </w:p>
    <w:p w:rsidR="00CA2089" w:rsidRDefault="00035E4E">
      <w:pPr>
        <w:autoSpaceDE w:val="0"/>
        <w:autoSpaceDN w:val="0"/>
        <w:spacing w:line="360" w:lineRule="auto"/>
        <w:ind w:firstLineChars="200" w:firstLine="560"/>
        <w:jc w:val="left"/>
        <w:rPr>
          <w:sz w:val="28"/>
          <w:szCs w:val="28"/>
        </w:rPr>
      </w:pPr>
      <w:r>
        <w:rPr>
          <w:rFonts w:hint="eastAsia"/>
          <w:sz w:val="28"/>
          <w:szCs w:val="28"/>
        </w:rPr>
        <w:t>（</w:t>
      </w:r>
      <w:r>
        <w:rPr>
          <w:rFonts w:hint="eastAsia"/>
          <w:sz w:val="28"/>
          <w:szCs w:val="28"/>
        </w:rPr>
        <w:t>7</w:t>
      </w:r>
      <w:r>
        <w:rPr>
          <w:rFonts w:hint="eastAsia"/>
          <w:sz w:val="28"/>
          <w:szCs w:val="28"/>
        </w:rPr>
        <w:t>）</w:t>
      </w:r>
      <w:r>
        <w:rPr>
          <w:rFonts w:hint="eastAsia"/>
          <w:sz w:val="28"/>
          <w:szCs w:val="28"/>
        </w:rPr>
        <w:t>IVUS</w:t>
      </w:r>
      <w:r>
        <w:rPr>
          <w:rFonts w:hint="eastAsia"/>
          <w:sz w:val="28"/>
          <w:szCs w:val="28"/>
        </w:rPr>
        <w:t>亚组在冲击波球囊处理前、处理后、支架植入后进行</w:t>
      </w:r>
      <w:r>
        <w:rPr>
          <w:rFonts w:hint="eastAsia"/>
          <w:sz w:val="28"/>
          <w:szCs w:val="28"/>
        </w:rPr>
        <w:t>IVUS</w:t>
      </w:r>
      <w:r>
        <w:rPr>
          <w:rFonts w:hint="eastAsia"/>
          <w:sz w:val="28"/>
          <w:szCs w:val="28"/>
        </w:rPr>
        <w:t>测量</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）主要指标</w:t>
      </w:r>
      <w:r>
        <w:rPr>
          <w:sz w:val="28"/>
          <w:szCs w:val="28"/>
        </w:rPr>
        <w:t>“</w:t>
      </w:r>
      <w:r>
        <w:rPr>
          <w:sz w:val="28"/>
          <w:szCs w:val="28"/>
        </w:rPr>
        <w:t>手术成功率</w:t>
      </w:r>
      <w:r>
        <w:rPr>
          <w:sz w:val="28"/>
          <w:szCs w:val="28"/>
        </w:rPr>
        <w:t>”</w:t>
      </w:r>
      <w:r>
        <w:rPr>
          <w:sz w:val="28"/>
          <w:szCs w:val="28"/>
        </w:rPr>
        <w:t>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9</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10</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rFonts w:hint="eastAsia"/>
          <w:sz w:val="28"/>
          <w:szCs w:val="28"/>
        </w:rPr>
        <w:t>（</w:t>
      </w:r>
      <w:r>
        <w:rPr>
          <w:rFonts w:hint="eastAsia"/>
          <w:sz w:val="28"/>
          <w:szCs w:val="28"/>
        </w:rPr>
        <w:t>1</w:t>
      </w:r>
      <w:r>
        <w:rPr>
          <w:sz w:val="28"/>
          <w:szCs w:val="28"/>
        </w:rPr>
        <w:t>1</w:t>
      </w:r>
      <w:r>
        <w:rPr>
          <w:rFonts w:hint="eastAsia"/>
          <w:sz w:val="28"/>
          <w:szCs w:val="28"/>
        </w:rPr>
        <w:t>）</w:t>
      </w:r>
      <w:r>
        <w:rPr>
          <w:sz w:val="28"/>
          <w:szCs w:val="28"/>
        </w:rPr>
        <w:t>IVUS</w:t>
      </w:r>
      <w:r>
        <w:rPr>
          <w:rFonts w:hint="eastAsia"/>
          <w:sz w:val="28"/>
          <w:szCs w:val="28"/>
        </w:rPr>
        <w:t>亚组评价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12</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13</w:t>
      </w:r>
      <w:r>
        <w:rPr>
          <w:sz w:val="28"/>
          <w:szCs w:val="28"/>
        </w:rPr>
        <w:t>）记录器械缺陷</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3</w:t>
      </w:r>
      <w:r>
        <w:rPr>
          <w:b/>
          <w:sz w:val="28"/>
          <w:szCs w:val="28"/>
        </w:rPr>
        <w:t>：出院前（术后</w:t>
      </w:r>
      <w:r>
        <w:rPr>
          <w:b/>
          <w:sz w:val="28"/>
          <w:szCs w:val="28"/>
        </w:rPr>
        <w:t>0-7</w:t>
      </w:r>
      <w:r>
        <w:rPr>
          <w:rFonts w:hint="eastAsia"/>
          <w:b/>
          <w:sz w:val="28"/>
          <w:szCs w:val="28"/>
        </w:rPr>
        <w:t>天</w:t>
      </w:r>
      <w:r>
        <w:rPr>
          <w:b/>
          <w:sz w:val="28"/>
          <w:szCs w:val="28"/>
        </w:rPr>
        <w:t>）</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）实验室检查（血常规、肝肾功能）</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w:t>
      </w:r>
      <w:r>
        <w:rPr>
          <w:sz w:val="28"/>
          <w:szCs w:val="28"/>
        </w:rPr>
        <w:t>12</w:t>
      </w:r>
      <w:r>
        <w:rPr>
          <w:sz w:val="28"/>
          <w:szCs w:val="28"/>
        </w:rPr>
        <w:t>导联心电图</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）主要指标</w:t>
      </w:r>
      <w:r>
        <w:rPr>
          <w:sz w:val="28"/>
          <w:szCs w:val="28"/>
        </w:rPr>
        <w:t>“</w:t>
      </w:r>
      <w:r>
        <w:rPr>
          <w:sz w:val="28"/>
          <w:szCs w:val="28"/>
        </w:rPr>
        <w:t>手术成功率</w:t>
      </w:r>
      <w:r>
        <w:rPr>
          <w:sz w:val="28"/>
          <w:szCs w:val="28"/>
        </w:rPr>
        <w:t>”</w:t>
      </w:r>
      <w:r>
        <w:rPr>
          <w:sz w:val="28"/>
          <w:szCs w:val="28"/>
        </w:rPr>
        <w:t>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6</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7</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8</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4</w:t>
      </w:r>
      <w:r>
        <w:rPr>
          <w:b/>
          <w:sz w:val="28"/>
          <w:szCs w:val="28"/>
        </w:rPr>
        <w:t>：术后</w:t>
      </w:r>
      <w:r>
        <w:rPr>
          <w:b/>
          <w:sz w:val="28"/>
          <w:szCs w:val="28"/>
        </w:rPr>
        <w:t>1</w:t>
      </w:r>
      <w:r>
        <w:rPr>
          <w:b/>
          <w:sz w:val="28"/>
          <w:szCs w:val="28"/>
        </w:rPr>
        <w:t>个月</w:t>
      </w:r>
      <w:r>
        <w:rPr>
          <w:b/>
          <w:sz w:val="28"/>
          <w:szCs w:val="28"/>
        </w:rPr>
        <w:t>±7</w:t>
      </w:r>
      <w:r>
        <w:rPr>
          <w:b/>
          <w:sz w:val="28"/>
          <w:szCs w:val="28"/>
        </w:rPr>
        <w:t>天</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）记录合并用药</w:t>
      </w:r>
      <w:r>
        <w:rPr>
          <w:sz w:val="28"/>
          <w:szCs w:val="28"/>
        </w:rPr>
        <w:t>/</w:t>
      </w:r>
      <w:r>
        <w:rPr>
          <w:sz w:val="28"/>
          <w:szCs w:val="28"/>
        </w:rPr>
        <w:t>治疗、不良事件</w:t>
      </w:r>
    </w:p>
    <w:p w:rsidR="00CA2089" w:rsidRDefault="00035E4E">
      <w:pPr>
        <w:autoSpaceDE w:val="0"/>
        <w:autoSpaceDN w:val="0"/>
        <w:spacing w:line="360" w:lineRule="auto"/>
        <w:ind w:firstLineChars="200" w:firstLine="562"/>
        <w:jc w:val="left"/>
        <w:rPr>
          <w:b/>
          <w:sz w:val="28"/>
          <w:szCs w:val="28"/>
        </w:rPr>
      </w:pPr>
      <w:r>
        <w:rPr>
          <w:b/>
          <w:sz w:val="28"/>
          <w:szCs w:val="28"/>
        </w:rPr>
        <w:t>访视</w:t>
      </w:r>
      <w:r>
        <w:rPr>
          <w:b/>
          <w:sz w:val="28"/>
          <w:szCs w:val="28"/>
        </w:rPr>
        <w:t>5</w:t>
      </w:r>
      <w:r>
        <w:rPr>
          <w:b/>
          <w:sz w:val="28"/>
          <w:szCs w:val="28"/>
        </w:rPr>
        <w:t>：术后</w:t>
      </w:r>
      <w:r>
        <w:rPr>
          <w:b/>
          <w:sz w:val="28"/>
          <w:szCs w:val="28"/>
        </w:rPr>
        <w:t>6</w:t>
      </w:r>
      <w:r>
        <w:rPr>
          <w:b/>
          <w:sz w:val="28"/>
          <w:szCs w:val="28"/>
        </w:rPr>
        <w:t>个月</w:t>
      </w:r>
      <w:r>
        <w:rPr>
          <w:b/>
          <w:sz w:val="28"/>
          <w:szCs w:val="28"/>
        </w:rPr>
        <w:t>±14</w:t>
      </w:r>
      <w:r>
        <w:rPr>
          <w:b/>
          <w:sz w:val="28"/>
          <w:szCs w:val="28"/>
        </w:rPr>
        <w:t>天</w:t>
      </w:r>
      <w:r>
        <w:rPr>
          <w:b/>
          <w:sz w:val="28"/>
          <w:szCs w:val="28"/>
        </w:rPr>
        <w:t xml:space="preserve"> </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1</w:t>
      </w:r>
      <w:r>
        <w:rPr>
          <w:sz w:val="28"/>
          <w:szCs w:val="28"/>
        </w:rPr>
        <w:t>）记录</w:t>
      </w:r>
      <w:r>
        <w:rPr>
          <w:sz w:val="28"/>
          <w:szCs w:val="28"/>
        </w:rPr>
        <w:t>NYHA</w:t>
      </w:r>
      <w:r>
        <w:rPr>
          <w:sz w:val="28"/>
          <w:szCs w:val="28"/>
        </w:rPr>
        <w:t>心功能分级</w:t>
      </w:r>
    </w:p>
    <w:p w:rsidR="00CA2089" w:rsidRDefault="00035E4E">
      <w:pPr>
        <w:autoSpaceDE w:val="0"/>
        <w:autoSpaceDN w:val="0"/>
        <w:spacing w:line="360" w:lineRule="auto"/>
        <w:ind w:firstLineChars="200" w:firstLine="560"/>
        <w:jc w:val="left"/>
        <w:rPr>
          <w:sz w:val="28"/>
          <w:szCs w:val="28"/>
        </w:rPr>
      </w:pPr>
      <w:r>
        <w:rPr>
          <w:sz w:val="28"/>
          <w:szCs w:val="28"/>
        </w:rPr>
        <w:lastRenderedPageBreak/>
        <w:t>（</w:t>
      </w:r>
      <w:r>
        <w:rPr>
          <w:sz w:val="28"/>
          <w:szCs w:val="28"/>
        </w:rPr>
        <w:t>2</w:t>
      </w:r>
      <w:r>
        <w:rPr>
          <w:sz w:val="28"/>
          <w:szCs w:val="28"/>
        </w:rPr>
        <w:t>）记录</w:t>
      </w:r>
      <w:r>
        <w:rPr>
          <w:sz w:val="28"/>
          <w:szCs w:val="28"/>
        </w:rPr>
        <w:t>CCS</w:t>
      </w:r>
      <w:r>
        <w:rPr>
          <w:sz w:val="28"/>
          <w:szCs w:val="28"/>
        </w:rPr>
        <w:t>心绞痛分级</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3</w:t>
      </w:r>
      <w:r>
        <w:rPr>
          <w:sz w:val="28"/>
          <w:szCs w:val="28"/>
        </w:rPr>
        <w:t>）次要指标评价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4</w:t>
      </w:r>
      <w:r>
        <w:rPr>
          <w:sz w:val="28"/>
          <w:szCs w:val="28"/>
        </w:rPr>
        <w:t>）安全性评价</w:t>
      </w:r>
    </w:p>
    <w:p w:rsidR="00CA2089" w:rsidRDefault="00035E4E">
      <w:pPr>
        <w:autoSpaceDE w:val="0"/>
        <w:autoSpaceDN w:val="0"/>
        <w:spacing w:line="360" w:lineRule="auto"/>
        <w:ind w:firstLineChars="200" w:firstLine="560"/>
        <w:jc w:val="left"/>
        <w:rPr>
          <w:sz w:val="28"/>
          <w:szCs w:val="28"/>
        </w:rPr>
      </w:pPr>
      <w:r>
        <w:rPr>
          <w:sz w:val="28"/>
          <w:szCs w:val="28"/>
        </w:rPr>
        <w:t>（</w:t>
      </w:r>
      <w:r>
        <w:rPr>
          <w:sz w:val="28"/>
          <w:szCs w:val="28"/>
        </w:rPr>
        <w:t>5</w:t>
      </w:r>
      <w:r>
        <w:rPr>
          <w:sz w:val="28"/>
          <w:szCs w:val="28"/>
        </w:rPr>
        <w:t>）记录合并用药</w:t>
      </w:r>
      <w:r>
        <w:rPr>
          <w:sz w:val="28"/>
          <w:szCs w:val="28"/>
        </w:rPr>
        <w:t>/</w:t>
      </w:r>
      <w:r>
        <w:rPr>
          <w:sz w:val="28"/>
          <w:szCs w:val="28"/>
        </w:rPr>
        <w:t>治疗、不良事件</w:t>
      </w: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proofErr w:type="gramStart"/>
      <w:r>
        <w:rPr>
          <w:rFonts w:ascii="Times New Roman" w:eastAsia="宋体" w:hAnsi="Times New Roman" w:cs="Times New Roman"/>
          <w:sz w:val="28"/>
          <w:szCs w:val="28"/>
        </w:rPr>
        <w:t>用械规范</w:t>
      </w:r>
      <w:proofErr w:type="gramEnd"/>
    </w:p>
    <w:p w:rsidR="00CA2089" w:rsidRDefault="00035E4E">
      <w:pPr>
        <w:spacing w:line="360" w:lineRule="auto"/>
        <w:ind w:firstLineChars="200" w:firstLine="560"/>
        <w:rPr>
          <w:sz w:val="28"/>
          <w:szCs w:val="28"/>
        </w:rPr>
      </w:pPr>
      <w:r>
        <w:rPr>
          <w:color w:val="000000"/>
          <w:kern w:val="0"/>
          <w:sz w:val="28"/>
          <w:szCs w:val="28"/>
        </w:rPr>
        <w:t>严格按照产品使用说明书的要求，正确使用试验医疗器械。</w:t>
      </w:r>
    </w:p>
    <w:p w:rsidR="00CA2089" w:rsidRDefault="00035E4E">
      <w:pPr>
        <w:pStyle w:val="af0"/>
        <w:numPr>
          <w:ilvl w:val="0"/>
          <w:numId w:val="13"/>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合并治疗（如用药）规范</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1</w:t>
      </w:r>
      <w:r>
        <w:rPr>
          <w:color w:val="000000"/>
          <w:kern w:val="0"/>
          <w:sz w:val="28"/>
          <w:szCs w:val="28"/>
        </w:rPr>
        <w:t>）如果研究期间因各种原因，受试者因不良事件使用了药物或治疗措施，研究者则需要将此种情况重点记录在病例报告表（</w:t>
      </w:r>
      <w:r>
        <w:rPr>
          <w:color w:val="000000"/>
          <w:kern w:val="0"/>
          <w:sz w:val="28"/>
          <w:szCs w:val="28"/>
        </w:rPr>
        <w:t>CRF</w:t>
      </w:r>
      <w:r>
        <w:rPr>
          <w:color w:val="000000"/>
          <w:kern w:val="0"/>
          <w:sz w:val="28"/>
          <w:szCs w:val="28"/>
        </w:rPr>
        <w:t>）中，以备查阅。</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2</w:t>
      </w:r>
      <w:r>
        <w:rPr>
          <w:color w:val="000000"/>
          <w:kern w:val="0"/>
          <w:sz w:val="28"/>
          <w:szCs w:val="28"/>
        </w:rPr>
        <w:t>）禁止使用的治疗：所有受试者在临床试验期间禁止使用与试验医疗器械功效相似的产品。</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3</w:t>
      </w:r>
      <w:r>
        <w:rPr>
          <w:color w:val="000000"/>
          <w:kern w:val="0"/>
          <w:sz w:val="28"/>
          <w:szCs w:val="28"/>
        </w:rPr>
        <w:t>）允许使用的治疗：因基础疾病、合并疾病或不良事件需接受其他药物或治疗措施的，须在原始病历中记录。</w:t>
      </w:r>
    </w:p>
    <w:p w:rsidR="00CA2089" w:rsidRDefault="00035E4E">
      <w:pPr>
        <w:spacing w:line="360" w:lineRule="auto"/>
        <w:ind w:firstLineChars="200" w:firstLine="560"/>
        <w:rPr>
          <w:color w:val="000000"/>
          <w:kern w:val="0"/>
          <w:sz w:val="28"/>
          <w:szCs w:val="28"/>
        </w:rPr>
      </w:pPr>
      <w:r>
        <w:rPr>
          <w:color w:val="000000"/>
          <w:kern w:val="0"/>
          <w:sz w:val="28"/>
          <w:szCs w:val="28"/>
        </w:rPr>
        <w:t>（</w:t>
      </w:r>
      <w:r>
        <w:rPr>
          <w:color w:val="000000"/>
          <w:kern w:val="0"/>
          <w:sz w:val="28"/>
          <w:szCs w:val="28"/>
        </w:rPr>
        <w:t>4</w:t>
      </w:r>
      <w:r>
        <w:rPr>
          <w:color w:val="000000"/>
          <w:kern w:val="0"/>
          <w:sz w:val="28"/>
          <w:szCs w:val="28"/>
        </w:rPr>
        <w:t>）合并用药记录：</w:t>
      </w:r>
      <w:bookmarkStart w:id="65" w:name="_Hlk134744403"/>
      <w:r>
        <w:rPr>
          <w:color w:val="000000"/>
          <w:kern w:val="0"/>
          <w:sz w:val="28"/>
          <w:szCs w:val="28"/>
        </w:rPr>
        <w:t>仅需记录与试验医疗器械评价相关的药物（包括抗凝药、抗血小板药），以及出现不良事件期间的所有合并用药。</w:t>
      </w:r>
      <w:bookmarkEnd w:id="65"/>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66" w:name="_Toc134753812"/>
      <w:bookmarkStart w:id="67" w:name="_Toc21067"/>
      <w:r>
        <w:rPr>
          <w:rFonts w:ascii="Times New Roman" w:eastAsia="宋体" w:hAnsi="Times New Roman" w:cs="Times New Roman"/>
          <w:sz w:val="28"/>
          <w:szCs w:val="28"/>
        </w:rPr>
        <w:t>（六）偏倚控制措施</w:t>
      </w:r>
      <w:bookmarkEnd w:id="66"/>
      <w:bookmarkEnd w:id="67"/>
    </w:p>
    <w:p w:rsidR="00CA2089" w:rsidRDefault="00035E4E">
      <w:pPr>
        <w:spacing w:line="360" w:lineRule="auto"/>
        <w:ind w:firstLineChars="200" w:firstLine="560"/>
        <w:rPr>
          <w:sz w:val="28"/>
          <w:szCs w:val="28"/>
        </w:rPr>
      </w:pPr>
      <w:r>
        <w:rPr>
          <w:color w:val="000000"/>
          <w:kern w:val="0"/>
          <w:sz w:val="28"/>
          <w:szCs w:val="28"/>
        </w:rPr>
        <w:t>来自多中心的病例样本比</w:t>
      </w:r>
      <w:proofErr w:type="gramStart"/>
      <w:r>
        <w:rPr>
          <w:color w:val="000000"/>
          <w:kern w:val="0"/>
          <w:sz w:val="28"/>
          <w:szCs w:val="28"/>
        </w:rPr>
        <w:t>单中心</w:t>
      </w:r>
      <w:proofErr w:type="gramEnd"/>
      <w:r>
        <w:rPr>
          <w:color w:val="000000"/>
          <w:kern w:val="0"/>
          <w:sz w:val="28"/>
          <w:szCs w:val="28"/>
        </w:rPr>
        <w:t>更具代表性，可防止</w:t>
      </w:r>
      <w:proofErr w:type="gramStart"/>
      <w:r>
        <w:rPr>
          <w:color w:val="000000"/>
          <w:kern w:val="0"/>
          <w:sz w:val="28"/>
          <w:szCs w:val="28"/>
        </w:rPr>
        <w:t>单中心</w:t>
      </w:r>
      <w:proofErr w:type="gramEnd"/>
      <w:r>
        <w:rPr>
          <w:color w:val="000000"/>
          <w:kern w:val="0"/>
          <w:sz w:val="28"/>
          <w:szCs w:val="28"/>
        </w:rPr>
        <w:t>的系统性误差导致试验结果的偏倚，因此所得结论更可信。同时为减少中心间的操作差异，应对各中心的试验研究相关人员采用统一标准进行培训，对有效性指标、安全性指标采用明确的评估标准。严格根据试验方案入选、排除</w:t>
      </w:r>
      <w:r>
        <w:rPr>
          <w:color w:val="000000"/>
          <w:kern w:val="0"/>
          <w:sz w:val="28"/>
          <w:szCs w:val="28"/>
        </w:rPr>
        <w:lastRenderedPageBreak/>
        <w:t>标准对受试者进行筛选，减少选择性偏倚。制定监查计划，由申办者任命监查员，定期进行研究中心现场监查访问，以保证试验方案的所有内容都得到严格遵守，并对</w:t>
      </w:r>
      <w:r>
        <w:rPr>
          <w:color w:val="000000"/>
          <w:kern w:val="0"/>
          <w:sz w:val="28"/>
          <w:szCs w:val="28"/>
        </w:rPr>
        <w:t>CRF</w:t>
      </w:r>
      <w:r>
        <w:rPr>
          <w:color w:val="000000"/>
          <w:kern w:val="0"/>
          <w:sz w:val="28"/>
          <w:szCs w:val="28"/>
        </w:rPr>
        <w:t>进行核查以确保与原始资料的内容一致。临床试验完成时，做好数据保管与整理工作，当发现数据问题时，数据分析员通过数据质疑表对数据进行核对确认，避免记录误差。</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68" w:name="_Toc134753813"/>
      <w:bookmarkStart w:id="69" w:name="_Toc26703"/>
      <w:r>
        <w:rPr>
          <w:rFonts w:ascii="Times New Roman" w:eastAsia="宋体" w:hAnsi="Times New Roman" w:cs="Times New Roman"/>
          <w:b/>
          <w:bCs/>
          <w:sz w:val="28"/>
          <w:szCs w:val="28"/>
        </w:rPr>
        <w:t>六、统计学考虑</w:t>
      </w:r>
      <w:bookmarkEnd w:id="68"/>
      <w:bookmarkEnd w:id="69"/>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70" w:name="_Toc134753814"/>
      <w:bookmarkStart w:id="71" w:name="_Toc30843"/>
      <w:r>
        <w:rPr>
          <w:rFonts w:ascii="Times New Roman" w:eastAsia="宋体" w:hAnsi="Times New Roman" w:cs="Times New Roman"/>
          <w:sz w:val="28"/>
          <w:szCs w:val="28"/>
        </w:rPr>
        <w:t>（一）样本量估算</w:t>
      </w:r>
      <w:bookmarkEnd w:id="70"/>
      <w:bookmarkEnd w:id="71"/>
    </w:p>
    <w:p w:rsidR="00CA2089" w:rsidRDefault="00035E4E">
      <w:pPr>
        <w:pStyle w:val="af0"/>
        <w:numPr>
          <w:ilvl w:val="0"/>
          <w:numId w:val="16"/>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总样本量及其确定依据</w:t>
      </w:r>
    </w:p>
    <w:p w:rsidR="00CA2089" w:rsidRDefault="00035E4E">
      <w:pPr>
        <w:widowControl/>
        <w:spacing w:line="300" w:lineRule="auto"/>
        <w:ind w:firstLine="480"/>
        <w:rPr>
          <w:color w:val="000000"/>
          <w:kern w:val="0"/>
          <w:sz w:val="28"/>
          <w:szCs w:val="28"/>
        </w:rPr>
      </w:pPr>
      <w:r>
        <w:rPr>
          <w:rFonts w:hint="eastAsia"/>
          <w:color w:val="000000"/>
          <w:kern w:val="0"/>
          <w:sz w:val="28"/>
          <w:szCs w:val="28"/>
        </w:rPr>
        <w:t>样本量计算基于主要评价指标（主要疗效指标和主要安全性指标）对</w:t>
      </w:r>
      <w:proofErr w:type="gramStart"/>
      <w:r>
        <w:rPr>
          <w:rFonts w:hint="eastAsia"/>
          <w:color w:val="000000"/>
          <w:kern w:val="0"/>
          <w:sz w:val="28"/>
          <w:szCs w:val="28"/>
        </w:rPr>
        <w:t>两指标</w:t>
      </w:r>
      <w:proofErr w:type="gramEnd"/>
      <w:r>
        <w:rPr>
          <w:rFonts w:hint="eastAsia"/>
          <w:color w:val="000000"/>
          <w:kern w:val="0"/>
          <w:sz w:val="28"/>
          <w:szCs w:val="28"/>
        </w:rPr>
        <w:t>分别计算临床试验需完成可评价的病例数，取样本量大者作为试验需完成可评价的病例数。</w:t>
      </w:r>
      <w:proofErr w:type="gramStart"/>
      <w:r>
        <w:rPr>
          <w:rFonts w:hint="eastAsia"/>
          <w:color w:val="000000"/>
          <w:kern w:val="0"/>
          <w:sz w:val="28"/>
          <w:szCs w:val="28"/>
        </w:rPr>
        <w:t>两指标</w:t>
      </w:r>
      <w:proofErr w:type="gramEnd"/>
      <w:r>
        <w:rPr>
          <w:rFonts w:hint="eastAsia"/>
          <w:color w:val="000000"/>
          <w:kern w:val="0"/>
          <w:sz w:val="28"/>
          <w:szCs w:val="28"/>
        </w:rPr>
        <w:t>总把握度为</w:t>
      </w:r>
      <w:r>
        <w:rPr>
          <w:color w:val="000000"/>
          <w:kern w:val="0"/>
          <w:sz w:val="28"/>
          <w:szCs w:val="28"/>
        </w:rPr>
        <w:t>0.8</w:t>
      </w:r>
      <w:r>
        <w:rPr>
          <w:rFonts w:hint="eastAsia"/>
          <w:color w:val="000000"/>
          <w:kern w:val="0"/>
          <w:sz w:val="28"/>
          <w:szCs w:val="28"/>
        </w:rPr>
        <w:t>，经校正后，</w:t>
      </w:r>
      <w:r>
        <w:rPr>
          <w:color w:val="000000"/>
          <w:kern w:val="0"/>
          <w:sz w:val="28"/>
          <w:szCs w:val="28"/>
        </w:rPr>
        <w:t>β = 0.10</w:t>
      </w:r>
      <w:r>
        <w:rPr>
          <w:rFonts w:hint="eastAsia"/>
          <w:color w:val="000000"/>
          <w:kern w:val="0"/>
          <w:sz w:val="28"/>
          <w:szCs w:val="28"/>
        </w:rPr>
        <w:t>，每个指标的把握度为</w:t>
      </w:r>
      <w:r>
        <w:rPr>
          <w:color w:val="000000"/>
          <w:kern w:val="0"/>
          <w:sz w:val="28"/>
          <w:szCs w:val="28"/>
        </w:rPr>
        <w:t>90%</w:t>
      </w:r>
      <w:r>
        <w:rPr>
          <w:rFonts w:hint="eastAsia"/>
          <w:color w:val="000000"/>
          <w:kern w:val="0"/>
          <w:sz w:val="28"/>
          <w:szCs w:val="28"/>
        </w:rPr>
        <w:t>。</w:t>
      </w:r>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本试验主要疗效指标为手术成功率，</w:t>
      </w:r>
      <w:r>
        <w:rPr>
          <w:rFonts w:ascii="Times New Roman" w:eastAsia="宋体" w:hAnsi="Times New Roman" w:cs="Times New Roman"/>
          <w:sz w:val="28"/>
          <w:szCs w:val="28"/>
        </w:rPr>
        <w:t>采用目标值设计。根据</w:t>
      </w:r>
      <w:r>
        <w:rPr>
          <w:rFonts w:ascii="Times New Roman" w:eastAsia="宋体" w:hAnsi="Times New Roman" w:cs="Times New Roman"/>
          <w:sz w:val="28"/>
          <w:szCs w:val="28"/>
        </w:rPr>
        <w:t>Disrupt CAD I</w:t>
      </w:r>
      <w:r>
        <w:rPr>
          <w:rFonts w:ascii="Times New Roman" w:eastAsia="宋体" w:hAnsi="Times New Roman" w:cs="Times New Roman"/>
          <w:sz w:val="28"/>
          <w:szCs w:val="28"/>
          <w:vertAlign w:val="superscript"/>
        </w:rPr>
        <w:t>[2,11]</w:t>
      </w:r>
      <w:r>
        <w:rPr>
          <w:rFonts w:ascii="Times New Roman" w:eastAsia="宋体" w:hAnsi="Times New Roman" w:cs="Times New Roman"/>
          <w:sz w:val="28"/>
          <w:szCs w:val="28"/>
        </w:rPr>
        <w:t>、</w:t>
      </w:r>
      <w:r>
        <w:rPr>
          <w:rFonts w:ascii="Times New Roman" w:eastAsia="宋体" w:hAnsi="Times New Roman" w:cs="Times New Roman"/>
          <w:sz w:val="28"/>
          <w:szCs w:val="28"/>
        </w:rPr>
        <w:t>II</w:t>
      </w:r>
      <w:r>
        <w:rPr>
          <w:rFonts w:ascii="Times New Roman" w:eastAsia="宋体" w:hAnsi="Times New Roman" w:cs="Times New Roman"/>
          <w:sz w:val="28"/>
          <w:szCs w:val="28"/>
          <w:vertAlign w:val="superscript"/>
        </w:rPr>
        <w:t>[7]</w:t>
      </w:r>
      <w:r>
        <w:rPr>
          <w:rFonts w:ascii="Times New Roman" w:eastAsia="宋体" w:hAnsi="Times New Roman" w:cs="Times New Roman"/>
          <w:sz w:val="28"/>
          <w:szCs w:val="28"/>
        </w:rPr>
        <w:t>、</w:t>
      </w:r>
      <w:r>
        <w:rPr>
          <w:rFonts w:ascii="Times New Roman" w:eastAsia="宋体" w:hAnsi="Times New Roman" w:cs="Times New Roman"/>
          <w:sz w:val="28"/>
          <w:szCs w:val="28"/>
        </w:rPr>
        <w:t>III</w:t>
      </w:r>
      <w:r>
        <w:rPr>
          <w:rFonts w:ascii="Times New Roman" w:eastAsia="宋体" w:hAnsi="Times New Roman" w:cs="Times New Roman"/>
          <w:sz w:val="28"/>
          <w:szCs w:val="28"/>
          <w:vertAlign w:val="superscript"/>
        </w:rPr>
        <w:t>[13]</w:t>
      </w:r>
      <w:r>
        <w:rPr>
          <w:rFonts w:ascii="Times New Roman" w:eastAsia="宋体" w:hAnsi="Times New Roman" w:cs="Times New Roman"/>
          <w:sz w:val="28"/>
          <w:szCs w:val="28"/>
        </w:rPr>
        <w:t>、</w:t>
      </w:r>
      <w:r>
        <w:rPr>
          <w:rFonts w:ascii="Times New Roman" w:eastAsia="宋体" w:hAnsi="Times New Roman" w:cs="Times New Roman"/>
          <w:sz w:val="28"/>
          <w:szCs w:val="28"/>
        </w:rPr>
        <w:t>IV</w:t>
      </w:r>
      <w:r>
        <w:rPr>
          <w:rFonts w:ascii="Times New Roman" w:eastAsia="宋体" w:hAnsi="Times New Roman" w:cs="Times New Roman"/>
          <w:sz w:val="28"/>
          <w:szCs w:val="28"/>
          <w:vertAlign w:val="superscript"/>
        </w:rPr>
        <w:t>[12]</w:t>
      </w:r>
      <w:r>
        <w:rPr>
          <w:rFonts w:ascii="Times New Roman" w:eastAsia="宋体" w:hAnsi="Times New Roman" w:cs="Times New Roman"/>
          <w:sz w:val="28"/>
          <w:szCs w:val="28"/>
        </w:rPr>
        <w:t>及</w:t>
      </w:r>
      <w:r>
        <w:rPr>
          <w:rFonts w:ascii="Times New Roman" w:eastAsia="宋体" w:hAnsi="Times New Roman" w:cs="Times New Roman"/>
          <w:sz w:val="28"/>
          <w:szCs w:val="28"/>
        </w:rPr>
        <w:t>ORBIT II IDE</w:t>
      </w:r>
      <w:r>
        <w:rPr>
          <w:rFonts w:ascii="Times New Roman" w:eastAsia="宋体" w:hAnsi="Times New Roman" w:cs="Times New Roman"/>
          <w:sz w:val="28"/>
          <w:szCs w:val="28"/>
          <w:vertAlign w:val="superscript"/>
        </w:rPr>
        <w:t>[9]</w:t>
      </w:r>
      <w:r>
        <w:rPr>
          <w:rFonts w:ascii="Times New Roman" w:eastAsia="宋体" w:hAnsi="Times New Roman" w:cs="Times New Roman"/>
          <w:sz w:val="28"/>
          <w:szCs w:val="28"/>
        </w:rPr>
        <w:t>研究数据得出手术成功率在</w:t>
      </w:r>
      <w:r>
        <w:rPr>
          <w:rFonts w:ascii="Times New Roman" w:eastAsia="宋体" w:hAnsi="Times New Roman" w:cs="Times New Roman"/>
          <w:sz w:val="28"/>
          <w:szCs w:val="28"/>
        </w:rPr>
        <w:t>88.9%-95%</w:t>
      </w:r>
      <w:r>
        <w:rPr>
          <w:rFonts w:ascii="Times New Roman" w:eastAsia="宋体" w:hAnsi="Times New Roman" w:cs="Times New Roman"/>
          <w:sz w:val="28"/>
          <w:szCs w:val="28"/>
        </w:rPr>
        <w:t>之间。在</w:t>
      </w:r>
      <w:r>
        <w:rPr>
          <w:rFonts w:ascii="Times New Roman" w:eastAsia="宋体" w:hAnsi="Times New Roman" w:cs="Times New Roman"/>
          <w:sz w:val="28"/>
          <w:szCs w:val="28"/>
        </w:rPr>
        <w:t>ORBIT II IDE</w:t>
      </w:r>
      <w:r>
        <w:rPr>
          <w:rFonts w:ascii="Times New Roman" w:eastAsia="宋体" w:hAnsi="Times New Roman" w:cs="Times New Roman"/>
          <w:sz w:val="28"/>
          <w:szCs w:val="28"/>
        </w:rPr>
        <w:t>研究中手术成功率为</w:t>
      </w:r>
      <w:r>
        <w:rPr>
          <w:rFonts w:ascii="Times New Roman" w:eastAsia="宋体" w:hAnsi="Times New Roman" w:cs="Times New Roman"/>
          <w:sz w:val="28"/>
          <w:szCs w:val="28"/>
        </w:rPr>
        <w:t>88.9%</w:t>
      </w:r>
      <w:r>
        <w:rPr>
          <w:rFonts w:ascii="Times New Roman" w:eastAsia="宋体" w:hAnsi="Times New Roman" w:cs="Times New Roman"/>
          <w:sz w:val="28"/>
          <w:szCs w:val="28"/>
          <w:vertAlign w:val="superscript"/>
        </w:rPr>
        <w:t>[9]</w:t>
      </w:r>
      <w:r>
        <w:rPr>
          <w:rFonts w:ascii="Times New Roman" w:eastAsia="宋体" w:hAnsi="Times New Roman" w:cs="Times New Roman"/>
          <w:sz w:val="28"/>
          <w:szCs w:val="28"/>
        </w:rPr>
        <w:t>，</w:t>
      </w:r>
      <w:r>
        <w:rPr>
          <w:rFonts w:ascii="Times New Roman" w:eastAsia="宋体" w:hAnsi="Times New Roman" w:cs="Times New Roman"/>
          <w:sz w:val="28"/>
          <w:szCs w:val="28"/>
        </w:rPr>
        <w:t>95%</w:t>
      </w:r>
      <w:r>
        <w:rPr>
          <w:rFonts w:ascii="Times New Roman" w:eastAsia="宋体" w:hAnsi="Times New Roman" w:cs="Times New Roman"/>
          <w:sz w:val="28"/>
          <w:szCs w:val="28"/>
        </w:rPr>
        <w:t>置信区间为（</w:t>
      </w:r>
      <w:r>
        <w:rPr>
          <w:rFonts w:ascii="Times New Roman" w:eastAsia="宋体" w:hAnsi="Times New Roman" w:cs="Times New Roman"/>
          <w:sz w:val="28"/>
          <w:szCs w:val="28"/>
        </w:rPr>
        <w:t>85.5%-91.6%</w:t>
      </w:r>
      <w:r>
        <w:rPr>
          <w:rFonts w:ascii="Times New Roman" w:eastAsia="宋体" w:hAnsi="Times New Roman" w:cs="Times New Roman"/>
          <w:sz w:val="28"/>
          <w:szCs w:val="28"/>
        </w:rPr>
        <w:t>）；综合</w:t>
      </w:r>
      <w:r>
        <w:rPr>
          <w:rFonts w:ascii="Times New Roman" w:eastAsia="宋体" w:hAnsi="Times New Roman" w:cs="Times New Roman"/>
          <w:sz w:val="28"/>
          <w:szCs w:val="28"/>
        </w:rPr>
        <w:t>Disrupt CAD I</w:t>
      </w:r>
      <w:r>
        <w:rPr>
          <w:rFonts w:ascii="Times New Roman" w:eastAsia="宋体" w:hAnsi="Times New Roman" w:cs="Times New Roman"/>
          <w:sz w:val="28"/>
          <w:szCs w:val="28"/>
        </w:rPr>
        <w:t>、</w:t>
      </w:r>
      <w:r>
        <w:rPr>
          <w:rFonts w:ascii="Times New Roman" w:eastAsia="宋体" w:hAnsi="Times New Roman" w:cs="Times New Roman"/>
          <w:sz w:val="28"/>
          <w:szCs w:val="28"/>
        </w:rPr>
        <w:t>II</w:t>
      </w:r>
      <w:r>
        <w:rPr>
          <w:rFonts w:ascii="Times New Roman" w:eastAsia="宋体" w:hAnsi="Times New Roman" w:cs="Times New Roman"/>
          <w:sz w:val="28"/>
          <w:szCs w:val="28"/>
        </w:rPr>
        <w:t>、</w:t>
      </w:r>
      <w:r>
        <w:rPr>
          <w:rFonts w:ascii="Times New Roman" w:eastAsia="宋体" w:hAnsi="Times New Roman" w:cs="Times New Roman"/>
          <w:sz w:val="28"/>
          <w:szCs w:val="28"/>
        </w:rPr>
        <w:t>III</w:t>
      </w:r>
      <w:r>
        <w:rPr>
          <w:rFonts w:ascii="Times New Roman" w:eastAsia="宋体" w:hAnsi="Times New Roman" w:cs="Times New Roman"/>
          <w:sz w:val="28"/>
          <w:szCs w:val="28"/>
        </w:rPr>
        <w:t>、</w:t>
      </w:r>
      <w:r>
        <w:rPr>
          <w:rFonts w:ascii="Times New Roman" w:eastAsia="宋体" w:hAnsi="Times New Roman" w:cs="Times New Roman"/>
          <w:sz w:val="28"/>
          <w:szCs w:val="28"/>
        </w:rPr>
        <w:t>IV</w:t>
      </w:r>
      <w:r>
        <w:rPr>
          <w:rFonts w:ascii="Times New Roman" w:eastAsia="宋体" w:hAnsi="Times New Roman" w:cs="Times New Roman"/>
          <w:sz w:val="28"/>
          <w:szCs w:val="28"/>
        </w:rPr>
        <w:t>研究分析手术成功率为</w:t>
      </w:r>
      <w:r>
        <w:rPr>
          <w:rFonts w:ascii="Times New Roman" w:eastAsia="宋体" w:hAnsi="Times New Roman" w:cs="Times New Roman"/>
          <w:sz w:val="28"/>
          <w:szCs w:val="28"/>
        </w:rPr>
        <w:t>93.2%</w:t>
      </w:r>
      <w:r>
        <w:rPr>
          <w:rFonts w:ascii="Times New Roman" w:eastAsia="宋体" w:hAnsi="Times New Roman" w:cs="Times New Roman"/>
          <w:sz w:val="28"/>
          <w:szCs w:val="28"/>
          <w:vertAlign w:val="superscript"/>
        </w:rPr>
        <w:t>[10]</w:t>
      </w:r>
      <w:r>
        <w:rPr>
          <w:rFonts w:ascii="Times New Roman" w:eastAsia="宋体" w:hAnsi="Times New Roman" w:cs="Times New Roman"/>
          <w:sz w:val="28"/>
          <w:szCs w:val="28"/>
        </w:rPr>
        <w:t>，</w:t>
      </w:r>
      <w:r>
        <w:rPr>
          <w:rFonts w:ascii="Times New Roman" w:eastAsia="宋体" w:hAnsi="Times New Roman" w:cs="Times New Roman"/>
          <w:sz w:val="28"/>
          <w:szCs w:val="28"/>
        </w:rPr>
        <w:t>95%</w:t>
      </w:r>
      <w:r>
        <w:rPr>
          <w:rFonts w:ascii="Times New Roman" w:eastAsia="宋体" w:hAnsi="Times New Roman" w:cs="Times New Roman"/>
          <w:sz w:val="28"/>
          <w:szCs w:val="28"/>
        </w:rPr>
        <w:t>置信区间为（</w:t>
      </w:r>
      <w:r>
        <w:rPr>
          <w:rFonts w:ascii="Times New Roman" w:eastAsia="宋体" w:hAnsi="Times New Roman" w:cs="Times New Roman"/>
          <w:sz w:val="28"/>
          <w:szCs w:val="28"/>
        </w:rPr>
        <w:t>90.9%-95.0%</w:t>
      </w:r>
      <w:r>
        <w:rPr>
          <w:rFonts w:ascii="Times New Roman" w:eastAsia="宋体" w:hAnsi="Times New Roman" w:cs="Times New Roman"/>
          <w:sz w:val="28"/>
          <w:szCs w:val="28"/>
        </w:rPr>
        <w:t>）。基于以上数据，将本试验手术成功率的目标值设为</w:t>
      </w:r>
      <w:r>
        <w:rPr>
          <w:rFonts w:ascii="Times New Roman" w:eastAsia="宋体" w:hAnsi="Times New Roman" w:cs="Times New Roman"/>
          <w:sz w:val="28"/>
          <w:szCs w:val="28"/>
        </w:rPr>
        <w:t>85.5%</w:t>
      </w:r>
      <w:r>
        <w:rPr>
          <w:rFonts w:ascii="Times New Roman" w:eastAsia="宋体" w:hAnsi="Times New Roman" w:cs="Times New Roman"/>
          <w:sz w:val="28"/>
          <w:szCs w:val="28"/>
        </w:rPr>
        <w:t>，假设试验器械手术成功率能达到</w:t>
      </w:r>
      <w:r>
        <w:rPr>
          <w:rFonts w:ascii="Times New Roman" w:eastAsia="宋体" w:hAnsi="Times New Roman" w:cs="Times New Roman"/>
          <w:sz w:val="28"/>
          <w:szCs w:val="28"/>
        </w:rPr>
        <w:t>93%</w:t>
      </w:r>
      <w:r>
        <w:rPr>
          <w:rFonts w:ascii="Times New Roman" w:eastAsia="宋体" w:hAnsi="Times New Roman" w:cs="Times New Roman"/>
          <w:sz w:val="28"/>
          <w:szCs w:val="28"/>
        </w:rPr>
        <w:t>的水平。根据统计学要求，检验水准为单侧</w:t>
      </w:r>
      <w:r>
        <w:rPr>
          <w:rFonts w:ascii="Times New Roman" w:eastAsia="宋体" w:hAnsi="Times New Roman" w:cs="Times New Roman"/>
          <w:sz w:val="28"/>
          <w:szCs w:val="28"/>
        </w:rPr>
        <w:t>α=0.025</w:t>
      </w:r>
      <w:r>
        <w:rPr>
          <w:rFonts w:ascii="Times New Roman" w:eastAsia="宋体" w:hAnsi="Times New Roman" w:cs="Times New Roman"/>
          <w:sz w:val="28"/>
          <w:szCs w:val="28"/>
        </w:rPr>
        <w:t>，把握度</w:t>
      </w:r>
      <w:r>
        <w:rPr>
          <w:rFonts w:ascii="Times New Roman" w:eastAsia="宋体" w:hAnsi="Times New Roman" w:cs="Times New Roman" w:hint="eastAsia"/>
          <w:sz w:val="28"/>
          <w:szCs w:val="28"/>
        </w:rPr>
        <w:t>为</w:t>
      </w:r>
      <w:r>
        <w:rPr>
          <w:rFonts w:ascii="Times New Roman" w:eastAsia="宋体" w:hAnsi="Times New Roman" w:cs="Times New Roman"/>
          <w:sz w:val="28"/>
          <w:szCs w:val="28"/>
        </w:rPr>
        <w:t>0.9</w:t>
      </w:r>
      <w:r>
        <w:rPr>
          <w:rFonts w:ascii="Times New Roman" w:eastAsia="宋体" w:hAnsi="Times New Roman" w:cs="Times New Roman"/>
          <w:sz w:val="28"/>
          <w:szCs w:val="28"/>
        </w:rPr>
        <w:t>，经计算样本量为</w:t>
      </w:r>
      <w:r>
        <w:rPr>
          <w:rFonts w:ascii="Times New Roman" w:eastAsia="宋体" w:hAnsi="Times New Roman" w:cs="Times New Roman"/>
          <w:sz w:val="28"/>
          <w:szCs w:val="28"/>
        </w:rPr>
        <w:t>184</w:t>
      </w:r>
      <w:r>
        <w:rPr>
          <w:rFonts w:ascii="Times New Roman" w:eastAsia="宋体" w:hAnsi="Times New Roman" w:cs="Times New Roman"/>
          <w:sz w:val="28"/>
          <w:szCs w:val="28"/>
        </w:rPr>
        <w:t>例。考虑</w:t>
      </w:r>
      <w:r>
        <w:rPr>
          <w:rFonts w:ascii="Times New Roman" w:eastAsia="宋体" w:hAnsi="Times New Roman" w:cs="Times New Roman"/>
          <w:sz w:val="28"/>
          <w:szCs w:val="28"/>
        </w:rPr>
        <w:t>10%</w:t>
      </w:r>
      <w:r>
        <w:rPr>
          <w:rFonts w:ascii="Times New Roman" w:eastAsia="宋体" w:hAnsi="Times New Roman" w:cs="Times New Roman"/>
          <w:sz w:val="28"/>
          <w:szCs w:val="28"/>
        </w:rPr>
        <w:t>的脱落率，最终样本量为</w:t>
      </w:r>
      <w:r>
        <w:rPr>
          <w:rFonts w:ascii="Times New Roman" w:eastAsia="宋体" w:hAnsi="Times New Roman" w:cs="Times New Roman"/>
          <w:sz w:val="28"/>
          <w:szCs w:val="28"/>
        </w:rPr>
        <w:t>205</w:t>
      </w:r>
      <w:r>
        <w:rPr>
          <w:rFonts w:ascii="Times New Roman" w:eastAsia="宋体" w:hAnsi="Times New Roman" w:cs="Times New Roman"/>
          <w:sz w:val="28"/>
          <w:szCs w:val="28"/>
        </w:rPr>
        <w:t>例。</w:t>
      </w:r>
      <w:r>
        <w:rPr>
          <w:rFonts w:ascii="Times New Roman" w:eastAsia="宋体" w:hAnsi="Times New Roman" w:cs="Times New Roman"/>
          <w:sz w:val="28"/>
          <w:szCs w:val="28"/>
        </w:rPr>
        <w:t xml:space="preserve"> </w:t>
      </w:r>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样本量估算公式如下：</w:t>
      </w:r>
    </w:p>
    <w:p w:rsidR="00CA2089" w:rsidRDefault="00035E4E">
      <w:pPr>
        <w:pStyle w:val="af0"/>
        <w:spacing w:line="360" w:lineRule="auto"/>
        <w:ind w:left="561" w:firstLineChars="0" w:firstLine="0"/>
        <w:rPr>
          <w:rFonts w:ascii="Times New Roman" w:eastAsia="宋体" w:hAnsi="Times New Roman" w:cs="Times New Roman"/>
          <w:sz w:val="28"/>
          <w:szCs w:val="28"/>
        </w:rPr>
      </w:pPr>
      <m:oMathPara>
        <m:oMath>
          <m:r>
            <w:rPr>
              <w:rFonts w:ascii="Cambria Math" w:eastAsia="宋体" w:hAnsi="Cambria Math" w:cs="Times New Roman"/>
              <w:sz w:val="28"/>
              <w:szCs w:val="28"/>
            </w:rPr>
            <m:t>n</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p>
                <m:sSupPr>
                  <m:ctrlPr>
                    <w:rPr>
                      <w:rFonts w:ascii="Cambria Math" w:eastAsia="宋体" w:hAnsi="Cambria Math" w:cs="Times New Roman"/>
                      <w:i/>
                      <w:sz w:val="28"/>
                      <w:szCs w:val="28"/>
                    </w:rPr>
                  </m:ctrlPr>
                </m:sSupPr>
                <m:e>
                  <m:d>
                    <m:dPr>
                      <m:begChr m:val="["/>
                      <m:endChr m:val="]"/>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1-α/2</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rad>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1-β</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e>
                          </m:d>
                        </m:e>
                      </m:rad>
                    </m:e>
                  </m:d>
                </m:e>
                <m:sup>
                  <m:r>
                    <w:rPr>
                      <w:rFonts w:ascii="Cambria Math" w:eastAsia="宋体" w:hAnsi="Cambria Math" w:cs="Times New Roman"/>
                      <w:sz w:val="28"/>
                      <w:szCs w:val="28"/>
                    </w:rPr>
                    <m:t>2</m:t>
                  </m:r>
                </m:sup>
              </m:sSup>
            </m:num>
            <m:den>
              <m:sSup>
                <m:sSupPr>
                  <m:ctrlPr>
                    <w:rPr>
                      <w:rFonts w:ascii="Cambria Math" w:eastAsia="宋体" w:hAnsi="Cambria Math" w:cs="Times New Roman"/>
                      <w:i/>
                      <w:sz w:val="28"/>
                      <w:szCs w:val="28"/>
                    </w:rPr>
                  </m:ctrlPr>
                </m:sSupPr>
                <m:e>
                  <m:d>
                    <m:dPr>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sup>
                  <m:r>
                    <w:rPr>
                      <w:rFonts w:ascii="Cambria Math" w:eastAsia="宋体" w:hAnsi="Cambria Math" w:cs="Times New Roman"/>
                      <w:sz w:val="28"/>
                      <w:szCs w:val="28"/>
                    </w:rPr>
                    <m:t>2</m:t>
                  </m:r>
                </m:sup>
              </m:sSup>
            </m:den>
          </m:f>
        </m:oMath>
      </m:oMathPara>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公式中</w:t>
      </w:r>
      <w:r>
        <w:rPr>
          <w:rFonts w:ascii="Times New Roman" w:eastAsia="宋体" w:hAnsi="Times New Roman" w:cs="Times New Roman"/>
          <w:sz w:val="28"/>
          <w:szCs w:val="28"/>
        </w:rPr>
        <w:t>n</w:t>
      </w:r>
      <w:r>
        <w:rPr>
          <w:rFonts w:ascii="Times New Roman" w:eastAsia="宋体" w:hAnsi="Times New Roman" w:cs="Times New Roman"/>
          <w:sz w:val="28"/>
          <w:szCs w:val="28"/>
        </w:rPr>
        <w:t>为试验器械样本量；</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1-α/2</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为标准正态分布的分数位，</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w:t>
      </w:r>
      <w:r>
        <w:rPr>
          <w:rFonts w:ascii="Times New Roman" w:eastAsia="宋体" w:hAnsi="Times New Roman" w:cs="Times New Roman"/>
          <w:sz w:val="28"/>
          <w:szCs w:val="28"/>
        </w:rPr>
        <w:t>/2=1.96</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=0.842</w:t>
      </w:r>
      <w:r>
        <w:rPr>
          <w:rFonts w:ascii="Times New Roman" w:eastAsia="宋体" w:hAnsi="Times New Roman" w:cs="Times New Roman"/>
          <w:sz w:val="28"/>
          <w:szCs w:val="28"/>
        </w:rPr>
        <w:t>。</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T</w:t>
      </w:r>
      <w:r>
        <w:rPr>
          <w:rFonts w:ascii="Times New Roman" w:eastAsia="宋体" w:hAnsi="Times New Roman" w:cs="Times New Roman"/>
          <w:sz w:val="28"/>
          <w:szCs w:val="28"/>
        </w:rPr>
        <w:t>为试验组预期事件发生率，</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0</w:t>
      </w:r>
      <w:r>
        <w:rPr>
          <w:rFonts w:ascii="Times New Roman" w:eastAsia="宋体" w:hAnsi="Times New Roman" w:cs="Times New Roman"/>
          <w:sz w:val="28"/>
          <w:szCs w:val="28"/>
        </w:rPr>
        <w:t>为目标值。</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本试验主要安全性指标为术后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）发生率，采用目标值设计。根据</w:t>
      </w:r>
      <w:r>
        <w:rPr>
          <w:rFonts w:ascii="Times New Roman" w:eastAsia="宋体" w:hAnsi="Times New Roman" w:cs="Times New Roman"/>
        </w:rPr>
        <w:t>Disrupt CAD I</w:t>
      </w:r>
      <w:r>
        <w:rPr>
          <w:rFonts w:ascii="Times New Roman" w:eastAsia="宋体" w:hAnsi="Times New Roman" w:cs="Times New Roman"/>
          <w:vertAlign w:val="superscript"/>
        </w:rPr>
        <w:t>[2,11]</w:t>
      </w:r>
      <w:r>
        <w:rPr>
          <w:rFonts w:ascii="Times New Roman" w:eastAsia="宋体" w:hAnsi="Times New Roman" w:cs="Times New Roman" w:hint="eastAsia"/>
        </w:rPr>
        <w:t>、</w:t>
      </w:r>
      <w:r>
        <w:rPr>
          <w:rFonts w:ascii="Times New Roman" w:eastAsia="宋体" w:hAnsi="Times New Roman" w:cs="Times New Roman"/>
        </w:rPr>
        <w:t>II</w:t>
      </w:r>
      <w:r>
        <w:rPr>
          <w:rFonts w:ascii="Times New Roman" w:eastAsia="宋体" w:hAnsi="Times New Roman" w:cs="Times New Roman"/>
          <w:vertAlign w:val="superscript"/>
        </w:rPr>
        <w:t>[7]</w:t>
      </w:r>
      <w:r>
        <w:rPr>
          <w:rFonts w:ascii="Times New Roman" w:eastAsia="宋体" w:hAnsi="Times New Roman" w:cs="Times New Roman" w:hint="eastAsia"/>
        </w:rPr>
        <w:t>、</w:t>
      </w:r>
      <w:r>
        <w:rPr>
          <w:rFonts w:ascii="Times New Roman" w:eastAsia="宋体" w:hAnsi="Times New Roman" w:cs="Times New Roman"/>
        </w:rPr>
        <w:t>III</w:t>
      </w:r>
      <w:r>
        <w:rPr>
          <w:rFonts w:ascii="Times New Roman" w:eastAsia="宋体" w:hAnsi="Times New Roman" w:cs="Times New Roman"/>
          <w:vertAlign w:val="superscript"/>
        </w:rPr>
        <w:t>[13]</w:t>
      </w:r>
      <w:r>
        <w:rPr>
          <w:rFonts w:ascii="Times New Roman" w:eastAsia="宋体" w:hAnsi="Times New Roman" w:cs="Times New Roman" w:hint="eastAsia"/>
        </w:rPr>
        <w:t>、</w:t>
      </w:r>
      <w:r>
        <w:rPr>
          <w:rFonts w:ascii="Times New Roman" w:eastAsia="宋体" w:hAnsi="Times New Roman" w:cs="Times New Roman"/>
        </w:rPr>
        <w:t>IV</w:t>
      </w:r>
      <w:r>
        <w:rPr>
          <w:rFonts w:ascii="Times New Roman" w:eastAsia="宋体" w:hAnsi="Times New Roman" w:cs="Times New Roman"/>
          <w:vertAlign w:val="superscript"/>
        </w:rPr>
        <w:t>[12]</w:t>
      </w:r>
      <w:r>
        <w:rPr>
          <w:rFonts w:ascii="Times New Roman" w:eastAsia="宋体" w:hAnsi="Times New Roman" w:cs="Times New Roman" w:hint="eastAsia"/>
        </w:rPr>
        <w:t>及乐普血管内冲击波治疗设备研究数据得出术后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）发生率在</w:t>
      </w:r>
      <w:r>
        <w:rPr>
          <w:rFonts w:ascii="Times New Roman" w:eastAsia="宋体" w:hAnsi="Times New Roman" w:cs="Times New Roman"/>
        </w:rPr>
        <w:t>92.2-99.41%</w:t>
      </w:r>
      <w:r>
        <w:rPr>
          <w:rFonts w:ascii="Times New Roman" w:eastAsia="宋体" w:hAnsi="Times New Roman" w:cs="Times New Roman" w:hint="eastAsia"/>
        </w:rPr>
        <w:t>之间，且</w:t>
      </w:r>
      <w:r>
        <w:rPr>
          <w:rFonts w:ascii="Times New Roman" w:eastAsia="宋体" w:hAnsi="Times New Roman" w:cs="Times New Roman"/>
        </w:rPr>
        <w:t>Disrupt CAD III</w:t>
      </w:r>
      <w:r>
        <w:rPr>
          <w:rFonts w:ascii="Times New Roman" w:eastAsia="宋体" w:hAnsi="Times New Roman" w:cs="Times New Roman"/>
          <w:vertAlign w:val="superscript"/>
        </w:rPr>
        <w:t>[13]</w:t>
      </w:r>
      <w:r>
        <w:rPr>
          <w:rFonts w:ascii="Times New Roman" w:eastAsia="宋体" w:hAnsi="Times New Roman" w:cs="Times New Roman" w:hint="eastAsia"/>
        </w:rPr>
        <w:t>和乐普血管内冲击波治疗设备主要安全性终点目标值均设置为</w:t>
      </w:r>
      <w:r>
        <w:rPr>
          <w:rFonts w:ascii="Times New Roman" w:eastAsia="宋体" w:hAnsi="Times New Roman" w:cs="Times New Roman"/>
        </w:rPr>
        <w:t>84.4%</w:t>
      </w:r>
      <w:r>
        <w:rPr>
          <w:rFonts w:ascii="Times New Roman" w:eastAsia="宋体" w:hAnsi="Times New Roman" w:cs="Times New Roman" w:hint="eastAsia"/>
        </w:rPr>
        <w:t>。基于以上数据，将本试验术后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）发生率的目标值设为</w:t>
      </w:r>
      <w:r>
        <w:rPr>
          <w:rFonts w:ascii="Times New Roman" w:eastAsia="宋体" w:hAnsi="Times New Roman" w:cs="Times New Roman"/>
        </w:rPr>
        <w:t>84.4%</w:t>
      </w:r>
      <w:r>
        <w:rPr>
          <w:rFonts w:ascii="Times New Roman" w:eastAsia="宋体" w:hAnsi="Times New Roman" w:cs="Times New Roman" w:hint="eastAsia"/>
        </w:rPr>
        <w:t>，假设术后</w:t>
      </w:r>
      <w:r>
        <w:rPr>
          <w:rFonts w:ascii="Times New Roman" w:eastAsia="宋体" w:hAnsi="Times New Roman" w:cs="Times New Roman"/>
        </w:rPr>
        <w:t>1</w:t>
      </w:r>
      <w:r>
        <w:rPr>
          <w:rFonts w:ascii="Times New Roman" w:eastAsia="宋体" w:hAnsi="Times New Roman" w:cs="Times New Roman" w:hint="eastAsia"/>
        </w:rPr>
        <w:t>个月无主要不良事件（</w:t>
      </w:r>
      <w:r>
        <w:rPr>
          <w:rFonts w:ascii="Times New Roman" w:eastAsia="宋体" w:hAnsi="Times New Roman" w:cs="Times New Roman"/>
        </w:rPr>
        <w:t>MACE</w:t>
      </w:r>
      <w:r>
        <w:rPr>
          <w:rFonts w:ascii="Times New Roman" w:eastAsia="宋体" w:hAnsi="Times New Roman" w:cs="Times New Roman" w:hint="eastAsia"/>
        </w:rPr>
        <w:t>）发生率能达到</w:t>
      </w:r>
      <w:r>
        <w:rPr>
          <w:rFonts w:ascii="Times New Roman" w:eastAsia="宋体" w:hAnsi="Times New Roman" w:cs="Times New Roman"/>
        </w:rPr>
        <w:t>94%</w:t>
      </w:r>
      <w:r>
        <w:rPr>
          <w:rFonts w:ascii="Times New Roman" w:eastAsia="宋体" w:hAnsi="Times New Roman" w:cs="Times New Roman" w:hint="eastAsia"/>
        </w:rPr>
        <w:t>的水平。根据统计学要求，检验水准为单侧α</w:t>
      </w:r>
      <w:r>
        <w:rPr>
          <w:rFonts w:ascii="Times New Roman" w:eastAsia="宋体" w:hAnsi="Times New Roman" w:cs="Times New Roman"/>
        </w:rPr>
        <w:t>=0.025</w:t>
      </w:r>
      <w:r>
        <w:rPr>
          <w:rFonts w:ascii="Times New Roman" w:eastAsia="宋体" w:hAnsi="Times New Roman" w:cs="Times New Roman" w:hint="eastAsia"/>
        </w:rPr>
        <w:t>，把握度为</w:t>
      </w:r>
      <w:r>
        <w:rPr>
          <w:rFonts w:ascii="Times New Roman" w:eastAsia="宋体" w:hAnsi="Times New Roman" w:cs="Times New Roman" w:hint="eastAsia"/>
        </w:rPr>
        <w:t>0</w:t>
      </w:r>
      <w:r>
        <w:rPr>
          <w:rFonts w:ascii="Times New Roman" w:eastAsia="宋体" w:hAnsi="Times New Roman" w:cs="Times New Roman"/>
        </w:rPr>
        <w:t>.9</w:t>
      </w:r>
      <w:r>
        <w:rPr>
          <w:rFonts w:ascii="Times New Roman" w:eastAsia="宋体" w:hAnsi="Times New Roman" w:cs="Times New Roman" w:hint="eastAsia"/>
        </w:rPr>
        <w:t>，经计算样本量为</w:t>
      </w:r>
      <w:r>
        <w:rPr>
          <w:rFonts w:ascii="Times New Roman" w:eastAsia="宋体" w:hAnsi="Times New Roman" w:cs="Times New Roman"/>
        </w:rPr>
        <w:t>112</w:t>
      </w:r>
      <w:r>
        <w:rPr>
          <w:rFonts w:ascii="Times New Roman" w:eastAsia="宋体" w:hAnsi="Times New Roman" w:cs="Times New Roman" w:hint="eastAsia"/>
        </w:rPr>
        <w:t>例。考虑</w:t>
      </w:r>
      <w:r>
        <w:rPr>
          <w:rFonts w:ascii="Times New Roman" w:eastAsia="宋体" w:hAnsi="Times New Roman" w:cs="Times New Roman"/>
        </w:rPr>
        <w:t>10%</w:t>
      </w:r>
      <w:r>
        <w:rPr>
          <w:rFonts w:ascii="Times New Roman" w:eastAsia="宋体" w:hAnsi="Times New Roman" w:cs="Times New Roman" w:hint="eastAsia"/>
        </w:rPr>
        <w:t>的脱落率，样本量为</w:t>
      </w:r>
      <w:r>
        <w:rPr>
          <w:rFonts w:ascii="Times New Roman" w:eastAsia="宋体" w:hAnsi="Times New Roman" w:cs="Times New Roman"/>
        </w:rPr>
        <w:t>125</w:t>
      </w:r>
      <w:r>
        <w:rPr>
          <w:rFonts w:ascii="Times New Roman" w:eastAsia="宋体" w:hAnsi="Times New Roman" w:cs="Times New Roman" w:hint="eastAsia"/>
        </w:rPr>
        <w:t>例。</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样本量计算公式为：</w:t>
      </w:r>
    </w:p>
    <w:p w:rsidR="00CA2089" w:rsidRDefault="00035E4E">
      <w:pPr>
        <w:pStyle w:val="af0"/>
        <w:spacing w:line="360" w:lineRule="auto"/>
        <w:ind w:left="561" w:firstLineChars="0" w:firstLine="0"/>
        <w:rPr>
          <w:rFonts w:ascii="Times New Roman" w:eastAsia="宋体" w:hAnsi="Times New Roman" w:cs="Times New Roman"/>
          <w:sz w:val="28"/>
          <w:szCs w:val="28"/>
        </w:rPr>
      </w:pPr>
      <m:oMathPara>
        <m:oMath>
          <m:r>
            <w:rPr>
              <w:rFonts w:ascii="Cambria Math" w:eastAsia="宋体" w:hAnsi="Cambria Math" w:cs="Times New Roman"/>
              <w:sz w:val="28"/>
              <w:szCs w:val="28"/>
            </w:rPr>
            <m:t>n</m:t>
          </m:r>
          <m:r>
            <m:rPr>
              <m:sty m:val="p"/>
            </m:rPr>
            <w:rPr>
              <w:rFonts w:ascii="Cambria Math" w:eastAsia="宋体" w:hAnsi="Cambria Math" w:cs="Times New Roman"/>
              <w:sz w:val="28"/>
              <w:szCs w:val="28"/>
            </w:rPr>
            <m:t>=</m:t>
          </m:r>
          <m:f>
            <m:fPr>
              <m:ctrlPr>
                <w:rPr>
                  <w:rFonts w:ascii="Cambria Math" w:eastAsia="宋体" w:hAnsi="Cambria Math" w:cs="Times New Roman"/>
                  <w:sz w:val="28"/>
                  <w:szCs w:val="28"/>
                </w:rPr>
              </m:ctrlPr>
            </m:fPr>
            <m:num>
              <m:sSup>
                <m:sSupPr>
                  <m:ctrlPr>
                    <w:rPr>
                      <w:rFonts w:ascii="Cambria Math" w:eastAsia="宋体" w:hAnsi="Cambria Math" w:cs="Times New Roman"/>
                      <w:i/>
                      <w:sz w:val="28"/>
                      <w:szCs w:val="28"/>
                    </w:rPr>
                  </m:ctrlPr>
                </m:sSupPr>
                <m:e>
                  <m:d>
                    <m:dPr>
                      <m:begChr m:val="["/>
                      <m:endChr m:val="]"/>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1-α/2</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rad>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Z</m:t>
                          </m:r>
                        </m:e>
                        <m:sub>
                          <m:r>
                            <w:rPr>
                              <w:rFonts w:ascii="Cambria Math" w:eastAsia="宋体" w:hAnsi="Cambria Math" w:cs="Times New Roman"/>
                              <w:sz w:val="28"/>
                              <w:szCs w:val="28"/>
                            </w:rPr>
                            <m:t>1-β</m:t>
                          </m:r>
                        </m:sub>
                      </m:sSub>
                      <m:rad>
                        <m:radPr>
                          <m:degHide m:val="1"/>
                          <m:ctrlPr>
                            <w:rPr>
                              <w:rFonts w:ascii="Cambria Math" w:eastAsia="宋体" w:hAnsi="Cambria Math" w:cs="Times New Roman"/>
                              <w:i/>
                              <w:sz w:val="28"/>
                              <w:szCs w:val="28"/>
                            </w:rPr>
                          </m:ctrlPr>
                        </m:radPr>
                        <m:deg/>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1-</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e>
                          </m:d>
                        </m:e>
                      </m:rad>
                    </m:e>
                  </m:d>
                </m:e>
                <m:sup>
                  <m:r>
                    <w:rPr>
                      <w:rFonts w:ascii="Cambria Math" w:eastAsia="宋体" w:hAnsi="Cambria Math" w:cs="Times New Roman"/>
                      <w:sz w:val="28"/>
                      <w:szCs w:val="28"/>
                    </w:rPr>
                    <m:t>2</m:t>
                  </m:r>
                </m:sup>
              </m:sSup>
            </m:num>
            <m:den>
              <m:sSup>
                <m:sSupPr>
                  <m:ctrlPr>
                    <w:rPr>
                      <w:rFonts w:ascii="Cambria Math" w:eastAsia="宋体" w:hAnsi="Cambria Math" w:cs="Times New Roman"/>
                      <w:i/>
                      <w:sz w:val="28"/>
                      <w:szCs w:val="28"/>
                    </w:rPr>
                  </m:ctrlPr>
                </m:sSupPr>
                <m:e>
                  <m:d>
                    <m:dPr>
                      <m:ctrlPr>
                        <w:rPr>
                          <w:rFonts w:ascii="Cambria Math" w:eastAsia="宋体" w:hAnsi="Cambria Math" w:cs="Times New Roman"/>
                          <w:i/>
                          <w:sz w:val="28"/>
                          <w:szCs w:val="28"/>
                        </w:rPr>
                      </m:ctrlPr>
                    </m:dPr>
                    <m:e>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T</m:t>
                          </m:r>
                        </m:sub>
                      </m:sSub>
                      <m:r>
                        <w:rPr>
                          <w:rFonts w:ascii="Cambria Math" w:eastAsia="宋体" w:hAnsi="Cambria Math" w:cs="Times New Roman"/>
                          <w:sz w:val="28"/>
                          <w:szCs w:val="28"/>
                        </w:rPr>
                        <m:t>-</m:t>
                      </m:r>
                      <m:sSub>
                        <m:sSubPr>
                          <m:ctrlPr>
                            <w:rPr>
                              <w:rFonts w:ascii="Cambria Math" w:eastAsia="宋体" w:hAnsi="Cambria Math" w:cs="Times New Roman"/>
                              <w:i/>
                              <w:sz w:val="28"/>
                              <w:szCs w:val="28"/>
                            </w:rPr>
                          </m:ctrlPr>
                        </m:sSubPr>
                        <m:e>
                          <m:r>
                            <w:rPr>
                              <w:rFonts w:ascii="Cambria Math" w:eastAsia="宋体" w:hAnsi="Cambria Math" w:cs="Times New Roman"/>
                              <w:sz w:val="28"/>
                              <w:szCs w:val="28"/>
                            </w:rPr>
                            <m:t>P</m:t>
                          </m:r>
                        </m:e>
                        <m:sub>
                          <m:r>
                            <w:rPr>
                              <w:rFonts w:ascii="Cambria Math" w:eastAsia="宋体" w:hAnsi="Cambria Math" w:cs="Times New Roman"/>
                              <w:sz w:val="28"/>
                              <w:szCs w:val="28"/>
                            </w:rPr>
                            <m:t>0</m:t>
                          </m:r>
                        </m:sub>
                      </m:sSub>
                    </m:e>
                  </m:d>
                </m:e>
                <m:sup>
                  <m:r>
                    <w:rPr>
                      <w:rFonts w:ascii="Cambria Math" w:eastAsia="宋体" w:hAnsi="Cambria Math" w:cs="Times New Roman"/>
                      <w:sz w:val="28"/>
                      <w:szCs w:val="28"/>
                    </w:rPr>
                    <m:t>2</m:t>
                  </m:r>
                </m:sup>
              </m:sSup>
            </m:den>
          </m:f>
        </m:oMath>
      </m:oMathPara>
    </w:p>
    <w:p w:rsidR="00CA2089" w:rsidRDefault="00035E4E">
      <w:pPr>
        <w:pStyle w:val="af0"/>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公式中</w:t>
      </w:r>
      <w:r>
        <w:rPr>
          <w:rFonts w:ascii="Times New Roman" w:eastAsia="宋体" w:hAnsi="Times New Roman" w:cs="Times New Roman"/>
          <w:sz w:val="28"/>
          <w:szCs w:val="28"/>
        </w:rPr>
        <w:t>n</w:t>
      </w:r>
      <w:r>
        <w:rPr>
          <w:rFonts w:ascii="Times New Roman" w:eastAsia="宋体" w:hAnsi="Times New Roman" w:cs="Times New Roman"/>
          <w:sz w:val="28"/>
          <w:szCs w:val="28"/>
        </w:rPr>
        <w:t>为试验器械样本量；</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1-α/2</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为标准正态分布的分数位，</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1-α</w:t>
      </w:r>
      <w:r>
        <w:rPr>
          <w:rFonts w:ascii="Times New Roman" w:eastAsia="宋体" w:hAnsi="Times New Roman" w:cs="Times New Roman"/>
          <w:sz w:val="28"/>
          <w:szCs w:val="28"/>
        </w:rPr>
        <w:t>/2=1.96</w:t>
      </w:r>
      <w:r>
        <w:rPr>
          <w:rFonts w:ascii="Times New Roman" w:eastAsia="宋体" w:hAnsi="Times New Roman" w:cs="Times New Roman"/>
          <w:sz w:val="28"/>
          <w:szCs w:val="28"/>
        </w:rPr>
        <w:t>，</w:t>
      </w:r>
      <w:r>
        <w:rPr>
          <w:rFonts w:ascii="Times New Roman" w:eastAsia="宋体" w:hAnsi="Times New Roman" w:cs="Times New Roman"/>
          <w:sz w:val="28"/>
          <w:szCs w:val="28"/>
        </w:rPr>
        <w:t>Z</w:t>
      </w:r>
      <w:r>
        <w:rPr>
          <w:rFonts w:ascii="Times New Roman" w:eastAsia="宋体" w:hAnsi="Times New Roman" w:cs="Times New Roman"/>
          <w:sz w:val="28"/>
          <w:szCs w:val="28"/>
          <w:vertAlign w:val="subscript"/>
        </w:rPr>
        <w:t>1-β</w:t>
      </w:r>
      <w:r>
        <w:rPr>
          <w:rFonts w:ascii="Times New Roman" w:eastAsia="宋体" w:hAnsi="Times New Roman" w:cs="Times New Roman"/>
          <w:sz w:val="28"/>
          <w:szCs w:val="28"/>
        </w:rPr>
        <w:t>=0.842</w:t>
      </w:r>
      <w:r>
        <w:rPr>
          <w:rFonts w:ascii="Times New Roman" w:eastAsia="宋体" w:hAnsi="Times New Roman" w:cs="Times New Roman"/>
          <w:sz w:val="28"/>
          <w:szCs w:val="28"/>
        </w:rPr>
        <w:t>。</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T</w:t>
      </w:r>
      <w:r>
        <w:rPr>
          <w:rFonts w:ascii="Times New Roman" w:eastAsia="宋体" w:hAnsi="Times New Roman" w:cs="Times New Roman"/>
          <w:sz w:val="28"/>
          <w:szCs w:val="28"/>
        </w:rPr>
        <w:t>为试验组预期事件发生率，</w:t>
      </w:r>
      <w:r>
        <w:rPr>
          <w:rFonts w:ascii="Times New Roman" w:eastAsia="宋体" w:hAnsi="Times New Roman" w:cs="Times New Roman"/>
          <w:sz w:val="28"/>
          <w:szCs w:val="28"/>
        </w:rPr>
        <w:t>P</w:t>
      </w:r>
      <w:r>
        <w:rPr>
          <w:rFonts w:ascii="Times New Roman" w:eastAsia="宋体" w:hAnsi="Times New Roman" w:cs="Times New Roman"/>
          <w:sz w:val="28"/>
          <w:szCs w:val="28"/>
          <w:vertAlign w:val="subscript"/>
        </w:rPr>
        <w:t>0</w:t>
      </w:r>
      <w:r>
        <w:rPr>
          <w:rFonts w:ascii="Times New Roman" w:eastAsia="宋体" w:hAnsi="Times New Roman" w:cs="Times New Roman"/>
          <w:sz w:val="28"/>
          <w:szCs w:val="28"/>
        </w:rPr>
        <w:t>为目标值。</w:t>
      </w:r>
    </w:p>
    <w:p w:rsidR="00CA2089" w:rsidRDefault="00035E4E">
      <w:pPr>
        <w:pStyle w:val="af0"/>
        <w:spacing w:line="360" w:lineRule="auto"/>
        <w:ind w:firstLineChars="200" w:firstLine="600"/>
        <w:rPr>
          <w:rFonts w:ascii="Times New Roman" w:eastAsia="宋体" w:hAnsi="Times New Roman" w:cs="Times New Roman"/>
        </w:rPr>
      </w:pPr>
      <w:r>
        <w:rPr>
          <w:rFonts w:ascii="Times New Roman" w:eastAsia="宋体" w:hAnsi="Times New Roman" w:cs="Times New Roman" w:hint="eastAsia"/>
        </w:rPr>
        <w:t>综上，两个主要指标分别计算得到的样本量为</w:t>
      </w:r>
      <w:r>
        <w:rPr>
          <w:rFonts w:ascii="Times New Roman" w:eastAsia="宋体" w:hAnsi="Times New Roman" w:cs="Times New Roman"/>
        </w:rPr>
        <w:t>205</w:t>
      </w:r>
      <w:r>
        <w:rPr>
          <w:rFonts w:ascii="Times New Roman" w:eastAsia="宋体" w:hAnsi="Times New Roman" w:cs="Times New Roman" w:hint="eastAsia"/>
        </w:rPr>
        <w:t>例与</w:t>
      </w:r>
      <w:r>
        <w:rPr>
          <w:rFonts w:ascii="Times New Roman" w:eastAsia="宋体" w:hAnsi="Times New Roman" w:cs="Times New Roman"/>
        </w:rPr>
        <w:t>125</w:t>
      </w:r>
      <w:r>
        <w:rPr>
          <w:rFonts w:ascii="Times New Roman" w:eastAsia="宋体" w:hAnsi="Times New Roman" w:cs="Times New Roman" w:hint="eastAsia"/>
        </w:rPr>
        <w:t>例，取较大者</w:t>
      </w:r>
      <w:proofErr w:type="gramStart"/>
      <w:r>
        <w:rPr>
          <w:rFonts w:ascii="Times New Roman" w:eastAsia="宋体" w:hAnsi="Times New Roman" w:cs="Times New Roman" w:hint="eastAsia"/>
        </w:rPr>
        <w:t>做为</w:t>
      </w:r>
      <w:proofErr w:type="gramEnd"/>
      <w:r>
        <w:rPr>
          <w:rFonts w:ascii="Times New Roman" w:eastAsia="宋体" w:hAnsi="Times New Roman" w:cs="Times New Roman" w:hint="eastAsia"/>
        </w:rPr>
        <w:t>总样本量，即所需样本量为</w:t>
      </w:r>
      <w:r>
        <w:rPr>
          <w:rFonts w:ascii="Times New Roman" w:eastAsia="宋体" w:hAnsi="Times New Roman" w:cs="Times New Roman"/>
        </w:rPr>
        <w:t>205</w:t>
      </w:r>
      <w:r>
        <w:rPr>
          <w:rFonts w:ascii="Times New Roman" w:eastAsia="宋体" w:hAnsi="Times New Roman" w:cs="Times New Roman" w:hint="eastAsia"/>
        </w:rPr>
        <w:t>例。</w:t>
      </w:r>
    </w:p>
    <w:p w:rsidR="00CA2089" w:rsidRDefault="00035E4E">
      <w:pPr>
        <w:pStyle w:val="af0"/>
        <w:numPr>
          <w:ilvl w:val="0"/>
          <w:numId w:val="16"/>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lastRenderedPageBreak/>
        <w:t>样本量分配以及其确定依据</w:t>
      </w:r>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本试验方案对入选患者的</w:t>
      </w:r>
      <w:proofErr w:type="gramStart"/>
      <w:r>
        <w:rPr>
          <w:rFonts w:ascii="Times New Roman" w:eastAsia="宋体" w:hAnsi="Times New Roman" w:cs="Times New Roman"/>
          <w:sz w:val="28"/>
          <w:szCs w:val="28"/>
        </w:rPr>
        <w:t>入排标准</w:t>
      </w:r>
      <w:proofErr w:type="gramEnd"/>
      <w:r>
        <w:rPr>
          <w:rFonts w:ascii="Times New Roman" w:eastAsia="宋体" w:hAnsi="Times New Roman" w:cs="Times New Roman"/>
          <w:sz w:val="28"/>
          <w:szCs w:val="28"/>
        </w:rPr>
        <w:t>进行了严格的限制，可以认为目前的研究仅针对单一适应症患者开展，入组受试者均属于相同病种，不再对其进行进一步的划分。本试验将同时在多家临床试验机构同时开展，原则上，将尽可能的均匀分配各中心入组的数量，以保证充分的中心代表性。但考虑到可行性和入选进度，将根据实际情况对各参加单位的入组数量进行调整，尽量保证每家中心入选规模的平衡性，而对某一特定中心、其最终的入组规模不应超过总病例数的</w:t>
      </w:r>
      <w:r>
        <w:rPr>
          <w:rFonts w:ascii="Times New Roman" w:eastAsia="宋体" w:hAnsi="Times New Roman" w:cs="Times New Roman"/>
          <w:sz w:val="28"/>
          <w:szCs w:val="28"/>
        </w:rPr>
        <w:t>50%</w:t>
      </w:r>
      <w:r>
        <w:rPr>
          <w:rFonts w:ascii="Times New Roman" w:eastAsia="宋体" w:hAnsi="Times New Roman" w:cs="Times New Roman"/>
          <w:sz w:val="28"/>
          <w:szCs w:val="28"/>
        </w:rPr>
        <w:t>。</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2" w:name="_Toc134753815"/>
      <w:bookmarkStart w:id="73" w:name="_Toc15296"/>
      <w:r>
        <w:rPr>
          <w:rFonts w:ascii="Times New Roman" w:eastAsia="宋体" w:hAnsi="Times New Roman" w:cs="Times New Roman"/>
          <w:sz w:val="28"/>
          <w:szCs w:val="28"/>
        </w:rPr>
        <w:t>（二）分析数据集</w:t>
      </w:r>
      <w:bookmarkEnd w:id="72"/>
      <w:bookmarkEnd w:id="73"/>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统计分析将在下述分析人群的基础上进行，统计分析开始前就会对分析人群进行明确的界定，本研究中的分析人群包括：</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全分析集（</w:t>
      </w:r>
      <w:r>
        <w:rPr>
          <w:rFonts w:ascii="Times New Roman" w:eastAsia="宋体" w:hAnsi="Times New Roman" w:cs="Times New Roman"/>
          <w:sz w:val="28"/>
          <w:szCs w:val="28"/>
        </w:rPr>
        <w:t>FAS</w:t>
      </w:r>
      <w:r>
        <w:rPr>
          <w:rFonts w:ascii="Times New Roman" w:eastAsia="宋体" w:hAnsi="Times New Roman" w:cs="Times New Roman"/>
          <w:sz w:val="28"/>
          <w:szCs w:val="28"/>
        </w:rPr>
        <w:t>）：按照意向性治疗（</w:t>
      </w:r>
      <w:r>
        <w:rPr>
          <w:rFonts w:ascii="Times New Roman" w:eastAsia="宋体" w:hAnsi="Times New Roman" w:cs="Times New Roman"/>
          <w:sz w:val="28"/>
          <w:szCs w:val="28"/>
        </w:rPr>
        <w:t>Intention To Treat</w:t>
      </w:r>
      <w:r>
        <w:rPr>
          <w:rFonts w:ascii="Times New Roman" w:eastAsia="宋体" w:hAnsi="Times New Roman" w:cs="Times New Roman"/>
          <w:sz w:val="28"/>
          <w:szCs w:val="28"/>
        </w:rPr>
        <w:t>，</w:t>
      </w:r>
      <w:r>
        <w:rPr>
          <w:rFonts w:ascii="Times New Roman" w:eastAsia="宋体" w:hAnsi="Times New Roman" w:cs="Times New Roman"/>
          <w:sz w:val="28"/>
          <w:szCs w:val="28"/>
        </w:rPr>
        <w:t>ITT</w:t>
      </w:r>
      <w:r>
        <w:rPr>
          <w:rFonts w:ascii="Times New Roman" w:eastAsia="宋体" w:hAnsi="Times New Roman" w:cs="Times New Roman"/>
          <w:sz w:val="28"/>
          <w:szCs w:val="28"/>
        </w:rPr>
        <w:t>）原则确定的受试者集，指所有完成注册登记且使用了研究产品的受试者所构成的数据集。</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符合方案集（</w:t>
      </w:r>
      <w:r>
        <w:rPr>
          <w:rFonts w:ascii="Times New Roman" w:eastAsia="宋体" w:hAnsi="Times New Roman" w:cs="Times New Roman"/>
          <w:sz w:val="28"/>
          <w:szCs w:val="28"/>
        </w:rPr>
        <w:t>PPS</w:t>
      </w:r>
      <w:r>
        <w:rPr>
          <w:rFonts w:ascii="Times New Roman" w:eastAsia="宋体" w:hAnsi="Times New Roman" w:cs="Times New Roman"/>
          <w:sz w:val="28"/>
          <w:szCs w:val="28"/>
        </w:rPr>
        <w:t>）：指所有完成试验，排除了严重违背方案（指研究对象违背入选标准或排除标准等）、且主要疗效指标无缺失的治疗人群亚组。</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安全性分析集（</w:t>
      </w:r>
      <w:r>
        <w:rPr>
          <w:rFonts w:ascii="Times New Roman" w:eastAsia="宋体" w:hAnsi="Times New Roman" w:cs="Times New Roman"/>
          <w:sz w:val="28"/>
          <w:szCs w:val="28"/>
        </w:rPr>
        <w:t>SS</w:t>
      </w:r>
      <w:r>
        <w:rPr>
          <w:rFonts w:ascii="Times New Roman" w:eastAsia="宋体" w:hAnsi="Times New Roman" w:cs="Times New Roman"/>
          <w:sz w:val="28"/>
          <w:szCs w:val="28"/>
        </w:rPr>
        <w:t>）：指所有参与临床试验且使用了试验用器械、并且至少有一次安全性评价的受试者集。</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4" w:name="_Toc134753816"/>
      <w:bookmarkStart w:id="75" w:name="_Toc5958"/>
      <w:r>
        <w:rPr>
          <w:rFonts w:ascii="Times New Roman" w:eastAsia="宋体" w:hAnsi="Times New Roman" w:cs="Times New Roman"/>
          <w:sz w:val="28"/>
          <w:szCs w:val="28"/>
        </w:rPr>
        <w:t>（三）受试者剔除标准</w:t>
      </w:r>
      <w:bookmarkEnd w:id="74"/>
      <w:bookmarkEnd w:id="75"/>
    </w:p>
    <w:p w:rsidR="00CA2089" w:rsidRDefault="00035E4E">
      <w:pPr>
        <w:spacing w:line="360" w:lineRule="auto"/>
        <w:ind w:firstLineChars="200" w:firstLine="560"/>
        <w:rPr>
          <w:sz w:val="28"/>
          <w:szCs w:val="28"/>
        </w:rPr>
      </w:pPr>
      <w:r>
        <w:rPr>
          <w:sz w:val="28"/>
          <w:szCs w:val="28"/>
        </w:rPr>
        <w:t>在研究数据库锁定前，由主要研究者、申办方及统计单位相关人员判</w:t>
      </w:r>
      <w:r>
        <w:rPr>
          <w:sz w:val="28"/>
          <w:szCs w:val="28"/>
        </w:rPr>
        <w:lastRenderedPageBreak/>
        <w:t>断个</w:t>
      </w:r>
      <w:proofErr w:type="gramStart"/>
      <w:r>
        <w:rPr>
          <w:sz w:val="28"/>
          <w:szCs w:val="28"/>
        </w:rPr>
        <w:t>例是否</w:t>
      </w:r>
      <w:proofErr w:type="gramEnd"/>
      <w:r>
        <w:rPr>
          <w:sz w:val="28"/>
          <w:szCs w:val="28"/>
        </w:rPr>
        <w:t>剔除。出现下列情况之一，应依据患者完成试验的程度和退出原因等因素综合判断是否将此患者剔除或纳入相应的分析人群：</w:t>
      </w:r>
    </w:p>
    <w:p w:rsidR="00CA2089" w:rsidRDefault="00035E4E">
      <w:pPr>
        <w:spacing w:line="360" w:lineRule="auto"/>
        <w:ind w:firstLineChars="200" w:firstLine="560"/>
        <w:rPr>
          <w:sz w:val="28"/>
          <w:szCs w:val="28"/>
        </w:rPr>
      </w:pPr>
      <w:r>
        <w:rPr>
          <w:sz w:val="28"/>
          <w:szCs w:val="28"/>
        </w:rPr>
        <w:t>（</w:t>
      </w:r>
      <w:r>
        <w:rPr>
          <w:sz w:val="28"/>
          <w:szCs w:val="28"/>
        </w:rPr>
        <w:t>1</w:t>
      </w:r>
      <w:r>
        <w:rPr>
          <w:sz w:val="28"/>
          <w:szCs w:val="28"/>
        </w:rPr>
        <w:t>）违反了重要的入组标准且对有效性或安全性评价有影响、未曾使用器械或入组后无任何观察数据者；</w:t>
      </w:r>
    </w:p>
    <w:p w:rsidR="00CA2089" w:rsidRDefault="00035E4E">
      <w:pPr>
        <w:spacing w:line="360" w:lineRule="auto"/>
        <w:ind w:firstLineChars="200" w:firstLine="560"/>
        <w:rPr>
          <w:sz w:val="28"/>
          <w:szCs w:val="28"/>
        </w:rPr>
      </w:pPr>
      <w:r>
        <w:rPr>
          <w:sz w:val="28"/>
          <w:szCs w:val="28"/>
        </w:rPr>
        <w:t>（</w:t>
      </w:r>
      <w:r>
        <w:rPr>
          <w:sz w:val="28"/>
          <w:szCs w:val="28"/>
        </w:rPr>
        <w:t>2</w:t>
      </w:r>
      <w:r>
        <w:rPr>
          <w:sz w:val="28"/>
          <w:szCs w:val="28"/>
        </w:rPr>
        <w:t>）主要疗效指标缺失者，或因违反方案未使用受试</w:t>
      </w:r>
      <w:proofErr w:type="gramStart"/>
      <w:r>
        <w:rPr>
          <w:sz w:val="28"/>
          <w:szCs w:val="28"/>
        </w:rPr>
        <w:t>品导致</w:t>
      </w:r>
      <w:proofErr w:type="gramEnd"/>
      <w:r>
        <w:rPr>
          <w:sz w:val="28"/>
          <w:szCs w:val="28"/>
        </w:rPr>
        <w:t>无法判定疗效者；</w:t>
      </w:r>
    </w:p>
    <w:p w:rsidR="00CA2089" w:rsidRDefault="00035E4E">
      <w:pPr>
        <w:spacing w:line="360" w:lineRule="auto"/>
        <w:ind w:firstLineChars="200" w:firstLine="560"/>
        <w:rPr>
          <w:sz w:val="28"/>
          <w:szCs w:val="28"/>
        </w:rPr>
      </w:pPr>
      <w:r>
        <w:rPr>
          <w:sz w:val="28"/>
          <w:szCs w:val="28"/>
        </w:rPr>
        <w:t>（</w:t>
      </w:r>
      <w:r>
        <w:rPr>
          <w:sz w:val="28"/>
          <w:szCs w:val="28"/>
        </w:rPr>
        <w:t>3</w:t>
      </w:r>
      <w:r>
        <w:rPr>
          <w:sz w:val="28"/>
          <w:szCs w:val="28"/>
        </w:rPr>
        <w:t>）因肝移植退出的受试者；</w:t>
      </w:r>
    </w:p>
    <w:p w:rsidR="00CA2089" w:rsidRDefault="00035E4E">
      <w:pPr>
        <w:spacing w:line="360" w:lineRule="auto"/>
        <w:ind w:firstLineChars="200" w:firstLine="560"/>
        <w:rPr>
          <w:sz w:val="28"/>
          <w:szCs w:val="28"/>
        </w:rPr>
      </w:pPr>
      <w:r>
        <w:rPr>
          <w:sz w:val="28"/>
          <w:szCs w:val="28"/>
        </w:rPr>
        <w:t>（</w:t>
      </w:r>
      <w:r>
        <w:rPr>
          <w:sz w:val="28"/>
          <w:szCs w:val="28"/>
        </w:rPr>
        <w:t>4</w:t>
      </w:r>
      <w:r>
        <w:rPr>
          <w:sz w:val="28"/>
          <w:szCs w:val="28"/>
        </w:rPr>
        <w:t>）试验期间，研究者认为患者具有其他不能继续参加试验的因素，并终止该受试者继续参加试验。</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76" w:name="_Toc134753817"/>
      <w:bookmarkStart w:id="77" w:name="_Toc21152"/>
      <w:r>
        <w:rPr>
          <w:rFonts w:ascii="Times New Roman" w:eastAsia="宋体" w:hAnsi="Times New Roman" w:cs="Times New Roman"/>
          <w:sz w:val="28"/>
          <w:szCs w:val="28"/>
        </w:rPr>
        <w:t>（四）统计方法</w:t>
      </w:r>
      <w:bookmarkEnd w:id="76"/>
      <w:bookmarkEnd w:id="77"/>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统计分析一般原则</w:t>
      </w:r>
    </w:p>
    <w:p w:rsidR="00CA2089" w:rsidRDefault="00035E4E">
      <w:pPr>
        <w:spacing w:line="360" w:lineRule="auto"/>
        <w:ind w:firstLineChars="200" w:firstLine="560"/>
        <w:rPr>
          <w:sz w:val="28"/>
          <w:szCs w:val="28"/>
        </w:rPr>
      </w:pPr>
      <w:r>
        <w:rPr>
          <w:sz w:val="28"/>
          <w:szCs w:val="28"/>
        </w:rPr>
        <w:t>统计分析所采用的软件为</w:t>
      </w:r>
      <w:r>
        <w:rPr>
          <w:sz w:val="28"/>
          <w:szCs w:val="28"/>
        </w:rPr>
        <w:t>SAS9.4</w:t>
      </w:r>
      <w:r>
        <w:rPr>
          <w:sz w:val="28"/>
          <w:szCs w:val="28"/>
        </w:rPr>
        <w:t>或以上版本统计软件。</w:t>
      </w:r>
    </w:p>
    <w:p w:rsidR="00CA2089" w:rsidRDefault="00035E4E">
      <w:pPr>
        <w:spacing w:line="360" w:lineRule="auto"/>
        <w:ind w:firstLineChars="200" w:firstLine="560"/>
        <w:rPr>
          <w:sz w:val="28"/>
          <w:szCs w:val="28"/>
        </w:rPr>
      </w:pPr>
      <w:r>
        <w:rPr>
          <w:sz w:val="28"/>
          <w:szCs w:val="28"/>
        </w:rPr>
        <w:t>本试验采用单组目标值设计，统计分析以描述性统计为主。定量指标的描述将计算均值、标准差、中位数、最小值、最大值，下四分位数（</w:t>
      </w:r>
      <w:r>
        <w:rPr>
          <w:sz w:val="28"/>
          <w:szCs w:val="28"/>
        </w:rPr>
        <w:t>Q1</w:t>
      </w:r>
      <w:r>
        <w:rPr>
          <w:sz w:val="28"/>
          <w:szCs w:val="28"/>
        </w:rPr>
        <w:t>），上四分位数（</w:t>
      </w:r>
      <w:r>
        <w:rPr>
          <w:sz w:val="28"/>
          <w:szCs w:val="28"/>
        </w:rPr>
        <w:t>Q3</w:t>
      </w:r>
      <w:r>
        <w:rPr>
          <w:sz w:val="28"/>
          <w:szCs w:val="28"/>
        </w:rPr>
        <w:t>），分类指标描述各类的例数及百分数。</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病例入组分析</w:t>
      </w:r>
    </w:p>
    <w:p w:rsidR="00CA2089" w:rsidRDefault="00035E4E">
      <w:pPr>
        <w:spacing w:line="360" w:lineRule="auto"/>
        <w:ind w:firstLineChars="200" w:firstLine="560"/>
        <w:rPr>
          <w:sz w:val="28"/>
          <w:szCs w:val="28"/>
        </w:rPr>
      </w:pPr>
      <w:r>
        <w:rPr>
          <w:sz w:val="28"/>
          <w:szCs w:val="28"/>
        </w:rPr>
        <w:t>总结各中心入组及完成数，列出脱落病例的清单。各组不同数据集大小、各中心病例分布、总脱落率比较、未完成原因详细列表。对患者的人口学资料（年龄、性别等）、病史等进行描述。</w:t>
      </w:r>
    </w:p>
    <w:p w:rsidR="00CA2089" w:rsidRDefault="00035E4E">
      <w:pPr>
        <w:spacing w:line="360" w:lineRule="auto"/>
        <w:ind w:firstLineChars="200" w:firstLine="560"/>
        <w:rPr>
          <w:sz w:val="28"/>
          <w:szCs w:val="28"/>
        </w:rPr>
      </w:pPr>
      <w:r>
        <w:rPr>
          <w:sz w:val="28"/>
          <w:szCs w:val="28"/>
        </w:rPr>
        <w:t>人口学分析基于</w:t>
      </w:r>
      <w:r>
        <w:rPr>
          <w:sz w:val="28"/>
          <w:szCs w:val="28"/>
        </w:rPr>
        <w:t>FAS</w:t>
      </w:r>
      <w:r>
        <w:rPr>
          <w:sz w:val="28"/>
          <w:szCs w:val="28"/>
        </w:rPr>
        <w:t>分析集。</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主要疗效评价指标</w:t>
      </w:r>
    </w:p>
    <w:p w:rsidR="00CA2089" w:rsidRDefault="00035E4E">
      <w:pPr>
        <w:spacing w:line="360" w:lineRule="auto"/>
        <w:ind w:firstLineChars="200" w:firstLine="560"/>
        <w:rPr>
          <w:sz w:val="28"/>
          <w:szCs w:val="28"/>
        </w:rPr>
      </w:pPr>
      <w:r>
        <w:rPr>
          <w:sz w:val="28"/>
          <w:szCs w:val="28"/>
        </w:rPr>
        <w:lastRenderedPageBreak/>
        <w:t>对于</w:t>
      </w:r>
      <w:r>
        <w:rPr>
          <w:rFonts w:hint="eastAsia"/>
          <w:sz w:val="28"/>
          <w:szCs w:val="28"/>
        </w:rPr>
        <w:t>主要疗效</w:t>
      </w:r>
      <w:r>
        <w:rPr>
          <w:sz w:val="28"/>
          <w:szCs w:val="28"/>
        </w:rPr>
        <w:t>指标手术成功率，采用单组目标值设计，假设检验为：</w:t>
      </w:r>
    </w:p>
    <w:p w:rsidR="00CA2089" w:rsidRDefault="00035E4E">
      <w:pPr>
        <w:spacing w:line="360" w:lineRule="auto"/>
        <w:jc w:val="center"/>
        <w:rPr>
          <w:sz w:val="28"/>
          <w:szCs w:val="28"/>
        </w:rPr>
      </w:pPr>
      <w:r>
        <w:rPr>
          <w:sz w:val="28"/>
          <w:szCs w:val="28"/>
        </w:rPr>
        <w:t>H</w:t>
      </w:r>
      <w:r>
        <w:rPr>
          <w:sz w:val="28"/>
          <w:szCs w:val="28"/>
          <w:vertAlign w:val="subscript"/>
        </w:rPr>
        <w:t>0</w:t>
      </w:r>
      <w:r>
        <w:rPr>
          <w:sz w:val="28"/>
          <w:szCs w:val="28"/>
        </w:rPr>
        <w:t>：</w:t>
      </w:r>
      <w:r>
        <w:rPr>
          <w:sz w:val="28"/>
          <w:szCs w:val="28"/>
        </w:rPr>
        <w:t>P</w:t>
      </w:r>
      <w:r>
        <w:rPr>
          <w:sz w:val="28"/>
          <w:szCs w:val="28"/>
          <w:vertAlign w:val="subscript"/>
        </w:rPr>
        <w:t>1</w:t>
      </w:r>
      <w:r>
        <w:rPr>
          <w:sz w:val="28"/>
          <w:szCs w:val="28"/>
        </w:rPr>
        <w:t>≤P</w:t>
      </w:r>
      <w:r>
        <w:rPr>
          <w:sz w:val="28"/>
          <w:szCs w:val="28"/>
          <w:vertAlign w:val="subscript"/>
        </w:rPr>
        <w:t>0</w:t>
      </w:r>
    </w:p>
    <w:p w:rsidR="00CA2089" w:rsidRDefault="00035E4E">
      <w:pPr>
        <w:spacing w:line="360" w:lineRule="auto"/>
        <w:jc w:val="center"/>
        <w:rPr>
          <w:sz w:val="28"/>
          <w:szCs w:val="28"/>
        </w:rPr>
      </w:pPr>
      <w:r>
        <w:rPr>
          <w:sz w:val="28"/>
          <w:szCs w:val="28"/>
        </w:rPr>
        <w:t>H</w:t>
      </w:r>
      <w:r>
        <w:rPr>
          <w:sz w:val="28"/>
          <w:szCs w:val="28"/>
          <w:vertAlign w:val="subscript"/>
        </w:rPr>
        <w:t>1</w:t>
      </w:r>
      <w:r>
        <w:rPr>
          <w:sz w:val="28"/>
          <w:szCs w:val="28"/>
        </w:rPr>
        <w:t>：</w:t>
      </w:r>
      <w:r>
        <w:rPr>
          <w:sz w:val="28"/>
          <w:szCs w:val="28"/>
        </w:rPr>
        <w:t>P</w:t>
      </w:r>
      <w:r>
        <w:rPr>
          <w:sz w:val="28"/>
          <w:szCs w:val="28"/>
          <w:vertAlign w:val="subscript"/>
        </w:rPr>
        <w:t>1</w:t>
      </w:r>
      <w:r>
        <w:rPr>
          <w:sz w:val="28"/>
          <w:szCs w:val="28"/>
        </w:rPr>
        <w:t>＞</w:t>
      </w:r>
      <w:r>
        <w:rPr>
          <w:sz w:val="28"/>
          <w:szCs w:val="28"/>
        </w:rPr>
        <w:t>P</w:t>
      </w:r>
      <w:r>
        <w:rPr>
          <w:sz w:val="28"/>
          <w:szCs w:val="28"/>
          <w:vertAlign w:val="subscript"/>
        </w:rPr>
        <w:t>0</w:t>
      </w:r>
    </w:p>
    <w:p w:rsidR="00CA2089" w:rsidRDefault="00035E4E">
      <w:pPr>
        <w:spacing w:line="360" w:lineRule="auto"/>
        <w:ind w:firstLineChars="200" w:firstLine="560"/>
        <w:rPr>
          <w:sz w:val="28"/>
          <w:szCs w:val="28"/>
        </w:rPr>
      </w:pPr>
      <w:r>
        <w:rPr>
          <w:sz w:val="28"/>
          <w:szCs w:val="28"/>
        </w:rPr>
        <w:t>公式中的</w:t>
      </w:r>
      <w:r>
        <w:rPr>
          <w:sz w:val="28"/>
          <w:szCs w:val="28"/>
        </w:rPr>
        <w:t>P</w:t>
      </w:r>
      <w:r>
        <w:rPr>
          <w:sz w:val="28"/>
          <w:szCs w:val="28"/>
          <w:vertAlign w:val="subscript"/>
        </w:rPr>
        <w:t>0</w:t>
      </w:r>
      <w:r>
        <w:rPr>
          <w:sz w:val="28"/>
          <w:szCs w:val="28"/>
        </w:rPr>
        <w:t>为主要</w:t>
      </w:r>
      <w:r>
        <w:rPr>
          <w:rFonts w:hint="eastAsia"/>
          <w:sz w:val="28"/>
          <w:szCs w:val="28"/>
        </w:rPr>
        <w:t>疗效</w:t>
      </w:r>
      <w:r>
        <w:rPr>
          <w:sz w:val="28"/>
          <w:szCs w:val="28"/>
        </w:rPr>
        <w:t>指标手术成功率的目标值，</w:t>
      </w:r>
      <w:r>
        <w:rPr>
          <w:sz w:val="28"/>
          <w:szCs w:val="28"/>
        </w:rPr>
        <w:t>P</w:t>
      </w:r>
      <w:r>
        <w:rPr>
          <w:sz w:val="28"/>
          <w:szCs w:val="28"/>
          <w:vertAlign w:val="subscript"/>
        </w:rPr>
        <w:t>1</w:t>
      </w:r>
      <w:r>
        <w:rPr>
          <w:sz w:val="28"/>
          <w:szCs w:val="28"/>
        </w:rPr>
        <w:t>为试验器械主要</w:t>
      </w:r>
      <w:r>
        <w:rPr>
          <w:rFonts w:hint="eastAsia"/>
          <w:sz w:val="28"/>
          <w:szCs w:val="28"/>
        </w:rPr>
        <w:t>疗效</w:t>
      </w:r>
      <w:r>
        <w:rPr>
          <w:sz w:val="28"/>
          <w:szCs w:val="28"/>
        </w:rPr>
        <w:t>指标的手术成功率。</w:t>
      </w:r>
    </w:p>
    <w:p w:rsidR="00CA2089" w:rsidRDefault="00035E4E">
      <w:pPr>
        <w:spacing w:line="360" w:lineRule="auto"/>
        <w:ind w:firstLineChars="200" w:firstLine="560"/>
        <w:rPr>
          <w:sz w:val="28"/>
          <w:szCs w:val="28"/>
        </w:rPr>
      </w:pPr>
      <w:r>
        <w:rPr>
          <w:sz w:val="28"/>
          <w:szCs w:val="28"/>
        </w:rPr>
        <w:t>计算手术成功率及其</w:t>
      </w:r>
      <w:r>
        <w:rPr>
          <w:sz w:val="28"/>
          <w:szCs w:val="28"/>
        </w:rPr>
        <w:t>95%</w:t>
      </w:r>
      <w:r>
        <w:rPr>
          <w:sz w:val="28"/>
          <w:szCs w:val="28"/>
        </w:rPr>
        <w:t>可信区间，并将可信区间下限与预先设定的目标值进行比较，若可信区间下限大于目标值</w:t>
      </w:r>
      <w:r>
        <w:rPr>
          <w:sz w:val="28"/>
          <w:szCs w:val="28"/>
        </w:rPr>
        <w:t>85.5%</w:t>
      </w:r>
      <w:r>
        <w:rPr>
          <w:sz w:val="28"/>
          <w:szCs w:val="28"/>
        </w:rPr>
        <w:t>，则本试验器械满足临床应用需要。</w:t>
      </w:r>
    </w:p>
    <w:p w:rsidR="00CA2089" w:rsidRDefault="00035E4E">
      <w:pPr>
        <w:ind w:firstLineChars="200" w:firstLine="560"/>
        <w:rPr>
          <w:sz w:val="28"/>
          <w:szCs w:val="28"/>
        </w:rPr>
      </w:pPr>
      <w:r>
        <w:rPr>
          <w:sz w:val="28"/>
          <w:szCs w:val="28"/>
        </w:rPr>
        <w:t>主要疗效评价基于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次要疗效评价指标</w:t>
      </w:r>
    </w:p>
    <w:p w:rsidR="00CA2089" w:rsidRDefault="00035E4E">
      <w:pPr>
        <w:ind w:firstLineChars="200" w:firstLine="560"/>
        <w:rPr>
          <w:sz w:val="28"/>
          <w:szCs w:val="28"/>
        </w:rPr>
      </w:pPr>
      <w:r>
        <w:rPr>
          <w:sz w:val="28"/>
          <w:szCs w:val="28"/>
        </w:rPr>
        <w:t>数据的统计描述与推断将根据数据的特征，选择适用的方法进行描述性统计。</w:t>
      </w:r>
    </w:p>
    <w:p w:rsidR="00CA2089" w:rsidRDefault="00035E4E">
      <w:pPr>
        <w:ind w:firstLineChars="200" w:firstLine="560"/>
        <w:rPr>
          <w:sz w:val="28"/>
          <w:szCs w:val="28"/>
        </w:rPr>
      </w:pPr>
      <w:r>
        <w:rPr>
          <w:sz w:val="28"/>
          <w:szCs w:val="28"/>
        </w:rPr>
        <w:t>器械成功率、血管造影成功率、靶病变失败发生</w:t>
      </w:r>
      <w:r>
        <w:rPr>
          <w:rFonts w:hint="eastAsia"/>
          <w:sz w:val="28"/>
          <w:szCs w:val="28"/>
        </w:rPr>
        <w:t>率</w:t>
      </w:r>
      <w:r>
        <w:rPr>
          <w:sz w:val="28"/>
          <w:szCs w:val="28"/>
        </w:rPr>
        <w:t>（</w:t>
      </w:r>
      <w:r>
        <w:rPr>
          <w:rFonts w:hint="eastAsia"/>
          <w:sz w:val="28"/>
          <w:szCs w:val="28"/>
        </w:rPr>
        <w:t>出院前</w:t>
      </w:r>
      <w:r>
        <w:rPr>
          <w:sz w:val="28"/>
          <w:szCs w:val="28"/>
        </w:rPr>
        <w:t>、术后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天）、靶血管血运重建发生率（术后即刻、</w:t>
      </w:r>
      <w:r>
        <w:rPr>
          <w:rFonts w:hint="eastAsia"/>
          <w:sz w:val="28"/>
          <w:szCs w:val="28"/>
        </w:rPr>
        <w:t>出院前</w:t>
      </w:r>
      <w:r>
        <w:rPr>
          <w:sz w:val="28"/>
          <w:szCs w:val="28"/>
        </w:rPr>
        <w:t>、术后</w:t>
      </w:r>
      <w:r>
        <w:rPr>
          <w:sz w:val="28"/>
          <w:szCs w:val="28"/>
        </w:rPr>
        <w:t>1</w:t>
      </w:r>
      <w:r>
        <w:rPr>
          <w:sz w:val="28"/>
          <w:szCs w:val="28"/>
        </w:rPr>
        <w:t>个月</w:t>
      </w:r>
      <w:r>
        <w:rPr>
          <w:sz w:val="28"/>
          <w:szCs w:val="28"/>
        </w:rPr>
        <w:t>±7</w:t>
      </w:r>
      <w:r>
        <w:rPr>
          <w:sz w:val="28"/>
          <w:szCs w:val="28"/>
        </w:rPr>
        <w:t>天、术后</w:t>
      </w:r>
      <w:r>
        <w:rPr>
          <w:sz w:val="28"/>
          <w:szCs w:val="28"/>
        </w:rPr>
        <w:t>6</w:t>
      </w:r>
      <w:r>
        <w:rPr>
          <w:sz w:val="28"/>
          <w:szCs w:val="28"/>
        </w:rPr>
        <w:t>个月</w:t>
      </w:r>
      <w:r>
        <w:rPr>
          <w:sz w:val="28"/>
          <w:szCs w:val="28"/>
        </w:rPr>
        <w:t>±14</w:t>
      </w:r>
      <w:r>
        <w:rPr>
          <w:sz w:val="28"/>
          <w:szCs w:val="28"/>
        </w:rPr>
        <w:t>天）按照分类指标进行统计分析。</w:t>
      </w:r>
    </w:p>
    <w:p w:rsidR="00CA2089" w:rsidRDefault="00035E4E">
      <w:pPr>
        <w:ind w:firstLineChars="200" w:firstLine="560"/>
        <w:rPr>
          <w:sz w:val="28"/>
          <w:szCs w:val="28"/>
        </w:rPr>
      </w:pPr>
      <w:r>
        <w:rPr>
          <w:sz w:val="28"/>
          <w:szCs w:val="28"/>
        </w:rPr>
        <w:t>试验器械</w:t>
      </w:r>
      <w:proofErr w:type="gramStart"/>
      <w:r>
        <w:rPr>
          <w:sz w:val="28"/>
          <w:szCs w:val="28"/>
        </w:rPr>
        <w:t>预处理后靶病变</w:t>
      </w:r>
      <w:proofErr w:type="gramEnd"/>
      <w:r>
        <w:rPr>
          <w:sz w:val="28"/>
          <w:szCs w:val="28"/>
        </w:rPr>
        <w:t>残余狭窄率、术后即刻靶病变残余狭窄率按照定量指标进行分析。</w:t>
      </w:r>
    </w:p>
    <w:p w:rsidR="00CA2089" w:rsidRDefault="00035E4E">
      <w:pPr>
        <w:ind w:firstLineChars="200" w:firstLine="560"/>
        <w:rPr>
          <w:sz w:val="28"/>
          <w:szCs w:val="28"/>
        </w:rPr>
      </w:pPr>
      <w:r>
        <w:rPr>
          <w:sz w:val="28"/>
          <w:szCs w:val="28"/>
        </w:rPr>
        <w:t>次要疗效评价基于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sz w:val="28"/>
          <w:szCs w:val="28"/>
        </w:rPr>
      </w:pPr>
      <w:bookmarkStart w:id="78" w:name="_Hlk176265751"/>
      <w:r>
        <w:rPr>
          <w:rFonts w:ascii="Times New Roman" w:eastAsia="宋体" w:hAnsi="Times New Roman" w:cs="Times New Roman"/>
          <w:sz w:val="28"/>
          <w:szCs w:val="28"/>
        </w:rPr>
        <w:t>IVUS</w:t>
      </w:r>
      <w:r>
        <w:rPr>
          <w:rFonts w:ascii="Times New Roman" w:eastAsia="宋体" w:hAnsi="Times New Roman" w:cs="Times New Roman" w:hint="eastAsia"/>
          <w:sz w:val="28"/>
          <w:szCs w:val="28"/>
        </w:rPr>
        <w:t>亚组疗效评价指标</w:t>
      </w:r>
    </w:p>
    <w:p w:rsidR="00CA2089" w:rsidRDefault="00035E4E">
      <w:pPr>
        <w:ind w:firstLineChars="200" w:firstLine="560"/>
        <w:rPr>
          <w:sz w:val="28"/>
          <w:szCs w:val="28"/>
        </w:rPr>
      </w:pPr>
      <w:bookmarkStart w:id="79" w:name="_Hlk176265848"/>
      <w:bookmarkEnd w:id="78"/>
      <w:r>
        <w:rPr>
          <w:rFonts w:hint="eastAsia"/>
          <w:sz w:val="28"/>
          <w:szCs w:val="28"/>
        </w:rPr>
        <w:t>术后即刻最小支架面积</w:t>
      </w:r>
      <w:r>
        <w:rPr>
          <w:sz w:val="28"/>
          <w:szCs w:val="28"/>
        </w:rPr>
        <w:t>MSA</w:t>
      </w:r>
      <w:r>
        <w:rPr>
          <w:rFonts w:hint="eastAsia"/>
          <w:sz w:val="28"/>
          <w:szCs w:val="28"/>
        </w:rPr>
        <w:t>、术后即刻最小支架管腔直径</w:t>
      </w:r>
      <w:r>
        <w:rPr>
          <w:sz w:val="28"/>
          <w:szCs w:val="28"/>
        </w:rPr>
        <w:t>MLD</w:t>
      </w:r>
      <w:r>
        <w:rPr>
          <w:rFonts w:hint="eastAsia"/>
          <w:sz w:val="28"/>
          <w:szCs w:val="28"/>
        </w:rPr>
        <w:t>、术</w:t>
      </w:r>
      <w:r>
        <w:rPr>
          <w:rFonts w:hint="eastAsia"/>
          <w:sz w:val="28"/>
          <w:szCs w:val="28"/>
        </w:rPr>
        <w:lastRenderedPageBreak/>
        <w:t>后即刻管</w:t>
      </w:r>
      <w:proofErr w:type="gramStart"/>
      <w:r>
        <w:rPr>
          <w:rFonts w:hint="eastAsia"/>
          <w:sz w:val="28"/>
          <w:szCs w:val="28"/>
        </w:rPr>
        <w:t>腔获得</w:t>
      </w:r>
      <w:proofErr w:type="gramEnd"/>
      <w:r>
        <w:rPr>
          <w:rFonts w:hint="eastAsia"/>
          <w:sz w:val="28"/>
          <w:szCs w:val="28"/>
        </w:rPr>
        <w:t>直径、术后即刻管</w:t>
      </w:r>
      <w:proofErr w:type="gramStart"/>
      <w:r>
        <w:rPr>
          <w:rFonts w:hint="eastAsia"/>
          <w:sz w:val="28"/>
          <w:szCs w:val="28"/>
        </w:rPr>
        <w:t>腔获得</w:t>
      </w:r>
      <w:proofErr w:type="gramEnd"/>
      <w:r>
        <w:rPr>
          <w:rFonts w:hint="eastAsia"/>
          <w:sz w:val="28"/>
          <w:szCs w:val="28"/>
        </w:rPr>
        <w:t>面积、术后即刻管</w:t>
      </w:r>
      <w:proofErr w:type="gramStart"/>
      <w:r>
        <w:rPr>
          <w:rFonts w:hint="eastAsia"/>
          <w:sz w:val="28"/>
          <w:szCs w:val="28"/>
        </w:rPr>
        <w:t>腔获得</w:t>
      </w:r>
      <w:proofErr w:type="gramEnd"/>
      <w:r>
        <w:rPr>
          <w:rFonts w:hint="eastAsia"/>
          <w:sz w:val="28"/>
          <w:szCs w:val="28"/>
        </w:rPr>
        <w:t>率、支架膨胀率按照定量指标进行统计描述；支架梁不完全贴壁率按照分类指标进行统计描述。</w:t>
      </w:r>
    </w:p>
    <w:p w:rsidR="00CA2089" w:rsidRDefault="00035E4E">
      <w:pPr>
        <w:ind w:firstLineChars="200" w:firstLine="560"/>
        <w:rPr>
          <w:sz w:val="28"/>
          <w:szCs w:val="28"/>
        </w:rPr>
      </w:pPr>
      <w:r>
        <w:rPr>
          <w:rFonts w:hint="eastAsia"/>
          <w:sz w:val="28"/>
          <w:szCs w:val="28"/>
        </w:rPr>
        <w:t>IVUS</w:t>
      </w:r>
      <w:r>
        <w:rPr>
          <w:rFonts w:hint="eastAsia"/>
          <w:sz w:val="28"/>
          <w:szCs w:val="28"/>
        </w:rPr>
        <w:t>亚组的分析基于进行</w:t>
      </w:r>
      <w:r>
        <w:rPr>
          <w:rFonts w:hint="eastAsia"/>
          <w:sz w:val="28"/>
          <w:szCs w:val="28"/>
        </w:rPr>
        <w:t>IVUS</w:t>
      </w:r>
      <w:r>
        <w:rPr>
          <w:rFonts w:hint="eastAsia"/>
          <w:sz w:val="28"/>
          <w:szCs w:val="28"/>
        </w:rPr>
        <w:t>检查的亚组人群。</w:t>
      </w:r>
      <w:bookmarkEnd w:id="79"/>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安全性评价指标</w:t>
      </w:r>
    </w:p>
    <w:p w:rsidR="00CA2089" w:rsidRDefault="00035E4E">
      <w:pPr>
        <w:ind w:firstLineChars="200" w:firstLine="560"/>
        <w:rPr>
          <w:sz w:val="28"/>
          <w:szCs w:val="28"/>
        </w:rPr>
      </w:pPr>
      <w:r>
        <w:rPr>
          <w:sz w:val="28"/>
          <w:szCs w:val="28"/>
        </w:rPr>
        <w:t>对于</w:t>
      </w:r>
      <w:r>
        <w:rPr>
          <w:rFonts w:hint="eastAsia"/>
          <w:sz w:val="28"/>
          <w:szCs w:val="28"/>
        </w:rPr>
        <w:t>主要安全性</w:t>
      </w:r>
      <w:r>
        <w:rPr>
          <w:sz w:val="28"/>
          <w:szCs w:val="28"/>
        </w:rPr>
        <w:t>指标</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，采用单组目标值设计，假设检验为：</w:t>
      </w:r>
    </w:p>
    <w:p w:rsidR="00CA2089" w:rsidRDefault="00035E4E">
      <w:pPr>
        <w:spacing w:line="360" w:lineRule="auto"/>
        <w:jc w:val="center"/>
        <w:rPr>
          <w:sz w:val="28"/>
          <w:szCs w:val="28"/>
        </w:rPr>
      </w:pPr>
      <w:r>
        <w:rPr>
          <w:sz w:val="28"/>
          <w:szCs w:val="28"/>
        </w:rPr>
        <w:t>H</w:t>
      </w:r>
      <w:r>
        <w:rPr>
          <w:sz w:val="28"/>
          <w:szCs w:val="28"/>
          <w:vertAlign w:val="subscript"/>
        </w:rPr>
        <w:t>0</w:t>
      </w:r>
      <w:r>
        <w:rPr>
          <w:sz w:val="28"/>
          <w:szCs w:val="28"/>
        </w:rPr>
        <w:t>：</w:t>
      </w:r>
      <w:r>
        <w:rPr>
          <w:sz w:val="28"/>
          <w:szCs w:val="28"/>
        </w:rPr>
        <w:t>P</w:t>
      </w:r>
      <w:r>
        <w:rPr>
          <w:sz w:val="28"/>
          <w:szCs w:val="28"/>
          <w:vertAlign w:val="subscript"/>
        </w:rPr>
        <w:t>1</w:t>
      </w:r>
      <w:r>
        <w:rPr>
          <w:sz w:val="28"/>
          <w:szCs w:val="28"/>
        </w:rPr>
        <w:t>≤P</w:t>
      </w:r>
      <w:r>
        <w:rPr>
          <w:sz w:val="28"/>
          <w:szCs w:val="28"/>
          <w:vertAlign w:val="subscript"/>
        </w:rPr>
        <w:t>0</w:t>
      </w:r>
    </w:p>
    <w:p w:rsidR="00CA2089" w:rsidRDefault="00035E4E">
      <w:pPr>
        <w:spacing w:line="360" w:lineRule="auto"/>
        <w:jc w:val="center"/>
        <w:rPr>
          <w:sz w:val="28"/>
          <w:szCs w:val="28"/>
        </w:rPr>
      </w:pPr>
      <w:r>
        <w:rPr>
          <w:sz w:val="28"/>
          <w:szCs w:val="28"/>
        </w:rPr>
        <w:t>H</w:t>
      </w:r>
      <w:r>
        <w:rPr>
          <w:sz w:val="28"/>
          <w:szCs w:val="28"/>
          <w:vertAlign w:val="subscript"/>
        </w:rPr>
        <w:t>1</w:t>
      </w:r>
      <w:r>
        <w:rPr>
          <w:sz w:val="28"/>
          <w:szCs w:val="28"/>
        </w:rPr>
        <w:t>：</w:t>
      </w:r>
      <w:r>
        <w:rPr>
          <w:sz w:val="28"/>
          <w:szCs w:val="28"/>
        </w:rPr>
        <w:t>P</w:t>
      </w:r>
      <w:r>
        <w:rPr>
          <w:sz w:val="28"/>
          <w:szCs w:val="28"/>
          <w:vertAlign w:val="subscript"/>
        </w:rPr>
        <w:t>1</w:t>
      </w:r>
      <w:r>
        <w:rPr>
          <w:sz w:val="28"/>
          <w:szCs w:val="28"/>
        </w:rPr>
        <w:t>＞</w:t>
      </w:r>
      <w:r>
        <w:rPr>
          <w:sz w:val="28"/>
          <w:szCs w:val="28"/>
        </w:rPr>
        <w:t>P</w:t>
      </w:r>
      <w:r>
        <w:rPr>
          <w:sz w:val="28"/>
          <w:szCs w:val="28"/>
          <w:vertAlign w:val="subscript"/>
        </w:rPr>
        <w:t>0</w:t>
      </w:r>
    </w:p>
    <w:p w:rsidR="00CA2089" w:rsidRDefault="00035E4E">
      <w:pPr>
        <w:spacing w:line="360" w:lineRule="auto"/>
        <w:ind w:firstLineChars="200" w:firstLine="560"/>
        <w:rPr>
          <w:sz w:val="28"/>
          <w:szCs w:val="28"/>
        </w:rPr>
      </w:pPr>
      <w:r>
        <w:rPr>
          <w:sz w:val="28"/>
          <w:szCs w:val="28"/>
        </w:rPr>
        <w:t>公式中的</w:t>
      </w:r>
      <w:r>
        <w:rPr>
          <w:sz w:val="28"/>
          <w:szCs w:val="28"/>
        </w:rPr>
        <w:t>P</w:t>
      </w:r>
      <w:r>
        <w:rPr>
          <w:sz w:val="28"/>
          <w:szCs w:val="28"/>
          <w:vertAlign w:val="subscript"/>
        </w:rPr>
        <w:t>0</w:t>
      </w:r>
      <w:r>
        <w:rPr>
          <w:sz w:val="28"/>
          <w:szCs w:val="28"/>
        </w:rPr>
        <w:t>为主要</w:t>
      </w:r>
      <w:r>
        <w:rPr>
          <w:rFonts w:hint="eastAsia"/>
          <w:sz w:val="28"/>
          <w:szCs w:val="28"/>
        </w:rPr>
        <w:t>安全性</w:t>
      </w:r>
      <w:r>
        <w:rPr>
          <w:sz w:val="28"/>
          <w:szCs w:val="28"/>
        </w:rPr>
        <w:t>指标</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的目标值，</w:t>
      </w:r>
      <w:r>
        <w:rPr>
          <w:sz w:val="28"/>
          <w:szCs w:val="28"/>
        </w:rPr>
        <w:t>P</w:t>
      </w:r>
      <w:r>
        <w:rPr>
          <w:sz w:val="28"/>
          <w:szCs w:val="28"/>
          <w:vertAlign w:val="subscript"/>
        </w:rPr>
        <w:t>1</w:t>
      </w:r>
      <w:r>
        <w:rPr>
          <w:sz w:val="28"/>
          <w:szCs w:val="28"/>
        </w:rPr>
        <w:t>为试验器械主要</w:t>
      </w:r>
      <w:r>
        <w:rPr>
          <w:rFonts w:hint="eastAsia"/>
          <w:sz w:val="28"/>
          <w:szCs w:val="28"/>
        </w:rPr>
        <w:t>安全性</w:t>
      </w:r>
      <w:r>
        <w:rPr>
          <w:sz w:val="28"/>
          <w:szCs w:val="28"/>
        </w:rPr>
        <w:t>指标的</w:t>
      </w:r>
      <w:r>
        <w:rPr>
          <w:rFonts w:hint="eastAsia"/>
          <w:sz w:val="28"/>
          <w:szCs w:val="28"/>
        </w:rPr>
        <w:t>术后</w:t>
      </w:r>
      <w:r>
        <w:rPr>
          <w:sz w:val="28"/>
          <w:szCs w:val="28"/>
        </w:rPr>
        <w:t>1</w:t>
      </w:r>
      <w:r>
        <w:rPr>
          <w:rFonts w:hint="eastAsia"/>
          <w:sz w:val="28"/>
          <w:szCs w:val="28"/>
        </w:rPr>
        <w:t>个月无主要不良事件（</w:t>
      </w:r>
      <w:r>
        <w:rPr>
          <w:sz w:val="28"/>
          <w:szCs w:val="28"/>
        </w:rPr>
        <w:t>MACE</w:t>
      </w:r>
      <w:r>
        <w:rPr>
          <w:rFonts w:hint="eastAsia"/>
          <w:sz w:val="28"/>
          <w:szCs w:val="28"/>
        </w:rPr>
        <w:t>）发生率</w:t>
      </w:r>
      <w:r>
        <w:rPr>
          <w:sz w:val="28"/>
          <w:szCs w:val="28"/>
        </w:rPr>
        <w:t>。</w:t>
      </w:r>
    </w:p>
    <w:p w:rsidR="00CA2089" w:rsidRDefault="00035E4E">
      <w:pPr>
        <w:spacing w:line="360" w:lineRule="auto"/>
        <w:ind w:firstLineChars="200" w:firstLine="560"/>
        <w:rPr>
          <w:sz w:val="28"/>
          <w:szCs w:val="28"/>
        </w:rPr>
      </w:pPr>
      <w:r>
        <w:rPr>
          <w:sz w:val="28"/>
          <w:szCs w:val="28"/>
        </w:rPr>
        <w:t>计算手术成功率及其</w:t>
      </w:r>
      <w:r>
        <w:rPr>
          <w:sz w:val="28"/>
          <w:szCs w:val="28"/>
        </w:rPr>
        <w:t>95%</w:t>
      </w:r>
      <w:r>
        <w:rPr>
          <w:sz w:val="28"/>
          <w:szCs w:val="28"/>
        </w:rPr>
        <w:t>可信区间，并将可信区间下限与预先设定的目标值进行比较，若可信区间下限大于目标值</w:t>
      </w:r>
      <w:r>
        <w:rPr>
          <w:sz w:val="28"/>
          <w:szCs w:val="28"/>
        </w:rPr>
        <w:t>84.4%</w:t>
      </w:r>
      <w:r>
        <w:rPr>
          <w:sz w:val="28"/>
          <w:szCs w:val="28"/>
        </w:rPr>
        <w:t>，则本试验器械满足临床应用需要。</w:t>
      </w:r>
    </w:p>
    <w:p w:rsidR="00CA2089" w:rsidRDefault="00035E4E">
      <w:pPr>
        <w:ind w:firstLineChars="200" w:firstLine="560"/>
        <w:rPr>
          <w:sz w:val="28"/>
          <w:szCs w:val="28"/>
        </w:rPr>
      </w:pPr>
      <w:r>
        <w:rPr>
          <w:sz w:val="28"/>
          <w:szCs w:val="28"/>
        </w:rPr>
        <w:t>主要</w:t>
      </w:r>
      <w:r>
        <w:rPr>
          <w:rFonts w:hint="eastAsia"/>
          <w:sz w:val="28"/>
          <w:szCs w:val="28"/>
        </w:rPr>
        <w:t>安全性</w:t>
      </w:r>
      <w:r>
        <w:rPr>
          <w:sz w:val="28"/>
          <w:szCs w:val="28"/>
        </w:rPr>
        <w:t>评价基于</w:t>
      </w:r>
      <w:proofErr w:type="gramStart"/>
      <w:r>
        <w:rPr>
          <w:sz w:val="28"/>
          <w:szCs w:val="28"/>
        </w:rPr>
        <w:t>全数据</w:t>
      </w:r>
      <w:proofErr w:type="gramEnd"/>
      <w:r>
        <w:rPr>
          <w:sz w:val="28"/>
          <w:szCs w:val="28"/>
        </w:rPr>
        <w:t>集（</w:t>
      </w:r>
      <w:r>
        <w:rPr>
          <w:sz w:val="28"/>
          <w:szCs w:val="28"/>
        </w:rPr>
        <w:t>FAS</w:t>
      </w:r>
      <w:r>
        <w:rPr>
          <w:sz w:val="28"/>
          <w:szCs w:val="28"/>
        </w:rPr>
        <w:t>）和符合方案集（</w:t>
      </w:r>
      <w:r>
        <w:rPr>
          <w:sz w:val="28"/>
          <w:szCs w:val="28"/>
        </w:rPr>
        <w:t>PPS</w:t>
      </w:r>
      <w:r>
        <w:rPr>
          <w:sz w:val="28"/>
          <w:szCs w:val="28"/>
        </w:rPr>
        <w:t>）。</w:t>
      </w:r>
    </w:p>
    <w:p w:rsidR="00CA2089" w:rsidRDefault="00035E4E">
      <w:pPr>
        <w:pStyle w:val="af0"/>
        <w:numPr>
          <w:ilvl w:val="0"/>
          <w:numId w:val="17"/>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hint="eastAsia"/>
          <w:sz w:val="28"/>
          <w:szCs w:val="28"/>
        </w:rPr>
        <w:t>次要</w:t>
      </w:r>
      <w:r>
        <w:rPr>
          <w:rFonts w:ascii="Times New Roman" w:eastAsia="宋体" w:hAnsi="Times New Roman" w:cs="Times New Roman"/>
          <w:sz w:val="28"/>
          <w:szCs w:val="28"/>
        </w:rPr>
        <w:t>安全性评价指标</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主要心脏血管不良事件发生率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w:t>
      </w:r>
      <w:r>
        <w:rPr>
          <w:rFonts w:ascii="Times New Roman" w:eastAsia="宋体" w:hAnsi="Times New Roman" w:cs="Times New Roman" w:hint="eastAsia"/>
          <w:sz w:val="28"/>
          <w:szCs w:val="28"/>
        </w:rPr>
        <w:t>心源性死亡发生率（术后即刻、出院前、术后</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7</w:t>
      </w:r>
      <w:r>
        <w:rPr>
          <w:rFonts w:ascii="Times New Roman" w:eastAsia="宋体" w:hAnsi="Times New Roman" w:cs="Times New Roman" w:hint="eastAsia"/>
          <w:sz w:val="28"/>
          <w:szCs w:val="28"/>
        </w:rPr>
        <w:t>天、术后</w:t>
      </w:r>
      <w:r>
        <w:rPr>
          <w:rFonts w:ascii="Times New Roman" w:eastAsia="宋体" w:hAnsi="Times New Roman" w:cs="Times New Roman" w:hint="eastAsia"/>
          <w:sz w:val="28"/>
          <w:szCs w:val="28"/>
        </w:rPr>
        <w:t>6</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14</w:t>
      </w:r>
      <w:r>
        <w:rPr>
          <w:rFonts w:ascii="Times New Roman" w:eastAsia="宋体" w:hAnsi="Times New Roman" w:cs="Times New Roman" w:hint="eastAsia"/>
          <w:sz w:val="28"/>
          <w:szCs w:val="28"/>
        </w:rPr>
        <w:t>天）、心肌梗死发生率（术后即刻、出院前、术后</w:t>
      </w:r>
      <w:r>
        <w:rPr>
          <w:rFonts w:ascii="Times New Roman" w:eastAsia="宋体" w:hAnsi="Times New Roman" w:cs="Times New Roman" w:hint="eastAsia"/>
          <w:sz w:val="28"/>
          <w:szCs w:val="28"/>
        </w:rPr>
        <w:t>1</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7</w:t>
      </w:r>
      <w:r>
        <w:rPr>
          <w:rFonts w:ascii="Times New Roman" w:eastAsia="宋体" w:hAnsi="Times New Roman" w:cs="Times New Roman" w:hint="eastAsia"/>
          <w:sz w:val="28"/>
          <w:szCs w:val="28"/>
        </w:rPr>
        <w:t>天、术后</w:t>
      </w:r>
      <w:r>
        <w:rPr>
          <w:rFonts w:ascii="Times New Roman" w:eastAsia="宋体" w:hAnsi="Times New Roman" w:cs="Times New Roman" w:hint="eastAsia"/>
          <w:sz w:val="28"/>
          <w:szCs w:val="28"/>
        </w:rPr>
        <w:t>6</w:t>
      </w:r>
      <w:r>
        <w:rPr>
          <w:rFonts w:ascii="Times New Roman" w:eastAsia="宋体" w:hAnsi="Times New Roman" w:cs="Times New Roman" w:hint="eastAsia"/>
          <w:sz w:val="28"/>
          <w:szCs w:val="28"/>
        </w:rPr>
        <w:t>个月±</w:t>
      </w:r>
      <w:r>
        <w:rPr>
          <w:rFonts w:ascii="Times New Roman" w:eastAsia="宋体" w:hAnsi="Times New Roman" w:cs="Times New Roman" w:hint="eastAsia"/>
          <w:sz w:val="28"/>
          <w:szCs w:val="28"/>
        </w:rPr>
        <w:t>14</w:t>
      </w:r>
      <w:r>
        <w:rPr>
          <w:rFonts w:ascii="Times New Roman" w:eastAsia="宋体" w:hAnsi="Times New Roman" w:cs="Times New Roman" w:hint="eastAsia"/>
          <w:sz w:val="28"/>
          <w:szCs w:val="28"/>
        </w:rPr>
        <w:t>天）、</w:t>
      </w:r>
      <w:r>
        <w:rPr>
          <w:rFonts w:ascii="Times New Roman" w:eastAsia="宋体" w:hAnsi="Times New Roman" w:cs="Times New Roman"/>
          <w:sz w:val="28"/>
          <w:szCs w:val="28"/>
        </w:rPr>
        <w:t>严重血管造影并发症发生</w:t>
      </w:r>
      <w:r>
        <w:rPr>
          <w:rFonts w:ascii="Times New Roman" w:eastAsia="宋体" w:hAnsi="Times New Roman" w:cs="Times New Roman"/>
          <w:sz w:val="28"/>
          <w:szCs w:val="28"/>
        </w:rPr>
        <w:lastRenderedPageBreak/>
        <w:t>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天）、全因死亡率</w:t>
      </w:r>
      <w:r>
        <w:rPr>
          <w:rFonts w:ascii="Times New Roman" w:eastAsia="宋体" w:hAnsi="Times New Roman" w:cs="Times New Roman" w:hint="eastAsia"/>
          <w:sz w:val="28"/>
          <w:szCs w:val="28"/>
        </w:rPr>
        <w:t>（</w:t>
      </w:r>
      <w:r>
        <w:rPr>
          <w:rFonts w:ascii="Times New Roman" w:eastAsia="宋体" w:hAnsi="Times New Roman" w:cs="Times New Roman"/>
          <w:sz w:val="28"/>
          <w:szCs w:val="28"/>
        </w:rPr>
        <w:t>术后即刻、</w:t>
      </w:r>
      <w:r>
        <w:rPr>
          <w:rFonts w:ascii="Times New Roman" w:eastAsia="宋体" w:hAnsi="Times New Roman" w:cs="Times New Roman" w:hint="eastAsia"/>
          <w:sz w:val="28"/>
          <w:szCs w:val="28"/>
        </w:rPr>
        <w:t>出院前</w:t>
      </w:r>
      <w:r>
        <w:rPr>
          <w:rFonts w:ascii="Times New Roman" w:eastAsia="宋体" w:hAnsi="Times New Roman" w:cs="Times New Roman"/>
          <w:sz w:val="28"/>
          <w:szCs w:val="28"/>
        </w:rPr>
        <w:t>、术后</w:t>
      </w:r>
      <w:r>
        <w:rPr>
          <w:rFonts w:ascii="Times New Roman" w:eastAsia="宋体" w:hAnsi="Times New Roman" w:cs="Times New Roman"/>
          <w:sz w:val="28"/>
          <w:szCs w:val="28"/>
        </w:rPr>
        <w:t>1</w:t>
      </w:r>
      <w:r>
        <w:rPr>
          <w:rFonts w:ascii="Times New Roman" w:eastAsia="宋体" w:hAnsi="Times New Roman" w:cs="Times New Roman"/>
          <w:sz w:val="28"/>
          <w:szCs w:val="28"/>
        </w:rPr>
        <w:t>个月</w:t>
      </w:r>
      <w:r>
        <w:rPr>
          <w:rFonts w:ascii="Times New Roman" w:eastAsia="宋体" w:hAnsi="Times New Roman" w:cs="Times New Roman"/>
          <w:sz w:val="28"/>
          <w:szCs w:val="28"/>
        </w:rPr>
        <w:t>±7</w:t>
      </w:r>
      <w:r>
        <w:rPr>
          <w:rFonts w:ascii="Times New Roman" w:eastAsia="宋体" w:hAnsi="Times New Roman" w:cs="Times New Roman"/>
          <w:sz w:val="28"/>
          <w:szCs w:val="28"/>
        </w:rPr>
        <w:t>天、术后</w:t>
      </w:r>
      <w:r>
        <w:rPr>
          <w:rFonts w:ascii="Times New Roman" w:eastAsia="宋体" w:hAnsi="Times New Roman" w:cs="Times New Roman"/>
          <w:sz w:val="28"/>
          <w:szCs w:val="28"/>
        </w:rPr>
        <w:t>6</w:t>
      </w:r>
      <w:r>
        <w:rPr>
          <w:rFonts w:ascii="Times New Roman" w:eastAsia="宋体" w:hAnsi="Times New Roman" w:cs="Times New Roman"/>
          <w:sz w:val="28"/>
          <w:szCs w:val="28"/>
        </w:rPr>
        <w:t>个月</w:t>
      </w:r>
      <w:r>
        <w:rPr>
          <w:rFonts w:ascii="Times New Roman" w:eastAsia="宋体" w:hAnsi="Times New Roman" w:cs="Times New Roman"/>
          <w:sz w:val="28"/>
          <w:szCs w:val="28"/>
        </w:rPr>
        <w:t>±14</w:t>
      </w:r>
      <w:r>
        <w:rPr>
          <w:rFonts w:ascii="Times New Roman" w:eastAsia="宋体" w:hAnsi="Times New Roman" w:cs="Times New Roman"/>
          <w:sz w:val="28"/>
          <w:szCs w:val="28"/>
        </w:rPr>
        <w:t>天）、器械缺陷发生率按照分类指标进行统计分析。</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对各安全性指标数据进行描述性分析。详细记录试验期间所发生的不良事件并对不良事件发生例次、例数及发生率进行分类别及汇总描述性统计分析，并附清单。</w:t>
      </w:r>
    </w:p>
    <w:p w:rsidR="00CA2089" w:rsidRDefault="00035E4E">
      <w:pPr>
        <w:pStyle w:val="23"/>
        <w:spacing w:after="0"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hint="eastAsia"/>
          <w:sz w:val="28"/>
          <w:szCs w:val="28"/>
        </w:rPr>
        <w:t>次要</w:t>
      </w:r>
      <w:r>
        <w:rPr>
          <w:rFonts w:ascii="Times New Roman" w:eastAsia="宋体" w:hAnsi="Times New Roman" w:cs="Times New Roman"/>
          <w:sz w:val="28"/>
          <w:szCs w:val="28"/>
        </w:rPr>
        <w:t>安全性评价基于安全性分析集（</w:t>
      </w:r>
      <w:r>
        <w:rPr>
          <w:rFonts w:ascii="Times New Roman" w:eastAsia="宋体" w:hAnsi="Times New Roman" w:cs="Times New Roman"/>
          <w:sz w:val="28"/>
          <w:szCs w:val="28"/>
        </w:rPr>
        <w:t>SS</w:t>
      </w:r>
      <w:r>
        <w:rPr>
          <w:rFonts w:ascii="Times New Roman" w:eastAsia="宋体" w:hAnsi="Times New Roman" w:cs="Times New Roman"/>
          <w:sz w:val="28"/>
          <w:szCs w:val="28"/>
        </w:rPr>
        <w:t>）。</w:t>
      </w:r>
    </w:p>
    <w:p w:rsidR="00CA2089" w:rsidRDefault="00035E4E">
      <w:pPr>
        <w:pStyle w:val="23"/>
        <w:spacing w:after="0" w:line="360" w:lineRule="auto"/>
        <w:ind w:leftChars="0" w:left="0"/>
        <w:outlineLvl w:val="1"/>
        <w:rPr>
          <w:rFonts w:ascii="Times New Roman" w:eastAsia="宋体" w:hAnsi="Times New Roman" w:cs="Times New Roman"/>
          <w:sz w:val="28"/>
          <w:szCs w:val="28"/>
        </w:rPr>
      </w:pPr>
      <w:bookmarkStart w:id="80" w:name="_Toc134753818"/>
      <w:bookmarkStart w:id="81" w:name="_Toc15616"/>
      <w:r>
        <w:rPr>
          <w:rFonts w:ascii="Times New Roman" w:eastAsia="宋体" w:hAnsi="Times New Roman" w:cs="Times New Roman"/>
          <w:sz w:val="28"/>
          <w:szCs w:val="28"/>
        </w:rPr>
        <w:t>（五）</w:t>
      </w:r>
      <w:proofErr w:type="gramStart"/>
      <w:r>
        <w:rPr>
          <w:rFonts w:ascii="Times New Roman" w:eastAsia="宋体" w:hAnsi="Times New Roman" w:cs="Times New Roman"/>
          <w:sz w:val="28"/>
          <w:szCs w:val="28"/>
        </w:rPr>
        <w:t>缺失值</w:t>
      </w:r>
      <w:proofErr w:type="gramEnd"/>
      <w:r>
        <w:rPr>
          <w:rFonts w:ascii="Times New Roman" w:eastAsia="宋体" w:hAnsi="Times New Roman" w:cs="Times New Roman"/>
          <w:sz w:val="28"/>
          <w:szCs w:val="28"/>
        </w:rPr>
        <w:t>和异常值的处理</w:t>
      </w:r>
      <w:bookmarkEnd w:id="80"/>
      <w:bookmarkEnd w:id="81"/>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处理：对缺失数据，将根据所在的数据集划分进行处理；对</w:t>
      </w:r>
      <w:r>
        <w:rPr>
          <w:rFonts w:ascii="Times New Roman" w:eastAsia="宋体" w:hAnsi="Times New Roman" w:cs="Times New Roman"/>
          <w:kern w:val="2"/>
          <w:sz w:val="28"/>
          <w:szCs w:val="28"/>
        </w:rPr>
        <w:t>FAS</w:t>
      </w:r>
      <w:proofErr w:type="gramStart"/>
      <w:r>
        <w:rPr>
          <w:rFonts w:ascii="Times New Roman" w:eastAsia="宋体" w:hAnsi="Times New Roman" w:cs="Times New Roman"/>
          <w:kern w:val="2"/>
          <w:sz w:val="28"/>
          <w:szCs w:val="28"/>
        </w:rPr>
        <w:t>集主要</w:t>
      </w:r>
      <w:proofErr w:type="gramEnd"/>
      <w:r>
        <w:rPr>
          <w:rFonts w:ascii="Times New Roman" w:eastAsia="宋体" w:hAnsi="Times New Roman" w:cs="Times New Roman" w:hint="eastAsia"/>
          <w:kern w:val="2"/>
          <w:sz w:val="28"/>
          <w:szCs w:val="28"/>
        </w:rPr>
        <w:t>疗效</w:t>
      </w:r>
      <w:r>
        <w:rPr>
          <w:rFonts w:ascii="Times New Roman" w:eastAsia="宋体" w:hAnsi="Times New Roman" w:cs="Times New Roman"/>
          <w:kern w:val="2"/>
          <w:sz w:val="28"/>
          <w:szCs w:val="28"/>
        </w:rPr>
        <w:t>指标的</w:t>
      </w: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采用最差填补（</w:t>
      </w:r>
      <w:r>
        <w:rPr>
          <w:rFonts w:ascii="Times New Roman" w:eastAsia="宋体" w:hAnsi="Times New Roman" w:cs="Times New Roman"/>
          <w:kern w:val="2"/>
          <w:sz w:val="28"/>
          <w:szCs w:val="28"/>
        </w:rPr>
        <w:t>WOCF</w:t>
      </w:r>
      <w:r>
        <w:rPr>
          <w:rFonts w:ascii="Times New Roman" w:eastAsia="宋体" w:hAnsi="Times New Roman" w:cs="Times New Roman"/>
          <w:kern w:val="2"/>
          <w:sz w:val="28"/>
          <w:szCs w:val="28"/>
        </w:rPr>
        <w:t>），即缺失按未达到</w:t>
      </w:r>
      <w:r>
        <w:rPr>
          <w:rFonts w:ascii="Times New Roman" w:eastAsia="宋体" w:hAnsi="Times New Roman" w:cs="Times New Roman" w:hint="eastAsia"/>
          <w:kern w:val="2"/>
          <w:sz w:val="28"/>
          <w:szCs w:val="28"/>
        </w:rPr>
        <w:t>手术成功</w:t>
      </w:r>
      <w:r>
        <w:rPr>
          <w:rFonts w:ascii="Times New Roman" w:eastAsia="宋体" w:hAnsi="Times New Roman" w:cs="Times New Roman"/>
          <w:kern w:val="2"/>
          <w:sz w:val="28"/>
          <w:szCs w:val="28"/>
        </w:rPr>
        <w:t>处理；对于其他指标，</w:t>
      </w:r>
      <w:proofErr w:type="gramStart"/>
      <w:r>
        <w:rPr>
          <w:rFonts w:ascii="Times New Roman" w:eastAsia="宋体" w:hAnsi="Times New Roman" w:cs="Times New Roman"/>
          <w:kern w:val="2"/>
          <w:sz w:val="28"/>
          <w:szCs w:val="28"/>
        </w:rPr>
        <w:t>缺失值</w:t>
      </w:r>
      <w:proofErr w:type="gramEnd"/>
      <w:r>
        <w:rPr>
          <w:rFonts w:ascii="Times New Roman" w:eastAsia="宋体" w:hAnsi="Times New Roman" w:cs="Times New Roman"/>
          <w:kern w:val="2"/>
          <w:sz w:val="28"/>
          <w:szCs w:val="28"/>
        </w:rPr>
        <w:t>将不进行转归。</w:t>
      </w:r>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r>
        <w:rPr>
          <w:rFonts w:ascii="Times New Roman" w:eastAsia="宋体" w:hAnsi="Times New Roman" w:cs="Times New Roman"/>
          <w:kern w:val="2"/>
          <w:sz w:val="28"/>
          <w:szCs w:val="28"/>
        </w:rPr>
        <w:t>不合理数据处理：数据管理过程中，将对数据库中数据进行逻辑性核查，发现不合理数据将采用</w:t>
      </w:r>
      <w:r>
        <w:rPr>
          <w:rFonts w:ascii="Times New Roman" w:eastAsia="宋体" w:hAnsi="Times New Roman" w:cs="Times New Roman" w:hint="eastAsia"/>
          <w:kern w:val="2"/>
          <w:sz w:val="28"/>
          <w:szCs w:val="28"/>
        </w:rPr>
        <w:t>质疑</w:t>
      </w:r>
      <w:r>
        <w:rPr>
          <w:rFonts w:ascii="Times New Roman" w:eastAsia="宋体" w:hAnsi="Times New Roman" w:cs="Times New Roman"/>
          <w:kern w:val="2"/>
          <w:sz w:val="28"/>
          <w:szCs w:val="28"/>
        </w:rPr>
        <w:t>形式向研究者发出疑问，并根据研究者的答复对不合理数据进行调整，直至所有不合理数据获得解决，方可锁定数据库。</w:t>
      </w:r>
      <w:r>
        <w:rPr>
          <w:rFonts w:ascii="Times New Roman" w:eastAsia="宋体" w:hAnsi="Times New Roman" w:cs="Times New Roman"/>
          <w:kern w:val="2"/>
          <w:sz w:val="28"/>
          <w:szCs w:val="28"/>
        </w:rPr>
        <w:t xml:space="preserve"> </w:t>
      </w:r>
    </w:p>
    <w:p w:rsidR="00CA2089" w:rsidRDefault="00035E4E">
      <w:pPr>
        <w:pStyle w:val="23"/>
        <w:spacing w:after="0" w:line="360" w:lineRule="auto"/>
        <w:ind w:leftChars="0" w:left="0" w:firstLineChars="200" w:firstLine="560"/>
        <w:rPr>
          <w:rFonts w:ascii="Times New Roman" w:eastAsia="宋体" w:hAnsi="Times New Roman" w:cs="Times New Roman"/>
          <w:kern w:val="2"/>
          <w:sz w:val="28"/>
          <w:szCs w:val="28"/>
        </w:rPr>
      </w:pPr>
      <w:r>
        <w:rPr>
          <w:rFonts w:ascii="Times New Roman" w:eastAsia="宋体" w:hAnsi="Times New Roman" w:cs="Times New Roman"/>
          <w:kern w:val="2"/>
          <w:sz w:val="28"/>
          <w:szCs w:val="28"/>
        </w:rPr>
        <w:t>错误数据处理：数据管理过程中，将对数据库中数据进行质量管理，发现错误数据将采用</w:t>
      </w:r>
      <w:r>
        <w:rPr>
          <w:rFonts w:ascii="Times New Roman" w:eastAsia="宋体" w:hAnsi="Times New Roman" w:cs="Times New Roman" w:hint="eastAsia"/>
          <w:kern w:val="2"/>
          <w:sz w:val="28"/>
          <w:szCs w:val="28"/>
        </w:rPr>
        <w:t>质疑</w:t>
      </w:r>
      <w:r>
        <w:rPr>
          <w:rFonts w:ascii="Times New Roman" w:eastAsia="宋体" w:hAnsi="Times New Roman" w:cs="Times New Roman"/>
          <w:kern w:val="2"/>
          <w:sz w:val="28"/>
          <w:szCs w:val="28"/>
        </w:rPr>
        <w:t>形式向研究者发出疑问，并根据研究者的答复对错误数据进行更正，直至所有错误数据获得更正，方可锁定数据库。</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2" w:name="_Toc22026"/>
      <w:bookmarkStart w:id="83" w:name="_Toc134753819"/>
      <w:r>
        <w:rPr>
          <w:rFonts w:ascii="Times New Roman" w:eastAsia="宋体" w:hAnsi="Times New Roman" w:cs="Times New Roman"/>
          <w:b/>
          <w:bCs/>
          <w:sz w:val="28"/>
          <w:szCs w:val="28"/>
        </w:rPr>
        <w:t>七、监查计划</w:t>
      </w:r>
      <w:bookmarkEnd w:id="82"/>
      <w:bookmarkEnd w:id="83"/>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启动培训</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对全部参加本临床试验的人进行项目培训，确保熟悉理解</w:t>
      </w:r>
      <w:r>
        <w:rPr>
          <w:rFonts w:ascii="Times New Roman" w:eastAsia="宋体" w:hAnsi="Times New Roman" w:cs="Times New Roman"/>
          <w:color w:val="auto"/>
          <w:kern w:val="2"/>
          <w:sz w:val="28"/>
          <w:szCs w:val="28"/>
          <w:shd w:val="clear" w:color="auto" w:fill="FFFFFF"/>
        </w:rPr>
        <w:t>GCP</w:t>
      </w:r>
      <w:r>
        <w:rPr>
          <w:rFonts w:ascii="Times New Roman" w:eastAsia="宋体" w:hAnsi="Times New Roman" w:cs="Times New Roman"/>
          <w:sz w:val="28"/>
          <w:szCs w:val="28"/>
          <w:shd w:val="clear" w:color="auto" w:fill="FFFFFF" w:themeFill="background1"/>
        </w:rPr>
        <w:t>和方</w:t>
      </w:r>
      <w:r>
        <w:rPr>
          <w:rFonts w:ascii="Times New Roman" w:eastAsia="宋体" w:hAnsi="Times New Roman" w:cs="Times New Roman"/>
          <w:sz w:val="28"/>
          <w:szCs w:val="28"/>
          <w:shd w:val="clear" w:color="auto" w:fill="FFFFFF" w:themeFill="background1"/>
        </w:rPr>
        <w:lastRenderedPageBreak/>
        <w:t>案要求、器械操作，并明确各人员的职责分工。</w:t>
      </w:r>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监查访视</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入选前，研究者与监查员核对知情同意书签署情况、入选排除标准和方案流程，确保符</w:t>
      </w:r>
      <w:r>
        <w:rPr>
          <w:rFonts w:ascii="Times New Roman" w:eastAsia="宋体" w:hAnsi="Times New Roman" w:cs="Times New Roman"/>
          <w:color w:val="auto"/>
          <w:kern w:val="2"/>
          <w:sz w:val="28"/>
          <w:szCs w:val="28"/>
          <w:shd w:val="clear" w:color="auto" w:fill="FFFFFF"/>
        </w:rPr>
        <w:t>合</w:t>
      </w:r>
      <w:r>
        <w:rPr>
          <w:rFonts w:ascii="Times New Roman" w:eastAsia="宋体" w:hAnsi="Times New Roman" w:cs="Times New Roman"/>
          <w:color w:val="auto"/>
          <w:kern w:val="2"/>
          <w:sz w:val="28"/>
          <w:szCs w:val="28"/>
          <w:shd w:val="clear" w:color="auto" w:fill="FFFFFF"/>
        </w:rPr>
        <w:t>GCP</w:t>
      </w:r>
      <w:r>
        <w:rPr>
          <w:rFonts w:ascii="Times New Roman" w:eastAsia="宋体" w:hAnsi="Times New Roman" w:cs="Times New Roman"/>
          <w:color w:val="auto"/>
          <w:kern w:val="2"/>
          <w:sz w:val="28"/>
          <w:szCs w:val="28"/>
          <w:shd w:val="clear" w:color="auto" w:fill="FFFFFF"/>
        </w:rPr>
        <w:t>和</w:t>
      </w:r>
      <w:r>
        <w:rPr>
          <w:rFonts w:ascii="Times New Roman" w:eastAsia="宋体" w:hAnsi="Times New Roman" w:cs="Times New Roman"/>
          <w:sz w:val="28"/>
          <w:szCs w:val="28"/>
          <w:shd w:val="clear" w:color="auto" w:fill="FFFFFF" w:themeFill="background1"/>
        </w:rPr>
        <w:t>方案要求。</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入选后，监查员安排现场访视，监查内容包括：</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a.</w:t>
      </w:r>
      <w:r>
        <w:rPr>
          <w:rFonts w:ascii="Times New Roman" w:eastAsia="宋体" w:hAnsi="Times New Roman" w:cs="Times New Roman"/>
          <w:sz w:val="28"/>
          <w:szCs w:val="28"/>
          <w:shd w:val="clear" w:color="auto" w:fill="FFFFFF" w:themeFill="background1"/>
        </w:rPr>
        <w:t>知情同意过程是否规范；</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b.</w:t>
      </w:r>
      <w:r>
        <w:rPr>
          <w:rFonts w:ascii="Times New Roman" w:eastAsia="宋体" w:hAnsi="Times New Roman" w:cs="Times New Roman"/>
          <w:sz w:val="28"/>
          <w:szCs w:val="28"/>
          <w:shd w:val="clear" w:color="auto" w:fill="FFFFFF" w:themeFill="background1"/>
        </w:rPr>
        <w:t>是否符合入选、排除标准要求；</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c.</w:t>
      </w:r>
      <w:r>
        <w:rPr>
          <w:rFonts w:ascii="Times New Roman" w:eastAsia="宋体" w:hAnsi="Times New Roman" w:cs="Times New Roman"/>
          <w:sz w:val="28"/>
          <w:szCs w:val="28"/>
          <w:shd w:val="clear" w:color="auto" w:fill="FFFFFF" w:themeFill="background1"/>
        </w:rPr>
        <w:t>试验流程执行过程是否存在方案偏离，偏离情况是否记录、上报；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d.</w:t>
      </w:r>
      <w:r>
        <w:rPr>
          <w:rFonts w:ascii="Times New Roman" w:eastAsia="宋体" w:hAnsi="Times New Roman" w:cs="Times New Roman"/>
          <w:sz w:val="28"/>
          <w:szCs w:val="28"/>
          <w:shd w:val="clear" w:color="auto" w:fill="FFFFFF" w:themeFill="background1"/>
        </w:rPr>
        <w:t>原始记录是否及时、完整、真实、准确；</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e.</w:t>
      </w:r>
      <w:r>
        <w:rPr>
          <w:rFonts w:ascii="Times New Roman" w:eastAsia="宋体" w:hAnsi="Times New Roman" w:cs="Times New Roman"/>
          <w:sz w:val="28"/>
          <w:szCs w:val="28"/>
          <w:shd w:val="clear" w:color="auto" w:fill="FFFFFF" w:themeFill="background1"/>
        </w:rPr>
        <w:t>病例报告表（</w:t>
      </w:r>
      <w:r>
        <w:rPr>
          <w:rFonts w:ascii="Times New Roman" w:eastAsia="宋体" w:hAnsi="Times New Roman" w:cs="Times New Roman"/>
          <w:sz w:val="28"/>
          <w:szCs w:val="28"/>
          <w:shd w:val="clear" w:color="auto" w:fill="FFFFFF" w:themeFill="background1"/>
        </w:rPr>
        <w:t>CRF/EDC</w:t>
      </w:r>
      <w:r>
        <w:rPr>
          <w:rFonts w:ascii="Times New Roman" w:eastAsia="宋体" w:hAnsi="Times New Roman" w:cs="Times New Roman"/>
          <w:sz w:val="28"/>
          <w:szCs w:val="28"/>
          <w:shd w:val="clear" w:color="auto" w:fill="FFFFFF" w:themeFill="background1"/>
        </w:rPr>
        <w:t>）填写是否及时、完整。进行原始数据溯源，核对录入信息是否真实、准确；</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f.</w:t>
      </w:r>
      <w:r>
        <w:rPr>
          <w:rFonts w:ascii="Times New Roman" w:eastAsia="宋体" w:hAnsi="Times New Roman" w:cs="Times New Roman"/>
          <w:sz w:val="28"/>
          <w:szCs w:val="28"/>
          <w:shd w:val="clear" w:color="auto" w:fill="FFFFFF" w:themeFill="background1"/>
        </w:rPr>
        <w:t>试验产品发放、使用、回收记录是否完整、真实；</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g.</w:t>
      </w:r>
      <w:r>
        <w:rPr>
          <w:rFonts w:ascii="Times New Roman" w:eastAsia="宋体" w:hAnsi="Times New Roman" w:cs="Times New Roman"/>
          <w:sz w:val="28"/>
          <w:szCs w:val="28"/>
          <w:shd w:val="clear" w:color="auto" w:fill="FFFFFF" w:themeFill="background1"/>
        </w:rPr>
        <w:t>有无不良事件，不良事件是否记录，严重不良事件是否按规定上报；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h.</w:t>
      </w:r>
      <w:r>
        <w:rPr>
          <w:rFonts w:ascii="Times New Roman" w:eastAsia="宋体" w:hAnsi="Times New Roman" w:cs="Times New Roman"/>
          <w:sz w:val="28"/>
          <w:szCs w:val="28"/>
          <w:shd w:val="clear" w:color="auto" w:fill="FFFFFF" w:themeFill="background1"/>
        </w:rPr>
        <w:t>有无器械缺陷，是否按规定上报；</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i.</w:t>
      </w:r>
      <w:r>
        <w:rPr>
          <w:rFonts w:ascii="Times New Roman" w:eastAsia="宋体" w:hAnsi="Times New Roman" w:cs="Times New Roman"/>
          <w:sz w:val="28"/>
          <w:szCs w:val="28"/>
          <w:shd w:val="clear" w:color="auto" w:fill="FFFFFF" w:themeFill="background1"/>
        </w:rPr>
        <w:t>受试者权益是否依知情同意书约定得到保障。</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shd w:val="clear" w:color="auto" w:fill="FFFFFF" w:themeFill="background1"/>
        </w:rPr>
      </w:pPr>
      <w:r>
        <w:rPr>
          <w:rFonts w:ascii="Times New Roman" w:eastAsia="宋体" w:hAnsi="Times New Roman" w:cs="Times New Roman"/>
          <w:sz w:val="28"/>
          <w:szCs w:val="28"/>
          <w:shd w:val="clear" w:color="auto" w:fill="FFFFFF" w:themeFill="background1"/>
        </w:rPr>
        <w:t>若发现存在问题则记录，对研究者进行警示和针对性培训，并配合临床试验机构进行整改。现场访视后形成监查访视报告，提交申办方和中心研究负责人。</w:t>
      </w:r>
    </w:p>
    <w:p w:rsidR="00CA2089" w:rsidRDefault="00035E4E">
      <w:pPr>
        <w:pStyle w:val="af0"/>
        <w:numPr>
          <w:ilvl w:val="0"/>
          <w:numId w:val="18"/>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定期质控</w:t>
      </w:r>
    </w:p>
    <w:p w:rsidR="00CA2089" w:rsidRDefault="00035E4E">
      <w:pPr>
        <w:pStyle w:val="af0"/>
        <w:adjustRightInd w:val="0"/>
        <w:snapToGrid w:val="0"/>
        <w:spacing w:line="360" w:lineRule="auto"/>
        <w:ind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shd w:val="clear" w:color="auto" w:fill="FFFFFF" w:themeFill="background1"/>
        </w:rPr>
        <w:t>由质控人员定期对各中心的工作进行复核，形成质</w:t>
      </w:r>
      <w:proofErr w:type="gramStart"/>
      <w:r>
        <w:rPr>
          <w:rFonts w:ascii="Times New Roman" w:eastAsia="宋体" w:hAnsi="Times New Roman" w:cs="Times New Roman"/>
          <w:sz w:val="28"/>
          <w:szCs w:val="28"/>
          <w:shd w:val="clear" w:color="auto" w:fill="FFFFFF" w:themeFill="background1"/>
        </w:rPr>
        <w:t>控报告</w:t>
      </w:r>
      <w:proofErr w:type="gramEnd"/>
      <w:r>
        <w:rPr>
          <w:rFonts w:ascii="Times New Roman" w:eastAsia="宋体" w:hAnsi="Times New Roman" w:cs="Times New Roman"/>
          <w:sz w:val="28"/>
          <w:szCs w:val="28"/>
          <w:shd w:val="clear" w:color="auto" w:fill="FFFFFF" w:themeFill="background1"/>
        </w:rPr>
        <w:t>并追踪</w:t>
      </w:r>
      <w:proofErr w:type="gramStart"/>
      <w:r>
        <w:rPr>
          <w:rFonts w:ascii="Times New Roman" w:eastAsia="宋体" w:hAnsi="Times New Roman" w:cs="Times New Roman"/>
          <w:sz w:val="28"/>
          <w:szCs w:val="28"/>
          <w:shd w:val="clear" w:color="auto" w:fill="FFFFFF" w:themeFill="background1"/>
        </w:rPr>
        <w:t>至解决</w:t>
      </w:r>
      <w:proofErr w:type="gramEnd"/>
      <w:r>
        <w:rPr>
          <w:rFonts w:ascii="Times New Roman" w:eastAsia="宋体" w:hAnsi="Times New Roman" w:cs="Times New Roman"/>
          <w:sz w:val="28"/>
          <w:szCs w:val="28"/>
          <w:shd w:val="clear" w:color="auto" w:fill="FFFFFF" w:themeFill="background1"/>
        </w:rPr>
        <w:t>为止。监查员定期配合临床试验机构的质</w:t>
      </w:r>
      <w:proofErr w:type="gramStart"/>
      <w:r>
        <w:rPr>
          <w:rFonts w:ascii="Times New Roman" w:eastAsia="宋体" w:hAnsi="Times New Roman" w:cs="Times New Roman"/>
          <w:sz w:val="28"/>
          <w:szCs w:val="28"/>
          <w:shd w:val="clear" w:color="auto" w:fill="FFFFFF" w:themeFill="background1"/>
        </w:rPr>
        <w:t>控以及</w:t>
      </w:r>
      <w:proofErr w:type="gramEnd"/>
      <w:r>
        <w:rPr>
          <w:rFonts w:ascii="Times New Roman" w:eastAsia="宋体" w:hAnsi="Times New Roman" w:cs="Times New Roman"/>
          <w:sz w:val="28"/>
          <w:szCs w:val="28"/>
          <w:shd w:val="clear" w:color="auto" w:fill="FFFFFF" w:themeFill="background1"/>
        </w:rPr>
        <w:t>申办方的核查，对发现问题进行整改。</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4" w:name="_Toc14876"/>
      <w:bookmarkStart w:id="85" w:name="_Toc134753820"/>
      <w:r>
        <w:rPr>
          <w:rFonts w:ascii="Times New Roman" w:eastAsia="宋体" w:hAnsi="Times New Roman" w:cs="Times New Roman"/>
          <w:b/>
          <w:bCs/>
          <w:sz w:val="28"/>
          <w:szCs w:val="28"/>
        </w:rPr>
        <w:lastRenderedPageBreak/>
        <w:t>八、数据管理</w:t>
      </w:r>
      <w:bookmarkEnd w:id="84"/>
      <w:bookmarkEnd w:id="85"/>
    </w:p>
    <w:p w:rsidR="00CA2089" w:rsidRDefault="00035E4E">
      <w:pPr>
        <w:pStyle w:val="af0"/>
        <w:numPr>
          <w:ilvl w:val="0"/>
          <w:numId w:val="19"/>
        </w:numPr>
        <w:spacing w:line="360" w:lineRule="auto"/>
        <w:ind w:firstLineChars="200" w:firstLine="560"/>
        <w:outlineLvl w:val="2"/>
        <w:rPr>
          <w:rFonts w:ascii="Times New Roman" w:hAnsi="Times New Roman" w:cs="Times New Roman"/>
          <w:sz w:val="28"/>
          <w:szCs w:val="28"/>
        </w:rPr>
      </w:pPr>
      <w:bookmarkStart w:id="86" w:name="_Toc11929305"/>
      <w:bookmarkStart w:id="87" w:name="_Toc88748376"/>
      <w:bookmarkStart w:id="88" w:name="_Toc461304450"/>
      <w:r>
        <w:rPr>
          <w:rFonts w:ascii="Times New Roman" w:eastAsia="宋体" w:hAnsi="Times New Roman" w:cs="Times New Roman"/>
          <w:sz w:val="28"/>
          <w:szCs w:val="28"/>
        </w:rPr>
        <w:t>数据管理系统</w:t>
      </w:r>
    </w:p>
    <w:p w:rsidR="00CA2089" w:rsidRDefault="00035E4E">
      <w:pPr>
        <w:spacing w:line="360" w:lineRule="auto"/>
        <w:ind w:firstLineChars="200" w:firstLine="560"/>
        <w:rPr>
          <w:sz w:val="28"/>
          <w:szCs w:val="28"/>
          <w:shd w:val="clear" w:color="auto" w:fill="FFFFFF"/>
        </w:rPr>
      </w:pPr>
      <w:r>
        <w:rPr>
          <w:sz w:val="28"/>
          <w:szCs w:val="28"/>
          <w:shd w:val="clear" w:color="auto" w:fill="FFFFFF"/>
        </w:rPr>
        <w:t>本项目数据采集</w:t>
      </w:r>
      <w:r>
        <w:rPr>
          <w:sz w:val="28"/>
          <w:szCs w:val="28"/>
          <w:shd w:val="clear" w:color="auto" w:fill="FFFFFF"/>
        </w:rPr>
        <w:t>/</w:t>
      </w:r>
      <w:r>
        <w:rPr>
          <w:sz w:val="28"/>
          <w:szCs w:val="28"/>
          <w:shd w:val="clear" w:color="auto" w:fill="FFFFFF"/>
        </w:rPr>
        <w:t>管理系统为电子数据管理系统（</w:t>
      </w:r>
      <w:r>
        <w:rPr>
          <w:sz w:val="28"/>
          <w:szCs w:val="28"/>
          <w:shd w:val="clear" w:color="auto" w:fill="FFFFFF"/>
        </w:rPr>
        <w:t>EDC</w:t>
      </w:r>
      <w:r>
        <w:rPr>
          <w:sz w:val="28"/>
          <w:szCs w:val="28"/>
          <w:shd w:val="clear" w:color="auto" w:fill="FFFFFF"/>
        </w:rPr>
        <w:t>）。该选择经过系统验证且具有痕迹管理和用户权限管理的电子数据采集系统。</w:t>
      </w:r>
    </w:p>
    <w:p w:rsidR="00CA2089" w:rsidRDefault="00035E4E">
      <w:pPr>
        <w:pStyle w:val="af0"/>
        <w:numPr>
          <w:ilvl w:val="0"/>
          <w:numId w:val="19"/>
        </w:numPr>
        <w:spacing w:line="360" w:lineRule="auto"/>
        <w:ind w:firstLineChars="200" w:firstLine="560"/>
        <w:outlineLvl w:val="2"/>
        <w:rPr>
          <w:rFonts w:ascii="Times New Roman" w:hAnsi="Times New Roman" w:cs="Times New Roman"/>
          <w:sz w:val="28"/>
          <w:szCs w:val="28"/>
        </w:rPr>
      </w:pPr>
      <w:r>
        <w:rPr>
          <w:rFonts w:ascii="Times New Roman" w:eastAsia="宋体" w:hAnsi="Times New Roman" w:cs="Times New Roman"/>
          <w:sz w:val="28"/>
          <w:szCs w:val="28"/>
        </w:rPr>
        <w:t>eCRF</w:t>
      </w:r>
      <w:r>
        <w:rPr>
          <w:rFonts w:ascii="Times New Roman" w:eastAsia="宋体" w:hAnsi="Times New Roman" w:cs="Times New Roman"/>
          <w:sz w:val="28"/>
          <w:szCs w:val="28"/>
        </w:rPr>
        <w:t>设计</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数据管理员根据方案设计</w:t>
      </w:r>
      <w:r>
        <w:rPr>
          <w:rFonts w:eastAsia="宋体"/>
          <w:sz w:val="28"/>
          <w:szCs w:val="28"/>
          <w:shd w:val="clear" w:color="auto" w:fill="FFFFFF"/>
          <w:lang w:eastAsia="zh-CN"/>
        </w:rPr>
        <w:t>eCRF</w:t>
      </w:r>
      <w:r>
        <w:rPr>
          <w:rFonts w:eastAsia="宋体"/>
          <w:sz w:val="28"/>
          <w:szCs w:val="28"/>
          <w:shd w:val="clear" w:color="auto" w:fill="FFFFFF"/>
          <w:lang w:eastAsia="zh-CN"/>
        </w:rPr>
        <w:t>，</w:t>
      </w:r>
      <w:r>
        <w:rPr>
          <w:rFonts w:eastAsia="宋体"/>
          <w:sz w:val="28"/>
          <w:szCs w:val="28"/>
          <w:shd w:val="clear" w:color="auto" w:fill="FFFFFF"/>
          <w:lang w:eastAsia="zh-CN"/>
        </w:rPr>
        <w:t>eCRF</w:t>
      </w:r>
      <w:r>
        <w:rPr>
          <w:rFonts w:eastAsia="宋体"/>
          <w:sz w:val="28"/>
          <w:szCs w:val="28"/>
          <w:shd w:val="clear" w:color="auto" w:fill="FFFFFF"/>
          <w:lang w:eastAsia="zh-CN"/>
        </w:rPr>
        <w:t>中包含除外</w:t>
      </w:r>
      <w:proofErr w:type="gramStart"/>
      <w:r>
        <w:rPr>
          <w:rFonts w:eastAsia="宋体"/>
          <w:sz w:val="28"/>
          <w:szCs w:val="28"/>
          <w:shd w:val="clear" w:color="auto" w:fill="FFFFFF"/>
          <w:lang w:eastAsia="zh-CN"/>
        </w:rPr>
        <w:t>部数据</w:t>
      </w:r>
      <w:proofErr w:type="gramEnd"/>
      <w:r>
        <w:rPr>
          <w:rFonts w:eastAsia="宋体"/>
          <w:sz w:val="28"/>
          <w:szCs w:val="28"/>
          <w:shd w:val="clear" w:color="auto" w:fill="FFFFFF"/>
          <w:lang w:eastAsia="zh-CN"/>
        </w:rPr>
        <w:t>之外方案中规定的全部数据点。由</w:t>
      </w:r>
      <w:r>
        <w:rPr>
          <w:rFonts w:eastAsia="宋体"/>
          <w:sz w:val="28"/>
          <w:szCs w:val="28"/>
          <w:shd w:val="clear" w:color="auto" w:fill="FFFFFF"/>
          <w:lang w:eastAsia="zh-CN"/>
        </w:rPr>
        <w:t>EDC</w:t>
      </w:r>
      <w:r>
        <w:rPr>
          <w:rFonts w:eastAsia="宋体"/>
          <w:sz w:val="28"/>
          <w:szCs w:val="28"/>
          <w:shd w:val="clear" w:color="auto" w:fill="FFFFFF"/>
          <w:lang w:eastAsia="zh-CN"/>
        </w:rPr>
        <w:t>系统直接导出</w:t>
      </w:r>
      <w:r>
        <w:rPr>
          <w:rFonts w:eastAsia="宋体"/>
          <w:sz w:val="28"/>
          <w:szCs w:val="28"/>
          <w:shd w:val="clear" w:color="auto" w:fill="FFFFFF"/>
          <w:lang w:eastAsia="zh-CN"/>
        </w:rPr>
        <w:t>eCRF</w:t>
      </w:r>
      <w:r>
        <w:rPr>
          <w:rFonts w:eastAsia="宋体"/>
          <w:sz w:val="28"/>
          <w:szCs w:val="28"/>
          <w:shd w:val="clear" w:color="auto" w:fill="FFFFFF"/>
          <w:lang w:eastAsia="zh-CN"/>
        </w:rPr>
        <w:t>（</w:t>
      </w:r>
      <w:r>
        <w:rPr>
          <w:rFonts w:eastAsia="宋体"/>
          <w:sz w:val="28"/>
          <w:szCs w:val="28"/>
          <w:shd w:val="clear" w:color="auto" w:fill="FFFFFF"/>
          <w:lang w:eastAsia="zh-CN"/>
        </w:rPr>
        <w:t>PDF</w:t>
      </w:r>
      <w:r>
        <w:rPr>
          <w:rFonts w:eastAsia="宋体"/>
          <w:sz w:val="28"/>
          <w:szCs w:val="28"/>
          <w:shd w:val="clear" w:color="auto" w:fill="FFFFFF"/>
          <w:lang w:eastAsia="zh-CN"/>
        </w:rPr>
        <w:t>格式）。</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数据管理计划</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根据定稿的方案、项目需求等，由数据管理员撰写数据管理计划（</w:t>
      </w:r>
      <w:r>
        <w:rPr>
          <w:rFonts w:eastAsia="宋体"/>
          <w:sz w:val="28"/>
          <w:szCs w:val="28"/>
          <w:shd w:val="clear" w:color="auto" w:fill="FFFFFF"/>
          <w:lang w:eastAsia="zh-CN"/>
        </w:rPr>
        <w:t>DMP</w:t>
      </w:r>
      <w:r>
        <w:rPr>
          <w:rFonts w:eastAsia="宋体"/>
          <w:sz w:val="28"/>
          <w:szCs w:val="28"/>
          <w:shd w:val="clear" w:color="auto" w:fill="FFFFFF"/>
          <w:lang w:eastAsia="zh-CN"/>
        </w:rPr>
        <w:t>）。并经临床试验参与各方讨论后确定。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数据核查计划</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数据管理员根据临床试验方案和</w:t>
      </w:r>
      <w:r>
        <w:rPr>
          <w:rFonts w:eastAsia="宋体"/>
          <w:sz w:val="28"/>
          <w:szCs w:val="28"/>
          <w:shd w:val="clear" w:color="auto" w:fill="FFFFFF"/>
          <w:lang w:eastAsia="zh-CN"/>
        </w:rPr>
        <w:t>eCRF</w:t>
      </w:r>
      <w:r>
        <w:rPr>
          <w:rFonts w:eastAsia="宋体"/>
          <w:sz w:val="28"/>
          <w:szCs w:val="28"/>
          <w:shd w:val="clear" w:color="auto" w:fill="FFFFFF"/>
          <w:lang w:eastAsia="zh-CN"/>
        </w:rPr>
        <w:t>撰写数据核查计划（</w:t>
      </w:r>
      <w:r>
        <w:rPr>
          <w:rFonts w:eastAsia="宋体"/>
          <w:sz w:val="28"/>
          <w:szCs w:val="28"/>
          <w:shd w:val="clear" w:color="auto" w:fill="FFFFFF"/>
          <w:lang w:eastAsia="zh-CN"/>
        </w:rPr>
        <w:t>DVP</w:t>
      </w:r>
      <w:r>
        <w:rPr>
          <w:rFonts w:eastAsia="宋体"/>
          <w:sz w:val="28"/>
          <w:szCs w:val="28"/>
          <w:shd w:val="clear" w:color="auto" w:fill="FFFFFF"/>
          <w:lang w:eastAsia="zh-CN"/>
        </w:rPr>
        <w:t>）。并经临床试验参与各方讨论后确定。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电子数据库构建及测试</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数据库</w:t>
      </w:r>
      <w:proofErr w:type="gramStart"/>
      <w:r>
        <w:rPr>
          <w:rFonts w:eastAsia="宋体"/>
          <w:sz w:val="28"/>
          <w:szCs w:val="28"/>
          <w:shd w:val="clear" w:color="auto" w:fill="FFFFFF"/>
          <w:lang w:eastAsia="zh-CN"/>
        </w:rPr>
        <w:t>建库员构建</w:t>
      </w:r>
      <w:proofErr w:type="gramEnd"/>
      <w:r>
        <w:rPr>
          <w:rFonts w:eastAsia="宋体"/>
          <w:sz w:val="28"/>
          <w:szCs w:val="28"/>
          <w:shd w:val="clear" w:color="auto" w:fill="FFFFFF"/>
          <w:lang w:eastAsia="zh-CN"/>
        </w:rPr>
        <w:t>数据库，包括配置逻辑核查规则，系统功能设定等；数据管理员将根据用户工作角色，进行权限管理。数据库测试包括录入、导出、逻辑核查、</w:t>
      </w:r>
      <w:r>
        <w:rPr>
          <w:rFonts w:eastAsia="宋体"/>
          <w:sz w:val="28"/>
          <w:szCs w:val="28"/>
          <w:shd w:val="clear" w:color="auto" w:fill="FFFFFF"/>
          <w:lang w:eastAsia="zh-CN"/>
        </w:rPr>
        <w:t>eCRF</w:t>
      </w:r>
      <w:r>
        <w:rPr>
          <w:rFonts w:eastAsia="宋体"/>
          <w:sz w:val="28"/>
          <w:szCs w:val="28"/>
          <w:shd w:val="clear" w:color="auto" w:fill="FFFFFF"/>
          <w:lang w:eastAsia="zh-CN"/>
        </w:rPr>
        <w:t>界面、系统功能测试。</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数据库培训及正式上线</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项目数据库正式上线之前，由数据管理员对相关人员进行培训。培训内容包括：系统操作技能培训和</w:t>
      </w:r>
      <w:r>
        <w:rPr>
          <w:rFonts w:eastAsia="宋体"/>
          <w:sz w:val="28"/>
          <w:szCs w:val="28"/>
          <w:shd w:val="clear" w:color="auto" w:fill="FFFFFF"/>
          <w:lang w:eastAsia="zh-CN"/>
        </w:rPr>
        <w:t>/</w:t>
      </w:r>
      <w:r>
        <w:rPr>
          <w:rFonts w:eastAsia="宋体"/>
          <w:sz w:val="28"/>
          <w:szCs w:val="28"/>
          <w:shd w:val="clear" w:color="auto" w:fill="FFFFFF"/>
          <w:lang w:eastAsia="zh-CN"/>
        </w:rPr>
        <w:t>或项目要求培训。具体培训内容根据人</w:t>
      </w:r>
      <w:r>
        <w:rPr>
          <w:rFonts w:eastAsia="宋体"/>
          <w:sz w:val="28"/>
          <w:szCs w:val="28"/>
          <w:shd w:val="clear" w:color="auto" w:fill="FFFFFF"/>
          <w:lang w:eastAsia="zh-CN"/>
        </w:rPr>
        <w:lastRenderedPageBreak/>
        <w:t>员职责及既往经验而定。数据库上线：数据库测试合格</w:t>
      </w:r>
      <w:proofErr w:type="gramStart"/>
      <w:r>
        <w:rPr>
          <w:rFonts w:eastAsia="宋体"/>
          <w:sz w:val="28"/>
          <w:szCs w:val="28"/>
          <w:shd w:val="clear" w:color="auto" w:fill="FFFFFF"/>
          <w:lang w:eastAsia="zh-CN"/>
        </w:rPr>
        <w:t>且其它</w:t>
      </w:r>
      <w:proofErr w:type="gramEnd"/>
      <w:r>
        <w:rPr>
          <w:rFonts w:eastAsia="宋体"/>
          <w:sz w:val="28"/>
          <w:szCs w:val="28"/>
          <w:shd w:val="clear" w:color="auto" w:fill="FFFFFF"/>
          <w:lang w:eastAsia="zh-CN"/>
        </w:rPr>
        <w:t>准备工作完成，经申办方确认后，数据库正式上线。</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数据核查</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由数据管理人员、医学人员、根据</w:t>
      </w:r>
      <w:r>
        <w:rPr>
          <w:rFonts w:eastAsia="宋体"/>
          <w:sz w:val="28"/>
          <w:szCs w:val="28"/>
          <w:shd w:val="clear" w:color="auto" w:fill="FFFFFF"/>
          <w:lang w:eastAsia="zh-CN"/>
        </w:rPr>
        <w:t>DVP</w:t>
      </w:r>
      <w:r>
        <w:rPr>
          <w:rFonts w:eastAsia="宋体"/>
          <w:sz w:val="28"/>
          <w:szCs w:val="28"/>
          <w:shd w:val="clear" w:color="auto" w:fill="FFFFFF"/>
          <w:lang w:eastAsia="zh-CN"/>
        </w:rPr>
        <w:t>共同进行数据核查。对于核查中发现的问题，根据需要发布质疑，研究者或研究者授权的</w:t>
      </w:r>
      <w:r>
        <w:rPr>
          <w:rFonts w:eastAsia="宋体"/>
          <w:sz w:val="28"/>
          <w:szCs w:val="28"/>
          <w:shd w:val="clear" w:color="auto" w:fill="FFFFFF"/>
          <w:lang w:eastAsia="zh-CN"/>
        </w:rPr>
        <w:t>CRC</w:t>
      </w:r>
      <w:r>
        <w:rPr>
          <w:rFonts w:eastAsia="宋体"/>
          <w:sz w:val="28"/>
          <w:szCs w:val="28"/>
          <w:shd w:val="clear" w:color="auto" w:fill="FFFFFF"/>
          <w:lang w:eastAsia="zh-CN"/>
        </w:rPr>
        <w:t>解答质疑，经质疑发布者确认无误后，质疑关闭。如有问题，重新发布质疑，直至质疑解决。</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医学编码</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临床试验数据中的医学术语需要经过标准化后进行统计分析。医学编码需要经过系统或人工编码，编码依据为临床试验领域通用的医学编码字典。对于不符合医学编码字典要求或存在疑问的数据，需要经过数据疑问的形式向临床研究者确认。医学编码内容可能包括：既往病史、合并用药和不良事件。编码的具体要求在</w:t>
      </w:r>
      <w:r>
        <w:rPr>
          <w:rFonts w:eastAsia="宋体"/>
          <w:sz w:val="28"/>
          <w:szCs w:val="28"/>
          <w:shd w:val="clear" w:color="auto" w:fill="FFFFFF"/>
          <w:lang w:eastAsia="zh-CN"/>
        </w:rPr>
        <w:t>“</w:t>
      </w:r>
      <w:r>
        <w:rPr>
          <w:rFonts w:eastAsia="宋体"/>
          <w:sz w:val="28"/>
          <w:szCs w:val="28"/>
          <w:shd w:val="clear" w:color="auto" w:fill="FFFFFF"/>
          <w:lang w:eastAsia="zh-CN"/>
        </w:rPr>
        <w:t>数据管理计划</w:t>
      </w:r>
      <w:r>
        <w:rPr>
          <w:rFonts w:eastAsia="宋体"/>
          <w:sz w:val="28"/>
          <w:szCs w:val="28"/>
          <w:shd w:val="clear" w:color="auto" w:fill="FFFFFF"/>
          <w:lang w:eastAsia="zh-CN"/>
        </w:rPr>
        <w:t>”</w:t>
      </w:r>
      <w:r>
        <w:rPr>
          <w:rFonts w:eastAsia="宋体"/>
          <w:sz w:val="28"/>
          <w:szCs w:val="28"/>
          <w:shd w:val="clear" w:color="auto" w:fill="FFFFFF"/>
          <w:lang w:eastAsia="zh-CN"/>
        </w:rPr>
        <w:t>内确定。</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外部数据管理</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当临床试验存在外部数据时，需要数据管理员预先制定外部数据管理计划，对于临床实验过程中外部数据的整个管理过程进行规划。</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数据备份</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系统每日自动备份在数据管理云服务器，数据库管理员定期手动备份在备份云服务器。</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数据审核</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lastRenderedPageBreak/>
        <w:t>在临床试验过程中产生的数据可能存在违背临床试验方案的情况，需要进行试验整体层面的临床数据审核。数据审核发现的问题可以采取相应的措施进行处理，例如修订临床试验方案，进行受试者数据剔除等。</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数据锁定</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研究结束时，数据库锁定清单审核完成后，由主要研究者、申办方、统计人员、数据管理人员、监查员等相关人员共同批准对数据库进行锁定。数据库锁定后发现有数据错误，由主要研究者、申办方、统计人员、数据管理人员及相关人员共同评估这些数据错误对安全性分析和有效性分析的潜在影响。如有重大影响，则共同签署进行数据库解锁，而后进行数据修正；如无重大影响，在统计分析报告和临床总结报告中进行记录。</w:t>
      </w:r>
    </w:p>
    <w:p w:rsidR="00CA2089" w:rsidRDefault="00035E4E">
      <w:pPr>
        <w:pStyle w:val="af0"/>
        <w:numPr>
          <w:ilvl w:val="0"/>
          <w:numId w:val="19"/>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数据管理报告</w:t>
      </w:r>
    </w:p>
    <w:p w:rsidR="00CA2089" w:rsidRDefault="00035E4E">
      <w:pPr>
        <w:pStyle w:val="BodyText12"/>
        <w:spacing w:after="0" w:line="360" w:lineRule="auto"/>
        <w:ind w:left="0" w:firstLineChars="200" w:firstLine="560"/>
        <w:rPr>
          <w:rFonts w:eastAsia="宋体"/>
          <w:sz w:val="28"/>
          <w:szCs w:val="28"/>
          <w:shd w:val="clear" w:color="auto" w:fill="FFFFFF"/>
          <w:lang w:eastAsia="zh-CN"/>
        </w:rPr>
      </w:pPr>
      <w:r>
        <w:rPr>
          <w:rFonts w:eastAsia="宋体"/>
          <w:sz w:val="28"/>
          <w:szCs w:val="28"/>
          <w:shd w:val="clear" w:color="auto" w:fill="FFFFFF"/>
          <w:lang w:eastAsia="zh-CN"/>
        </w:rPr>
        <w:t>由数据管理员对数据管理执行过程、操作规范及管理质量进行工作总结，撰写数据管理报告。</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89" w:name="_Toc134753821"/>
      <w:bookmarkStart w:id="90" w:name="_Toc6468"/>
      <w:bookmarkEnd w:id="86"/>
      <w:bookmarkEnd w:id="87"/>
      <w:bookmarkEnd w:id="88"/>
      <w:r>
        <w:rPr>
          <w:rFonts w:ascii="Times New Roman" w:eastAsia="宋体" w:hAnsi="Times New Roman" w:cs="Times New Roman"/>
          <w:b/>
          <w:bCs/>
          <w:sz w:val="28"/>
          <w:szCs w:val="28"/>
        </w:rPr>
        <w:t>九、风险受益分析</w:t>
      </w:r>
      <w:bookmarkEnd w:id="89"/>
      <w:bookmarkEnd w:id="90"/>
    </w:p>
    <w:p w:rsidR="00CA2089" w:rsidRDefault="00035E4E">
      <w:pPr>
        <w:pStyle w:val="21"/>
        <w:adjustRightInd w:val="0"/>
        <w:snapToGrid w:val="0"/>
        <w:spacing w:line="360" w:lineRule="auto"/>
        <w:ind w:leftChars="0" w:left="98" w:hangingChars="35" w:hanging="98"/>
        <w:jc w:val="left"/>
        <w:outlineLvl w:val="1"/>
        <w:rPr>
          <w:rFonts w:ascii="Times New Roman" w:eastAsia="宋体" w:hAnsi="Times New Roman" w:cs="Times New Roman"/>
          <w:sz w:val="28"/>
          <w:szCs w:val="28"/>
        </w:rPr>
      </w:pPr>
      <w:bookmarkStart w:id="91" w:name="_Toc20201"/>
      <w:bookmarkStart w:id="92" w:name="_Toc134753822"/>
      <w:r>
        <w:rPr>
          <w:rFonts w:ascii="Times New Roman" w:eastAsia="宋体" w:hAnsi="Times New Roman" w:cs="Times New Roman"/>
          <w:sz w:val="28"/>
          <w:szCs w:val="28"/>
        </w:rPr>
        <w:t>（一）试验的风险分析</w:t>
      </w:r>
      <w:bookmarkEnd w:id="91"/>
      <w:bookmarkEnd w:id="92"/>
    </w:p>
    <w:p w:rsidR="00CA2089" w:rsidRDefault="00035E4E">
      <w:pPr>
        <w:spacing w:line="360" w:lineRule="auto"/>
        <w:ind w:firstLineChars="200" w:firstLine="560"/>
        <w:jc w:val="left"/>
        <w:rPr>
          <w:sz w:val="28"/>
          <w:szCs w:val="28"/>
        </w:rPr>
      </w:pPr>
      <w:r>
        <w:rPr>
          <w:sz w:val="28"/>
          <w:szCs w:val="28"/>
        </w:rPr>
        <w:t>试验可能存在的风险包括：介入操作不规范、执行临床试验方案不严格、受试者依从性及随访情况差等。产品应用可能造成的风险包括：血管急性闭塞；对造影剂、抗凝剂和</w:t>
      </w:r>
      <w:r>
        <w:rPr>
          <w:sz w:val="28"/>
          <w:szCs w:val="28"/>
        </w:rPr>
        <w:t>/</w:t>
      </w:r>
      <w:r>
        <w:rPr>
          <w:sz w:val="28"/>
          <w:szCs w:val="28"/>
        </w:rPr>
        <w:t>或抗血栓治疗的过敏反应；动脉瘤；心律失常；动静脉瘘；出血并发症；心脏压塞或心包积液；心肺骤停；脑血管意外</w:t>
      </w:r>
      <w:r>
        <w:rPr>
          <w:sz w:val="28"/>
          <w:szCs w:val="28"/>
        </w:rPr>
        <w:t xml:space="preserve"> </w:t>
      </w:r>
      <w:r>
        <w:rPr>
          <w:sz w:val="28"/>
          <w:szCs w:val="28"/>
        </w:rPr>
        <w:t>（</w:t>
      </w:r>
      <w:r>
        <w:rPr>
          <w:sz w:val="28"/>
          <w:szCs w:val="28"/>
        </w:rPr>
        <w:t>CVA</w:t>
      </w:r>
      <w:r>
        <w:rPr>
          <w:sz w:val="28"/>
          <w:szCs w:val="28"/>
        </w:rPr>
        <w:t>）；冠状动脉</w:t>
      </w:r>
      <w:r>
        <w:rPr>
          <w:sz w:val="28"/>
          <w:szCs w:val="28"/>
        </w:rPr>
        <w:t>/</w:t>
      </w:r>
      <w:r>
        <w:rPr>
          <w:sz w:val="28"/>
          <w:szCs w:val="28"/>
        </w:rPr>
        <w:t>血管闭塞、穿孔、破裂或夹层；冠状动脉痉挛；死亡；栓子（空气、组织、血栓或动脉粥样硬化栓</w:t>
      </w:r>
      <w:r>
        <w:rPr>
          <w:sz w:val="28"/>
          <w:szCs w:val="28"/>
        </w:rPr>
        <w:lastRenderedPageBreak/>
        <w:t>子）；紧急手术或非紧急冠状动脉搭桥手术；紧急情况或非紧急情况下的经皮冠状动脉介入治疗；入路并发症；导线断裂或设备任何部件故障，可能会导致血管栓塞、解剖、严重损伤或手术干预；血管通路部位的血肿；大出血；高血压患者</w:t>
      </w:r>
      <w:r>
        <w:rPr>
          <w:sz w:val="28"/>
          <w:szCs w:val="28"/>
        </w:rPr>
        <w:t>/</w:t>
      </w:r>
      <w:r>
        <w:rPr>
          <w:sz w:val="28"/>
          <w:szCs w:val="28"/>
        </w:rPr>
        <w:t>低血压的患者；感染、</w:t>
      </w:r>
      <w:r>
        <w:rPr>
          <w:sz w:val="28"/>
          <w:szCs w:val="28"/>
        </w:rPr>
        <w:t xml:space="preserve"> </w:t>
      </w:r>
      <w:r>
        <w:rPr>
          <w:sz w:val="28"/>
          <w:szCs w:val="28"/>
        </w:rPr>
        <w:t>败血症、</w:t>
      </w:r>
      <w:r>
        <w:rPr>
          <w:sz w:val="28"/>
          <w:szCs w:val="28"/>
        </w:rPr>
        <w:t xml:space="preserve"> </w:t>
      </w:r>
      <w:r>
        <w:rPr>
          <w:sz w:val="28"/>
          <w:szCs w:val="28"/>
        </w:rPr>
        <w:t>发热；心肌梗死；心肌缺血或不稳定型心绞痛；疼痛感；外周缺血；假性动脉瘤；肾功能衰竭</w:t>
      </w:r>
      <w:r>
        <w:rPr>
          <w:sz w:val="28"/>
          <w:szCs w:val="28"/>
        </w:rPr>
        <w:t>/</w:t>
      </w:r>
      <w:r>
        <w:rPr>
          <w:sz w:val="28"/>
          <w:szCs w:val="28"/>
        </w:rPr>
        <w:t>功能不全；再狭窄导致血运重建；休克</w:t>
      </w:r>
      <w:r>
        <w:rPr>
          <w:sz w:val="28"/>
          <w:szCs w:val="28"/>
        </w:rPr>
        <w:t>/</w:t>
      </w:r>
      <w:r>
        <w:rPr>
          <w:sz w:val="28"/>
          <w:szCs w:val="28"/>
        </w:rPr>
        <w:t>水肿；血流缓慢、无回流、冠状动脉闭塞；中风；血栓形成；血管急性闭塞；需要手术修复的血管损伤；血管解剖、穿孔、破裂或痉挛。对于以上风险，试验将密切观察每位受试者发生的不良事件，如有发生，研究者将积极采取相应处理措施，另外，为排除受试者潜在危险，申办者已对试验产品做了物理、化学和生物学的测试和评估，证明是安全的。试验产品已通过国家药品监督管理局指定医疗器械检测所的注册检验，其产品技术指标符合注册标准。产品生物学性能符合医疗器械生物学评价要求，安全性能良好。</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试验产品已完成临床前动物实验，试验结果验证了试验器械在动物体内的安全性和有效性。</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本临床试验遵守医疗器械临床试验质量</w:t>
      </w:r>
      <w:r>
        <w:rPr>
          <w:rFonts w:ascii="Times New Roman" w:eastAsia="宋体" w:hAnsi="Times New Roman" w:cs="Times New Roman"/>
          <w:color w:val="auto"/>
          <w:kern w:val="2"/>
          <w:sz w:val="28"/>
          <w:szCs w:val="28"/>
          <w:shd w:val="clear" w:color="auto" w:fill="FFFFFF"/>
        </w:rPr>
        <w:t>管理规范和</w:t>
      </w:r>
      <w:r>
        <w:rPr>
          <w:rFonts w:ascii="Times New Roman" w:eastAsia="宋体" w:hAnsi="Times New Roman" w:cs="Times New Roman"/>
          <w:color w:val="auto"/>
          <w:kern w:val="2"/>
          <w:sz w:val="28"/>
          <w:szCs w:val="28"/>
          <w:shd w:val="clear" w:color="auto" w:fill="FFFFFF"/>
        </w:rPr>
        <w:t>NMPA</w:t>
      </w:r>
      <w:r>
        <w:rPr>
          <w:rFonts w:ascii="Times New Roman" w:eastAsia="宋体" w:hAnsi="Times New Roman" w:cs="Times New Roman"/>
          <w:color w:val="auto"/>
          <w:kern w:val="2"/>
          <w:sz w:val="28"/>
          <w:szCs w:val="28"/>
          <w:shd w:val="clear" w:color="auto" w:fill="FFFFFF"/>
        </w:rPr>
        <w:t>相关规</w:t>
      </w:r>
      <w:r>
        <w:rPr>
          <w:rFonts w:ascii="Times New Roman" w:eastAsia="宋体" w:hAnsi="Times New Roman" w:cs="Times New Roman"/>
          <w:sz w:val="28"/>
          <w:szCs w:val="28"/>
        </w:rPr>
        <w:t>定实施，本方案须经过伦理委员会批准后实施。受试者或其监护人签署知情同意书后方能参加试验，保证了受试者的依从性。研究者严格执行病例入选标准，并且遵循试验方案的设计实施试验，尽可能的降低干扰因素，降低风险，提高临床试验成功的可能性。</w:t>
      </w:r>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综上所述，风险在可控范围内。</w:t>
      </w:r>
    </w:p>
    <w:p w:rsidR="00CA2089" w:rsidRDefault="00035E4E">
      <w:pPr>
        <w:pStyle w:val="21"/>
        <w:adjustRightInd w:val="0"/>
        <w:snapToGrid w:val="0"/>
        <w:spacing w:line="360" w:lineRule="auto"/>
        <w:ind w:leftChars="23" w:left="146" w:hangingChars="35" w:hanging="98"/>
        <w:outlineLvl w:val="1"/>
        <w:rPr>
          <w:rFonts w:ascii="Times New Roman" w:eastAsia="宋体" w:hAnsi="Times New Roman" w:cs="Times New Roman"/>
          <w:sz w:val="28"/>
          <w:szCs w:val="28"/>
        </w:rPr>
      </w:pPr>
      <w:bookmarkStart w:id="93" w:name="_Toc5393"/>
      <w:bookmarkStart w:id="94" w:name="_Toc134753823"/>
      <w:r>
        <w:rPr>
          <w:rFonts w:ascii="Times New Roman" w:eastAsia="宋体" w:hAnsi="Times New Roman" w:cs="Times New Roman"/>
          <w:sz w:val="28"/>
          <w:szCs w:val="28"/>
        </w:rPr>
        <w:lastRenderedPageBreak/>
        <w:t>（二）试验的受益分析</w:t>
      </w:r>
      <w:bookmarkEnd w:id="93"/>
      <w:bookmarkEnd w:id="94"/>
    </w:p>
    <w:p w:rsidR="00CA2089" w:rsidRDefault="00035E4E">
      <w:pPr>
        <w:pStyle w:val="21"/>
        <w:adjustRightInd w:val="0"/>
        <w:snapToGrid w:val="0"/>
        <w:spacing w:line="360" w:lineRule="auto"/>
        <w:ind w:leftChars="-1" w:left="-2"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受试者参加试验的直接受益为：通过使用受试品可在冠状动脉钙化病变治疗方面获得益处；间接的获益为，</w:t>
      </w:r>
      <w:r>
        <w:rPr>
          <w:rFonts w:ascii="Times New Roman" w:eastAsia="宋体" w:hAnsi="Times New Roman" w:cs="Times New Roman"/>
          <w:sz w:val="28"/>
          <w:szCs w:val="28"/>
          <w:lang w:bidi="ar"/>
        </w:rPr>
        <w:t>参与试验可以获得完备的治疗，</w:t>
      </w:r>
      <w:proofErr w:type="gramStart"/>
      <w:r>
        <w:rPr>
          <w:rFonts w:ascii="Times New Roman" w:eastAsia="宋体" w:hAnsi="Times New Roman" w:cs="Times New Roman"/>
          <w:sz w:val="28"/>
          <w:szCs w:val="28"/>
          <w:lang w:bidi="ar"/>
        </w:rPr>
        <w:t>且降低</w:t>
      </w:r>
      <w:proofErr w:type="gramEnd"/>
      <w:r>
        <w:rPr>
          <w:rFonts w:ascii="Times New Roman" w:eastAsia="宋体" w:hAnsi="Times New Roman" w:cs="Times New Roman"/>
          <w:sz w:val="28"/>
          <w:szCs w:val="28"/>
          <w:lang w:bidi="ar"/>
        </w:rPr>
        <w:t>医疗费用。除此之外，还可能帮助一款新的血管内冲击波治疗设备</w:t>
      </w:r>
      <w:r>
        <w:rPr>
          <w:rFonts w:ascii="Times New Roman" w:eastAsia="宋体" w:hAnsi="Times New Roman" w:cs="Times New Roman" w:hint="eastAsia"/>
          <w:sz w:val="28"/>
          <w:szCs w:val="28"/>
          <w:lang w:bidi="ar"/>
        </w:rPr>
        <w:t>和</w:t>
      </w:r>
      <w:r>
        <w:rPr>
          <w:rFonts w:ascii="Times New Roman" w:eastAsia="宋体" w:hAnsi="Times New Roman" w:cs="Times New Roman"/>
          <w:sz w:val="28"/>
          <w:szCs w:val="28"/>
          <w:lang w:bidi="ar"/>
        </w:rPr>
        <w:t>震波球囊扩张导管产品注册上市，以在今后帮助更多患者。</w:t>
      </w:r>
      <w:r>
        <w:rPr>
          <w:rFonts w:ascii="Times New Roman" w:eastAsia="宋体" w:hAnsi="Times New Roman" w:cs="Times New Roman"/>
          <w:sz w:val="28"/>
          <w:szCs w:val="28"/>
        </w:rPr>
        <w:t>申办者在研制试验产品时已对产品在应用中可能有的风险做出详尽分析。依照《医疗器械风险管理对医疗器械的应用》进行风险分析和评价，分析结果为所有风险均在可接受的范围内，临床受益大于使用风险。</w:t>
      </w:r>
      <w:r>
        <w:rPr>
          <w:rFonts w:ascii="Times New Roman" w:eastAsia="宋体" w:hAnsi="Times New Roman" w:cs="Times New Roman"/>
          <w:sz w:val="28"/>
          <w:szCs w:val="28"/>
        </w:rPr>
        <w:t xml:space="preserve"> </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95" w:name="_Toc11264"/>
      <w:bookmarkStart w:id="96" w:name="_Toc134753824"/>
      <w:r>
        <w:rPr>
          <w:rFonts w:ascii="Times New Roman" w:eastAsia="宋体" w:hAnsi="Times New Roman" w:cs="Times New Roman"/>
          <w:b/>
          <w:bCs/>
          <w:sz w:val="28"/>
          <w:szCs w:val="28"/>
        </w:rPr>
        <w:t>十、临床试验的质量控制</w:t>
      </w:r>
      <w:bookmarkEnd w:id="95"/>
      <w:bookmarkEnd w:id="96"/>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97" w:name="_Toc3818"/>
      <w:bookmarkStart w:id="98" w:name="_Toc134753825"/>
      <w:r>
        <w:rPr>
          <w:rFonts w:ascii="Times New Roman" w:eastAsia="宋体" w:hAnsi="Times New Roman" w:cs="Times New Roman"/>
          <w:sz w:val="28"/>
          <w:szCs w:val="28"/>
        </w:rPr>
        <w:t>（一）质量控制定义</w:t>
      </w:r>
      <w:bookmarkEnd w:id="97"/>
      <w:bookmarkEnd w:id="98"/>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临床试验质量控制定义为在质量保障系统下进行操作技术和活动，例如监查，目的是为了核查研究相关活动的质量符合要求。</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质量控制应该应用于数据处理的每一个阶段，以确保所有数据都是可信的和正确地处理。</w:t>
      </w:r>
    </w:p>
    <w:p w:rsidR="00CA2089" w:rsidRDefault="00035E4E">
      <w:pPr>
        <w:pStyle w:val="af0"/>
        <w:spacing w:line="360" w:lineRule="auto"/>
        <w:ind w:left="199" w:hangingChars="71" w:hanging="199"/>
        <w:outlineLvl w:val="1"/>
        <w:rPr>
          <w:rFonts w:ascii="Times New Roman" w:eastAsia="宋体" w:hAnsi="Times New Roman" w:cs="Times New Roman"/>
          <w:sz w:val="28"/>
          <w:szCs w:val="28"/>
        </w:rPr>
      </w:pPr>
      <w:bookmarkStart w:id="99" w:name="_Toc134753826"/>
      <w:bookmarkStart w:id="100" w:name="_Toc822"/>
      <w:r>
        <w:rPr>
          <w:rFonts w:ascii="Times New Roman" w:eastAsia="宋体" w:hAnsi="Times New Roman" w:cs="Times New Roman"/>
          <w:sz w:val="28"/>
          <w:szCs w:val="28"/>
        </w:rPr>
        <w:t>（二）质量控制措施</w:t>
      </w:r>
      <w:bookmarkEnd w:id="99"/>
      <w:bookmarkEnd w:id="100"/>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研究人员培训</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参加临床试验的研究者必须具有临床试验的专业特长、资格和能力，并通过资格审查，人员要求应相对固定。</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临床试验启动前，申办者应就本研究方案、试验用器械的操作使用、预期的临床试验风险和风险控制等对参与研究的相关人员开展培训，确保试验可正确开展。</w:t>
      </w:r>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增加受试者依从性</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研究者应认真执行知情同意，使受试者充分理解试验要求，配合试验。</w:t>
      </w:r>
    </w:p>
    <w:p w:rsidR="00CA2089" w:rsidRDefault="00035E4E">
      <w:pPr>
        <w:pStyle w:val="af0"/>
        <w:numPr>
          <w:ilvl w:val="0"/>
          <w:numId w:val="20"/>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监查</w:t>
      </w:r>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申办者指定监查员负责全面跟踪、监查临床试验的实施，确保试验符合《医疗器械临床试验质量管理规范》和相关法规，并遵循试验方案实施。监查员将对试验的进行和完成情况进行定期访视。监查员将检查病例记录的完整性、</w:t>
      </w:r>
      <w:r>
        <w:rPr>
          <w:rFonts w:ascii="Times New Roman" w:eastAsia="宋体" w:hAnsi="Times New Roman" w:cs="Times New Roman"/>
          <w:sz w:val="28"/>
          <w:szCs w:val="28"/>
        </w:rPr>
        <w:t>EDC</w:t>
      </w:r>
      <w:r>
        <w:rPr>
          <w:rFonts w:ascii="Times New Roman" w:eastAsia="宋体" w:hAnsi="Times New Roman" w:cs="Times New Roman"/>
          <w:sz w:val="28"/>
          <w:szCs w:val="28"/>
        </w:rPr>
        <w:t>记录的准确性、核实试验数据、检查研究者对试验方案与</w:t>
      </w:r>
      <w:r>
        <w:rPr>
          <w:rFonts w:ascii="Times New Roman" w:eastAsia="宋体" w:hAnsi="Times New Roman" w:cs="Times New Roman"/>
          <w:sz w:val="28"/>
          <w:szCs w:val="28"/>
        </w:rPr>
        <w:t>GCP</w:t>
      </w:r>
      <w:r>
        <w:rPr>
          <w:rFonts w:ascii="Times New Roman" w:eastAsia="宋体" w:hAnsi="Times New Roman" w:cs="Times New Roman"/>
          <w:sz w:val="28"/>
          <w:szCs w:val="28"/>
        </w:rPr>
        <w:t>的依从性，确保研究处于可控的管理中。</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01" w:name="_Toc21157"/>
      <w:bookmarkStart w:id="102" w:name="_Toc134753827"/>
      <w:r>
        <w:rPr>
          <w:rFonts w:ascii="Times New Roman" w:eastAsia="宋体" w:hAnsi="Times New Roman" w:cs="Times New Roman"/>
          <w:b/>
          <w:bCs/>
          <w:sz w:val="28"/>
          <w:szCs w:val="28"/>
        </w:rPr>
        <w:t>十一、临床试验的伦理问题以及知情同意</w:t>
      </w:r>
      <w:bookmarkEnd w:id="101"/>
      <w:bookmarkEnd w:id="102"/>
    </w:p>
    <w:p w:rsidR="00CA2089" w:rsidRDefault="00035E4E">
      <w:pPr>
        <w:pStyle w:val="21"/>
        <w:tabs>
          <w:tab w:val="left" w:pos="3834"/>
        </w:tabs>
        <w:spacing w:line="360" w:lineRule="auto"/>
        <w:ind w:leftChars="0" w:firstLineChars="0" w:hanging="100"/>
        <w:outlineLvl w:val="1"/>
        <w:rPr>
          <w:rFonts w:ascii="Times New Roman" w:eastAsia="宋体" w:hAnsi="Times New Roman" w:cs="Times New Roman"/>
          <w:sz w:val="28"/>
          <w:szCs w:val="28"/>
        </w:rPr>
      </w:pPr>
      <w:bookmarkStart w:id="103" w:name="_Toc134753828"/>
      <w:bookmarkStart w:id="104" w:name="_Toc5396"/>
      <w:r>
        <w:rPr>
          <w:rFonts w:ascii="Times New Roman" w:eastAsia="宋体" w:hAnsi="Times New Roman" w:cs="Times New Roman"/>
          <w:sz w:val="28"/>
          <w:szCs w:val="28"/>
        </w:rPr>
        <w:t>（一）伦理方面的考虑</w:t>
      </w:r>
      <w:bookmarkEnd w:id="103"/>
      <w:bookmarkEnd w:id="104"/>
    </w:p>
    <w:p w:rsidR="00CA2089" w:rsidRDefault="00035E4E">
      <w:pPr>
        <w:pStyle w:val="21"/>
        <w:tabs>
          <w:tab w:val="left" w:pos="3834"/>
        </w:tabs>
        <w:spacing w:line="360" w:lineRule="auto"/>
        <w:ind w:leftChars="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临床试验遵守赫尔辛基宣言和国家相关法规的要求实施。研究者有责任向伦理委员会提供临床试验方案、知情同意书和提供给受试者的任何信息资料以获得实施该临床试验的独立批准文件，在获得伦理委员会批准之后才可以开展试验。</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在临床试验过程中，任何与临床试验安全性相关的问题，如临床试验方案或受试者知情同意书的更改以及临床试验中的严重不良事件，都必须及时向伦理委员会报告。临床试验的结束或提前终止也必须向伦理委员会报告。</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对于参加试验的受试者，必须签署知情同意书。对无行为能力的受试者，如果伦理委员会原则上同意、研究者认为受试者参加试验符合其本身利益时，则这些病人也可以进入试验，但试验前应由其法定监护人或合法代理人签名并注明日期。受试者有权在临床试验的任何阶段退出。</w:t>
      </w:r>
    </w:p>
    <w:p w:rsidR="00CA2089" w:rsidRDefault="00035E4E">
      <w:pPr>
        <w:pStyle w:val="21"/>
        <w:adjustRightInd w:val="0"/>
        <w:snapToGrid w:val="0"/>
        <w:spacing w:line="360" w:lineRule="auto"/>
        <w:ind w:leftChars="0" w:left="98" w:hangingChars="35" w:hanging="98"/>
        <w:jc w:val="left"/>
        <w:outlineLvl w:val="1"/>
        <w:rPr>
          <w:rFonts w:ascii="Times New Roman" w:eastAsia="宋体" w:hAnsi="Times New Roman" w:cs="Times New Roman"/>
          <w:sz w:val="28"/>
          <w:szCs w:val="28"/>
        </w:rPr>
      </w:pPr>
      <w:bookmarkStart w:id="105" w:name="_Toc134753829"/>
      <w:bookmarkStart w:id="106" w:name="_Toc23173"/>
      <w:r>
        <w:rPr>
          <w:rFonts w:ascii="Times New Roman" w:eastAsia="宋体" w:hAnsi="Times New Roman" w:cs="Times New Roman"/>
          <w:sz w:val="28"/>
          <w:szCs w:val="28"/>
        </w:rPr>
        <w:lastRenderedPageBreak/>
        <w:t>（二）试验方案的审批</w:t>
      </w:r>
      <w:bookmarkEnd w:id="105"/>
      <w:bookmarkEnd w:id="106"/>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向各个中心递交同一版本的临床试验方案，经伦理委员会审批通过后实施。在临床试验过程中，对临床试验方案的修订需要获得伦理委员会的书面批准后方能实施。</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07" w:name="_Toc134753830"/>
      <w:bookmarkStart w:id="108" w:name="_Toc18212"/>
      <w:r>
        <w:rPr>
          <w:rFonts w:ascii="Times New Roman" w:eastAsia="宋体" w:hAnsi="Times New Roman" w:cs="Times New Roman"/>
          <w:color w:val="auto"/>
          <w:sz w:val="28"/>
          <w:szCs w:val="28"/>
        </w:rPr>
        <w:t>（三）知情同意过程</w:t>
      </w:r>
      <w:bookmarkEnd w:id="107"/>
      <w:bookmarkEnd w:id="108"/>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知情同意书》在获得伦理委员会批准之后才能使用。如《知情同意书》在试验过程中有修订，修订版的《知情同意书》使用前需再次经伦理委员会审查批准。修订版的《知情同意书》被批准并送到临床试验机构备案后，所有未结束试验流程的受试者都必须签署新修订的《知情同意书》，所有已完成末次随访的受试者都则不需要签署新修订的《知情同意书》。</w:t>
      </w:r>
    </w:p>
    <w:p w:rsidR="00CA2089" w:rsidRDefault="00035E4E">
      <w:pPr>
        <w:pStyle w:val="21"/>
        <w:tabs>
          <w:tab w:val="left" w:pos="3834"/>
        </w:tabs>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在受试者参与临床试验前，研究者应当充分向受试者或其家属、监护人、法定代理人说明临床试验的详细情况，包括已知的、可预见的风险和可能发生的不良事件等。经充分和详细解释后由受试者或其法定代理人在《知情同意书》上签署姓名和日期，执行知情同意的研究者也需在知情同意书上签署姓名和日期。</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09" w:name="_Toc134753831"/>
      <w:bookmarkStart w:id="110" w:name="_Toc24800"/>
      <w:r>
        <w:rPr>
          <w:rFonts w:ascii="Times New Roman" w:eastAsia="宋体" w:hAnsi="Times New Roman" w:cs="Times New Roman"/>
          <w:b/>
          <w:bCs/>
          <w:sz w:val="28"/>
          <w:szCs w:val="28"/>
        </w:rPr>
        <w:t>十二、对不良事件和器械缺陷报告的规定</w:t>
      </w:r>
      <w:bookmarkEnd w:id="109"/>
      <w:bookmarkEnd w:id="110"/>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1" w:name="_Toc29076"/>
      <w:bookmarkStart w:id="112" w:name="_Toc134753832"/>
      <w:r>
        <w:rPr>
          <w:rFonts w:ascii="Times New Roman" w:eastAsia="宋体" w:hAnsi="Times New Roman" w:cs="Times New Roman"/>
          <w:color w:val="auto"/>
          <w:sz w:val="28"/>
          <w:szCs w:val="28"/>
        </w:rPr>
        <w:t>（一）不良事件的定义和报告规定</w:t>
      </w:r>
      <w:bookmarkEnd w:id="111"/>
      <w:bookmarkEnd w:id="112"/>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不良事件是指受试者使用试验产品治疗后出现的不良医学事件，但并不一定与试验医疗器械相关。</w:t>
      </w:r>
    </w:p>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不良事件严重程度判定</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1</w:t>
      </w:r>
      <w:r>
        <w:rPr>
          <w:rFonts w:ascii="Times New Roman" w:eastAsia="宋体" w:hAnsi="Times New Roman" w:cs="Times New Roman"/>
          <w:sz w:val="28"/>
          <w:szCs w:val="28"/>
        </w:rPr>
        <w:t>）轻度：患者可察觉的症状</w:t>
      </w:r>
      <w:r>
        <w:rPr>
          <w:rFonts w:ascii="Times New Roman" w:eastAsia="宋体" w:hAnsi="Times New Roman" w:cs="Times New Roman"/>
          <w:sz w:val="28"/>
          <w:szCs w:val="28"/>
        </w:rPr>
        <w:t>/</w:t>
      </w:r>
      <w:r>
        <w:rPr>
          <w:rFonts w:ascii="Times New Roman" w:eastAsia="宋体" w:hAnsi="Times New Roman" w:cs="Times New Roman"/>
          <w:sz w:val="28"/>
          <w:szCs w:val="28"/>
        </w:rPr>
        <w:t>体征，但可以耐受；</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w:t>
      </w:r>
      <w:r>
        <w:rPr>
          <w:rFonts w:ascii="Times New Roman" w:eastAsia="宋体" w:hAnsi="Times New Roman" w:cs="Times New Roman"/>
          <w:sz w:val="28"/>
          <w:szCs w:val="28"/>
        </w:rPr>
        <w:t>2</w:t>
      </w:r>
      <w:r>
        <w:rPr>
          <w:rFonts w:ascii="Times New Roman" w:eastAsia="宋体" w:hAnsi="Times New Roman" w:cs="Times New Roman"/>
          <w:sz w:val="28"/>
          <w:szCs w:val="28"/>
        </w:rPr>
        <w:t>）中度：患者的症状</w:t>
      </w:r>
      <w:r>
        <w:rPr>
          <w:rFonts w:ascii="Times New Roman" w:eastAsia="宋体" w:hAnsi="Times New Roman" w:cs="Times New Roman"/>
          <w:sz w:val="28"/>
          <w:szCs w:val="28"/>
        </w:rPr>
        <w:t>/</w:t>
      </w:r>
      <w:r>
        <w:rPr>
          <w:rFonts w:ascii="Times New Roman" w:eastAsia="宋体" w:hAnsi="Times New Roman" w:cs="Times New Roman"/>
          <w:sz w:val="28"/>
          <w:szCs w:val="28"/>
        </w:rPr>
        <w:t>体征造成不适，干扰日常生活；</w:t>
      </w:r>
    </w:p>
    <w:p w:rsidR="00CA2089" w:rsidRDefault="00035E4E">
      <w:pPr>
        <w:pStyle w:val="21"/>
        <w:adjustRightInd w:val="0"/>
        <w:snapToGrid w:val="0"/>
        <w:spacing w:line="360" w:lineRule="auto"/>
        <w:ind w:leftChars="20" w:left="42" w:right="96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lastRenderedPageBreak/>
        <w:t>（</w:t>
      </w:r>
      <w:r>
        <w:rPr>
          <w:rFonts w:ascii="Times New Roman" w:eastAsia="宋体" w:hAnsi="Times New Roman" w:cs="Times New Roman"/>
          <w:sz w:val="28"/>
          <w:szCs w:val="28"/>
        </w:rPr>
        <w:t>3</w:t>
      </w:r>
      <w:r>
        <w:rPr>
          <w:rFonts w:ascii="Times New Roman" w:eastAsia="宋体" w:hAnsi="Times New Roman" w:cs="Times New Roman"/>
          <w:sz w:val="28"/>
          <w:szCs w:val="28"/>
        </w:rPr>
        <w:t>）重度：患者失去工作或生活能力。</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所有试验期间出现的不良事件都必须如实记录在不良事件表中。研究者应对不良事件给予针对性治疗并进行随访，直至症状消失或症状稳定。</w:t>
      </w:r>
    </w:p>
    <w:p w:rsidR="00CA2089" w:rsidRDefault="00035E4E">
      <w:pPr>
        <w:spacing w:beforeLines="50" w:before="156" w:line="288" w:lineRule="auto"/>
        <w:ind w:firstLineChars="200" w:firstLine="560"/>
        <w:rPr>
          <w:color w:val="000000"/>
          <w:kern w:val="0"/>
          <w:sz w:val="28"/>
          <w:szCs w:val="28"/>
          <w:lang w:val="zh-CN"/>
        </w:rPr>
      </w:pPr>
      <w:r>
        <w:rPr>
          <w:color w:val="000000"/>
          <w:kern w:val="0"/>
          <w:sz w:val="28"/>
          <w:szCs w:val="28"/>
          <w:lang w:val="zh-CN"/>
        </w:rPr>
        <w:t>试验过程中，</w:t>
      </w:r>
      <w:r>
        <w:rPr>
          <w:color w:val="000000"/>
          <w:kern w:val="0"/>
          <w:sz w:val="28"/>
          <w:szCs w:val="28"/>
        </w:rPr>
        <w:t>在药物洗脱支架植入术前利用血管内冲击波治疗设备</w:t>
      </w:r>
      <w:r>
        <w:rPr>
          <w:rFonts w:hint="eastAsia"/>
          <w:color w:val="000000"/>
          <w:kern w:val="0"/>
          <w:sz w:val="28"/>
          <w:szCs w:val="28"/>
        </w:rPr>
        <w:t>和</w:t>
      </w:r>
      <w:r>
        <w:rPr>
          <w:color w:val="000000"/>
          <w:kern w:val="0"/>
          <w:sz w:val="28"/>
          <w:szCs w:val="28"/>
        </w:rPr>
        <w:t>震波球囊扩张导管对</w:t>
      </w:r>
      <w:r>
        <w:rPr>
          <w:color w:val="000000"/>
          <w:kern w:val="0"/>
          <w:sz w:val="28"/>
          <w:szCs w:val="28"/>
          <w:lang w:val="zh-CN"/>
        </w:rPr>
        <w:t>受试者</w:t>
      </w:r>
      <w:r>
        <w:rPr>
          <w:color w:val="000000"/>
          <w:kern w:val="0"/>
          <w:sz w:val="28"/>
          <w:szCs w:val="28"/>
        </w:rPr>
        <w:t>进行经皮血管腔内成形</w:t>
      </w:r>
      <w:r>
        <w:rPr>
          <w:color w:val="000000"/>
          <w:kern w:val="0"/>
          <w:sz w:val="28"/>
          <w:szCs w:val="28"/>
          <w:lang w:val="zh-CN"/>
        </w:rPr>
        <w:t>术可能会出现</w:t>
      </w:r>
      <w:r>
        <w:rPr>
          <w:color w:val="000000"/>
          <w:kern w:val="0"/>
          <w:sz w:val="28"/>
          <w:szCs w:val="28"/>
        </w:rPr>
        <w:t>急性冠状动脉闭塞、夹层、冠状动脉穿孔、需要额外干预的远端血管无复流、药物洗脱支架血栓形成、药物洗脱支架</w:t>
      </w:r>
      <w:proofErr w:type="gramStart"/>
      <w:r>
        <w:rPr>
          <w:color w:val="000000"/>
          <w:kern w:val="0"/>
          <w:sz w:val="28"/>
          <w:szCs w:val="28"/>
        </w:rPr>
        <w:t>脱载及</w:t>
      </w:r>
      <w:proofErr w:type="gramEnd"/>
      <w:r>
        <w:rPr>
          <w:color w:val="000000"/>
          <w:kern w:val="0"/>
          <w:sz w:val="28"/>
          <w:szCs w:val="28"/>
        </w:rPr>
        <w:t>血管并发症等情况</w:t>
      </w:r>
      <w:r>
        <w:rPr>
          <w:color w:val="000000"/>
          <w:kern w:val="0"/>
          <w:sz w:val="28"/>
          <w:szCs w:val="28"/>
          <w:lang w:val="zh-CN"/>
        </w:rPr>
        <w:t>。随着操作者经验的积累，</w:t>
      </w:r>
      <w:r>
        <w:rPr>
          <w:color w:val="000000"/>
          <w:kern w:val="0"/>
          <w:sz w:val="28"/>
          <w:szCs w:val="28"/>
        </w:rPr>
        <w:t>并发症</w:t>
      </w:r>
      <w:r>
        <w:rPr>
          <w:color w:val="000000"/>
          <w:kern w:val="0"/>
          <w:sz w:val="28"/>
          <w:szCs w:val="28"/>
          <w:lang w:val="zh-CN"/>
        </w:rPr>
        <w:t>发生率可进一步降低。</w:t>
      </w:r>
    </w:p>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不良事件因果关系判定</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843"/>
        <w:gridCol w:w="7229"/>
      </w:tblGrid>
      <w:tr w:rsidR="00CA2089">
        <w:trPr>
          <w:tblHeader/>
        </w:trPr>
        <w:tc>
          <w:tcPr>
            <w:tcW w:w="9072" w:type="dxa"/>
            <w:gridSpan w:val="2"/>
            <w:shd w:val="clear" w:color="auto" w:fill="FFFFFF"/>
          </w:tcPr>
          <w:p w:rsidR="00CA2089" w:rsidRDefault="00035E4E">
            <w:pPr>
              <w:autoSpaceDE w:val="0"/>
              <w:autoSpaceDN w:val="0"/>
              <w:adjustRightInd w:val="0"/>
              <w:spacing w:line="360" w:lineRule="auto"/>
              <w:ind w:rightChars="-132" w:right="-277"/>
              <w:jc w:val="center"/>
              <w:rPr>
                <w:b/>
                <w:bCs/>
                <w:sz w:val="24"/>
              </w:rPr>
            </w:pPr>
            <w:r>
              <w:rPr>
                <w:b/>
                <w:bCs/>
                <w:sz w:val="24"/>
              </w:rPr>
              <w:t>因果关系</w:t>
            </w:r>
          </w:p>
        </w:tc>
      </w:tr>
      <w:tr w:rsidR="00CA2089">
        <w:trPr>
          <w:trHeight w:val="702"/>
        </w:trPr>
        <w:tc>
          <w:tcPr>
            <w:tcW w:w="1843" w:type="dxa"/>
            <w:shd w:val="clear" w:color="auto" w:fill="FFFFFF"/>
            <w:vAlign w:val="center"/>
          </w:tcPr>
          <w:p w:rsidR="00CA2089" w:rsidRDefault="00035E4E">
            <w:pPr>
              <w:autoSpaceDE w:val="0"/>
              <w:autoSpaceDN w:val="0"/>
              <w:adjustRightInd w:val="0"/>
              <w:spacing w:line="360" w:lineRule="auto"/>
              <w:jc w:val="center"/>
              <w:rPr>
                <w:bCs/>
                <w:sz w:val="24"/>
              </w:rPr>
            </w:pPr>
            <w:r>
              <w:rPr>
                <w:bCs/>
                <w:sz w:val="24"/>
              </w:rPr>
              <w:t>无关</w:t>
            </w:r>
          </w:p>
        </w:tc>
        <w:tc>
          <w:tcPr>
            <w:tcW w:w="7229" w:type="dxa"/>
            <w:shd w:val="clear" w:color="auto" w:fill="FFFFFF"/>
          </w:tcPr>
          <w:p w:rsidR="00CA2089" w:rsidRDefault="00035E4E">
            <w:pPr>
              <w:rPr>
                <w:sz w:val="24"/>
              </w:rPr>
            </w:pPr>
            <w:r>
              <w:rPr>
                <w:sz w:val="24"/>
              </w:rPr>
              <w:t>临床试验事件包括实验室检测异常等，在时间顺序上不可能存在因果关系，且与其他的药物</w:t>
            </w:r>
            <w:r>
              <w:rPr>
                <w:sz w:val="24"/>
              </w:rPr>
              <w:t>/</w:t>
            </w:r>
            <w:r>
              <w:rPr>
                <w:sz w:val="24"/>
              </w:rPr>
              <w:t>治疗、潜在疾病等存在因果关系。</w:t>
            </w:r>
          </w:p>
        </w:tc>
      </w:tr>
      <w:tr w:rsidR="00CA2089">
        <w:tc>
          <w:tcPr>
            <w:tcW w:w="1843" w:type="dxa"/>
            <w:shd w:val="clear" w:color="auto" w:fill="FFFFFF"/>
            <w:vAlign w:val="center"/>
          </w:tcPr>
          <w:p w:rsidR="00CA2089" w:rsidRDefault="00035E4E">
            <w:pPr>
              <w:autoSpaceDE w:val="0"/>
              <w:autoSpaceDN w:val="0"/>
              <w:adjustRightInd w:val="0"/>
              <w:spacing w:line="360" w:lineRule="auto"/>
              <w:jc w:val="center"/>
              <w:rPr>
                <w:bCs/>
                <w:sz w:val="24"/>
              </w:rPr>
            </w:pPr>
            <w:r>
              <w:rPr>
                <w:bCs/>
                <w:sz w:val="24"/>
              </w:rPr>
              <w:t>可能无关</w:t>
            </w:r>
          </w:p>
        </w:tc>
        <w:tc>
          <w:tcPr>
            <w:tcW w:w="7229" w:type="dxa"/>
            <w:shd w:val="clear" w:color="auto" w:fill="FFFFFF"/>
          </w:tcPr>
          <w:p w:rsidR="00CA2089" w:rsidRDefault="00035E4E">
            <w:pPr>
              <w:rPr>
                <w:sz w:val="24"/>
              </w:rPr>
            </w:pPr>
            <w:r>
              <w:rPr>
                <w:sz w:val="24"/>
              </w:rPr>
              <w:t>临床试验事件包括实验室检测异常等，可以根据伴随疾病、其他药物</w:t>
            </w:r>
            <w:r>
              <w:rPr>
                <w:sz w:val="24"/>
              </w:rPr>
              <w:t>/</w:t>
            </w:r>
            <w:r>
              <w:rPr>
                <w:sz w:val="24"/>
              </w:rPr>
              <w:t>治疗解释，停止使用研究产品不能改善这些症状</w:t>
            </w:r>
            <w:r>
              <w:rPr>
                <w:sz w:val="24"/>
              </w:rPr>
              <w:t>/</w:t>
            </w:r>
            <w:r>
              <w:rPr>
                <w:sz w:val="24"/>
              </w:rPr>
              <w:t>体征或模棱两可，重复使用研究器械后没有再次发生或模棱两可。</w:t>
            </w:r>
          </w:p>
        </w:tc>
      </w:tr>
      <w:tr w:rsidR="00CA2089">
        <w:tc>
          <w:tcPr>
            <w:tcW w:w="1843" w:type="dxa"/>
            <w:shd w:val="clear" w:color="auto" w:fill="FFFFFF"/>
            <w:vAlign w:val="center"/>
          </w:tcPr>
          <w:p w:rsidR="00CA2089" w:rsidRDefault="00035E4E">
            <w:pPr>
              <w:spacing w:line="360" w:lineRule="auto"/>
              <w:jc w:val="center"/>
              <w:rPr>
                <w:sz w:val="24"/>
              </w:rPr>
            </w:pPr>
            <w:r>
              <w:rPr>
                <w:sz w:val="24"/>
              </w:rPr>
              <w:t>可能有关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临床试验事件包括实验室检测异常等，与研究产品的使用有合理的时间顺序关系，但是这些症状也可以由其他伴随疾病或其他药物</w:t>
            </w:r>
            <w:r>
              <w:rPr>
                <w:sz w:val="24"/>
              </w:rPr>
              <w:t>/</w:t>
            </w:r>
            <w:r>
              <w:rPr>
                <w:sz w:val="24"/>
              </w:rPr>
              <w:t>治疗引起。</w:t>
            </w:r>
          </w:p>
        </w:tc>
      </w:tr>
      <w:tr w:rsidR="00CA2089">
        <w:tc>
          <w:tcPr>
            <w:tcW w:w="1843" w:type="dxa"/>
            <w:shd w:val="clear" w:color="auto" w:fill="FFFFFF"/>
            <w:vAlign w:val="center"/>
          </w:tcPr>
          <w:p w:rsidR="00CA2089" w:rsidRDefault="00035E4E">
            <w:pPr>
              <w:spacing w:line="360" w:lineRule="auto"/>
              <w:jc w:val="center"/>
              <w:rPr>
                <w:sz w:val="24"/>
              </w:rPr>
            </w:pPr>
            <w:r>
              <w:rPr>
                <w:sz w:val="24"/>
              </w:rPr>
              <w:t>很可能有关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临床试验事件包括实验室检测异常等，与研究产品的使用有合理的时间顺序关系，不可能由其他伴随疾病或其他药物</w:t>
            </w:r>
            <w:r>
              <w:rPr>
                <w:sz w:val="24"/>
              </w:rPr>
              <w:t>/</w:t>
            </w:r>
            <w:r>
              <w:rPr>
                <w:sz w:val="24"/>
              </w:rPr>
              <w:t>治疗引起，停用研究器械后情况好转，停用研究器械收集的相关信息无法</w:t>
            </w:r>
            <w:proofErr w:type="gramStart"/>
            <w:r>
              <w:rPr>
                <w:sz w:val="24"/>
              </w:rPr>
              <w:t>满足再</w:t>
            </w:r>
            <w:proofErr w:type="gramEnd"/>
            <w:r>
              <w:rPr>
                <w:sz w:val="24"/>
              </w:rPr>
              <w:t>激发试验。</w:t>
            </w:r>
          </w:p>
        </w:tc>
      </w:tr>
      <w:tr w:rsidR="00CA2089">
        <w:tc>
          <w:tcPr>
            <w:tcW w:w="1843" w:type="dxa"/>
            <w:shd w:val="clear" w:color="auto" w:fill="FFFFFF"/>
            <w:vAlign w:val="center"/>
          </w:tcPr>
          <w:p w:rsidR="00CA2089" w:rsidRDefault="00035E4E">
            <w:pPr>
              <w:spacing w:line="360" w:lineRule="auto"/>
              <w:jc w:val="center"/>
              <w:rPr>
                <w:sz w:val="24"/>
              </w:rPr>
            </w:pPr>
            <w:r>
              <w:rPr>
                <w:sz w:val="24"/>
              </w:rPr>
              <w:t>肯定有关</w:t>
            </w:r>
          </w:p>
        </w:tc>
        <w:tc>
          <w:tcPr>
            <w:tcW w:w="7229" w:type="dxa"/>
            <w:shd w:val="clear" w:color="auto" w:fill="FFFFFF"/>
          </w:tcPr>
          <w:p w:rsidR="00CA2089" w:rsidRDefault="00035E4E">
            <w:pPr>
              <w:rPr>
                <w:sz w:val="24"/>
              </w:rPr>
            </w:pPr>
            <w:r>
              <w:rPr>
                <w:sz w:val="24"/>
              </w:rPr>
              <w:t>临床试验事件包括实验室检测异常等，与研究产品的使用有合理的时间顺序关系，不能由其他伴随疾病或其他药物</w:t>
            </w:r>
            <w:r>
              <w:rPr>
                <w:sz w:val="24"/>
              </w:rPr>
              <w:t>/</w:t>
            </w:r>
            <w:r>
              <w:rPr>
                <w:sz w:val="24"/>
              </w:rPr>
              <w:t>治疗引起，停止治疗后不良事件的将在临床水平上停止，必要时从药理学和病理现象上均</w:t>
            </w:r>
            <w:proofErr w:type="gramStart"/>
            <w:r>
              <w:rPr>
                <w:sz w:val="24"/>
              </w:rPr>
              <w:t>满足再</w:t>
            </w:r>
            <w:proofErr w:type="gramEnd"/>
            <w:r>
              <w:rPr>
                <w:sz w:val="24"/>
              </w:rPr>
              <w:t>激发试验。</w:t>
            </w:r>
          </w:p>
        </w:tc>
      </w:tr>
    </w:tbl>
    <w:p w:rsidR="00CA2089" w:rsidRDefault="00035E4E">
      <w:pPr>
        <w:pStyle w:val="af0"/>
        <w:numPr>
          <w:ilvl w:val="0"/>
          <w:numId w:val="21"/>
        </w:numPr>
        <w:spacing w:line="360" w:lineRule="auto"/>
        <w:ind w:firstLineChars="200" w:firstLine="560"/>
        <w:outlineLvl w:val="2"/>
        <w:rPr>
          <w:rFonts w:ascii="Times New Roman" w:eastAsia="宋体" w:hAnsi="Times New Roman" w:cs="Times New Roman"/>
          <w:sz w:val="28"/>
          <w:szCs w:val="28"/>
        </w:rPr>
      </w:pPr>
      <w:r>
        <w:rPr>
          <w:rFonts w:ascii="Times New Roman" w:eastAsia="宋体" w:hAnsi="Times New Roman" w:cs="Times New Roman"/>
          <w:sz w:val="28"/>
          <w:szCs w:val="28"/>
        </w:rPr>
        <w:t>预期不良事件及对应治疗措施</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急性冠状动脉闭塞</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lastRenderedPageBreak/>
        <w:t>急性冠状动脉闭塞大多数发生在术中或离开</w:t>
      </w:r>
      <w:proofErr w:type="gramStart"/>
      <w:r>
        <w:rPr>
          <w:rFonts w:ascii="Times New Roman" w:eastAsia="宋体" w:hAnsi="Times New Roman" w:cs="Times New Roman"/>
          <w:color w:val="auto"/>
          <w:sz w:val="28"/>
          <w:szCs w:val="28"/>
        </w:rPr>
        <w:t>导管室</w:t>
      </w:r>
      <w:proofErr w:type="gramEnd"/>
      <w:r>
        <w:rPr>
          <w:rFonts w:ascii="Times New Roman" w:eastAsia="宋体" w:hAnsi="Times New Roman" w:cs="Times New Roman"/>
          <w:color w:val="auto"/>
          <w:sz w:val="28"/>
          <w:szCs w:val="28"/>
        </w:rPr>
        <w:t>之前，也可发生在术后</w:t>
      </w:r>
      <w:r>
        <w:rPr>
          <w:rFonts w:ascii="Times New Roman" w:eastAsia="宋体" w:hAnsi="Times New Roman" w:cs="Times New Roman"/>
          <w:color w:val="auto"/>
          <w:sz w:val="28"/>
          <w:szCs w:val="28"/>
        </w:rPr>
        <w:t>24 h</w:t>
      </w:r>
      <w:r>
        <w:rPr>
          <w:rFonts w:ascii="Times New Roman" w:eastAsia="宋体" w:hAnsi="Times New Roman" w:cs="Times New Roman"/>
          <w:color w:val="auto"/>
          <w:sz w:val="28"/>
          <w:szCs w:val="28"/>
        </w:rPr>
        <w:t>。可能由主支血管夹层、壁内血肿、支架内血栓、斑块和</w:t>
      </w:r>
      <w:proofErr w:type="gramStart"/>
      <w:r>
        <w:rPr>
          <w:rFonts w:ascii="Times New Roman" w:eastAsia="宋体" w:hAnsi="Times New Roman" w:cs="Times New Roman"/>
          <w:color w:val="auto"/>
          <w:sz w:val="28"/>
          <w:szCs w:val="28"/>
        </w:rPr>
        <w:t>或嵴</w:t>
      </w:r>
      <w:proofErr w:type="gramEnd"/>
      <w:r>
        <w:rPr>
          <w:rFonts w:ascii="Times New Roman" w:eastAsia="宋体" w:hAnsi="Times New Roman" w:cs="Times New Roman"/>
          <w:color w:val="auto"/>
          <w:sz w:val="28"/>
          <w:szCs w:val="28"/>
        </w:rPr>
        <w:t>移位及支架结构压迫等因素所致。主支或大分支</w:t>
      </w:r>
      <w:proofErr w:type="gramStart"/>
      <w:r>
        <w:rPr>
          <w:rFonts w:ascii="Times New Roman" w:eastAsia="宋体" w:hAnsi="Times New Roman" w:cs="Times New Roman"/>
          <w:color w:val="auto"/>
          <w:sz w:val="28"/>
          <w:szCs w:val="28"/>
        </w:rPr>
        <w:t>闭塞可</w:t>
      </w:r>
      <w:proofErr w:type="gramEnd"/>
      <w:r>
        <w:rPr>
          <w:rFonts w:ascii="Times New Roman" w:eastAsia="宋体" w:hAnsi="Times New Roman" w:cs="Times New Roman"/>
          <w:color w:val="auto"/>
          <w:sz w:val="28"/>
          <w:szCs w:val="28"/>
        </w:rPr>
        <w:t>引起严重后果，立即出现血压降低、心率减慢，甚至很快导致心室颤动、心室停搏而死亡。上述情况均应及时处理或置入支架，尽快恢复冠状动脉血流。</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无复流</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推荐冠状动脉内</w:t>
      </w:r>
      <w:proofErr w:type="gramStart"/>
      <w:r>
        <w:rPr>
          <w:rFonts w:ascii="Times New Roman" w:eastAsia="宋体" w:hAnsi="Times New Roman" w:cs="Times New Roman"/>
          <w:color w:val="auto"/>
          <w:sz w:val="28"/>
          <w:szCs w:val="28"/>
        </w:rPr>
        <w:t>注射替罗非</w:t>
      </w:r>
      <w:proofErr w:type="gramEnd"/>
      <w:r>
        <w:rPr>
          <w:rFonts w:ascii="Times New Roman" w:eastAsia="宋体" w:hAnsi="Times New Roman" w:cs="Times New Roman"/>
          <w:color w:val="auto"/>
          <w:sz w:val="28"/>
          <w:szCs w:val="28"/>
        </w:rPr>
        <w:t>班、钙通道阻滞剂、硝酸酯类、硝普钠、腺苷等药物，或应用血栓抽吸及置入</w:t>
      </w:r>
      <w:r>
        <w:rPr>
          <w:rFonts w:ascii="Times New Roman" w:eastAsia="宋体" w:hAnsi="Times New Roman" w:cs="Times New Roman"/>
          <w:color w:val="auto"/>
          <w:sz w:val="28"/>
          <w:szCs w:val="28"/>
        </w:rPr>
        <w:t>IABP</w:t>
      </w:r>
      <w:r>
        <w:rPr>
          <w:rFonts w:ascii="Times New Roman" w:eastAsia="宋体" w:hAnsi="Times New Roman" w:cs="Times New Roman"/>
          <w:color w:val="auto"/>
          <w:sz w:val="28"/>
          <w:szCs w:val="28"/>
        </w:rPr>
        <w:t>，可能有助于预防或减轻无复流，稳定血液动力学。</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关于给药部位，与冠状动脉口部给药比较，经灌注导管在冠状动脉靶病变以</w:t>
      </w:r>
      <w:proofErr w:type="gramStart"/>
      <w:r>
        <w:rPr>
          <w:rFonts w:ascii="Times New Roman" w:eastAsia="宋体" w:hAnsi="Times New Roman" w:cs="Times New Roman"/>
          <w:color w:val="auto"/>
          <w:sz w:val="28"/>
          <w:szCs w:val="28"/>
        </w:rPr>
        <w:t>远给予替罗非班</w:t>
      </w:r>
      <w:proofErr w:type="gramEnd"/>
      <w:r>
        <w:rPr>
          <w:rFonts w:ascii="Times New Roman" w:eastAsia="宋体" w:hAnsi="Times New Roman" w:cs="Times New Roman"/>
          <w:color w:val="auto"/>
          <w:sz w:val="28"/>
          <w:szCs w:val="28"/>
        </w:rPr>
        <w:t>可改善无复流患者心肌灌注。</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冠状动脉穿孔</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冠状动脉穿孔是少见但非常危险的并发症。发生穿孔时，可先用直径匹配的球囊在穿孔处低压力扩张封堵，对供血面积大的冠状动脉，封堵时间不宜过长，可间断进行，对小穿孔往往能奏效；如果穿孔较大或低压力扩张球囊封堵失败，可置入覆膜支架封堵穿孔处，并停用血小板膜糖蛋白</w:t>
      </w:r>
      <w:r>
        <w:rPr>
          <w:rFonts w:ascii="Times New Roman" w:eastAsia="宋体" w:hAnsi="Times New Roman" w:cs="Times New Roman"/>
          <w:color w:val="auto"/>
          <w:sz w:val="28"/>
          <w:szCs w:val="28"/>
        </w:rPr>
        <w:t xml:space="preserve">Ⅱb/Ⅲa </w:t>
      </w:r>
      <w:r>
        <w:rPr>
          <w:rFonts w:ascii="Times New Roman" w:eastAsia="宋体" w:hAnsi="Times New Roman" w:cs="Times New Roman"/>
          <w:color w:val="auto"/>
          <w:sz w:val="28"/>
          <w:szCs w:val="28"/>
        </w:rPr>
        <w:t>受体拮抗剂（</w:t>
      </w:r>
      <w:r>
        <w:rPr>
          <w:rFonts w:ascii="Times New Roman" w:eastAsia="宋体" w:hAnsi="Times New Roman" w:cs="Times New Roman"/>
          <w:color w:val="auto"/>
          <w:sz w:val="28"/>
          <w:szCs w:val="28"/>
        </w:rPr>
        <w:t>glycoprotein Ⅱb/Ⅲa receptor inhibitor,GPI</w:t>
      </w:r>
      <w:r>
        <w:rPr>
          <w:rFonts w:ascii="Times New Roman" w:eastAsia="宋体" w:hAnsi="Times New Roman" w:cs="Times New Roman"/>
          <w:color w:val="auto"/>
          <w:sz w:val="28"/>
          <w:szCs w:val="28"/>
        </w:rPr>
        <w:t>），做好心包穿刺准备。监测活化凝血时间（</w:t>
      </w:r>
      <w:r>
        <w:rPr>
          <w:rFonts w:ascii="Times New Roman" w:eastAsia="宋体" w:hAnsi="Times New Roman" w:cs="Times New Roman"/>
          <w:color w:val="auto"/>
          <w:sz w:val="28"/>
          <w:szCs w:val="28"/>
        </w:rPr>
        <w:t>activated clotting time</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ACT</w:t>
      </w:r>
      <w:r>
        <w:rPr>
          <w:rFonts w:ascii="Times New Roman" w:eastAsia="宋体" w:hAnsi="Times New Roman" w:cs="Times New Roman"/>
          <w:color w:val="auto"/>
          <w:sz w:val="28"/>
          <w:szCs w:val="28"/>
        </w:rPr>
        <w:t>），必要时应用鱼精蛋白中和肝素。若介入手段不能封堵破口，应行急诊外科手术。若出现心脏压塞则在维持血液动力学稳定的同时立即行心包穿刺或心包切开引流术。</w:t>
      </w:r>
      <w:proofErr w:type="gramStart"/>
      <w:r>
        <w:rPr>
          <w:rFonts w:ascii="Times New Roman" w:eastAsia="宋体" w:hAnsi="Times New Roman" w:cs="Times New Roman"/>
          <w:color w:val="auto"/>
          <w:sz w:val="28"/>
          <w:szCs w:val="28"/>
        </w:rPr>
        <w:t>指引导丝造成</w:t>
      </w:r>
      <w:proofErr w:type="gramEnd"/>
      <w:r>
        <w:rPr>
          <w:rFonts w:ascii="Times New Roman" w:eastAsia="宋体" w:hAnsi="Times New Roman" w:cs="Times New Roman"/>
          <w:color w:val="auto"/>
          <w:sz w:val="28"/>
          <w:szCs w:val="28"/>
        </w:rPr>
        <w:t>的冠状动脉穿孔易发生延迟心包填塞，需密切</w:t>
      </w:r>
      <w:r>
        <w:rPr>
          <w:rFonts w:ascii="Times New Roman" w:eastAsia="宋体" w:hAnsi="Times New Roman" w:cs="Times New Roman"/>
          <w:color w:val="auto"/>
          <w:sz w:val="28"/>
          <w:szCs w:val="28"/>
        </w:rPr>
        <w:lastRenderedPageBreak/>
        <w:t>观测，若穿孔较大，必要时应用自体脂肪颗粒或弹簧圈封堵。无论哪种穿孔类型，都应在术后随访超声心动图，以防延迟的心包填塞发生。</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支架血栓形成　</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支架血栓形成虽发生率较低（</w:t>
      </w:r>
      <w:r>
        <w:rPr>
          <w:rFonts w:ascii="Times New Roman" w:eastAsia="宋体" w:hAnsi="Times New Roman" w:cs="Times New Roman"/>
          <w:color w:val="auto"/>
          <w:sz w:val="28"/>
          <w:szCs w:val="28"/>
        </w:rPr>
        <w:t>30d</w:t>
      </w:r>
      <w:r>
        <w:rPr>
          <w:rFonts w:ascii="Times New Roman" w:eastAsia="宋体" w:hAnsi="Times New Roman" w:cs="Times New Roman"/>
          <w:color w:val="auto"/>
          <w:sz w:val="28"/>
          <w:szCs w:val="28"/>
        </w:rPr>
        <w:t>内发生率</w:t>
      </w:r>
      <w:r>
        <w:rPr>
          <w:rFonts w:ascii="Times New Roman" w:eastAsia="宋体" w:hAnsi="Times New Roman" w:cs="Times New Roman"/>
          <w:color w:val="auto"/>
          <w:sz w:val="28"/>
          <w:szCs w:val="28"/>
        </w:rPr>
        <w:t>0.6%</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年内发生率</w:t>
      </w:r>
      <w:r>
        <w:rPr>
          <w:rFonts w:ascii="Times New Roman" w:eastAsia="宋体" w:hAnsi="Times New Roman" w:cs="Times New Roman"/>
          <w:color w:val="auto"/>
          <w:sz w:val="28"/>
          <w:szCs w:val="28"/>
        </w:rPr>
        <w:t>2.9%</w:t>
      </w:r>
      <w:r>
        <w:rPr>
          <w:rFonts w:ascii="Times New Roman" w:eastAsia="宋体" w:hAnsi="Times New Roman" w:cs="Times New Roman"/>
          <w:color w:val="auto"/>
          <w:sz w:val="28"/>
          <w:szCs w:val="28"/>
        </w:rPr>
        <w:t>），但病死率高达</w:t>
      </w:r>
      <w:r>
        <w:rPr>
          <w:rFonts w:ascii="Times New Roman" w:eastAsia="宋体" w:hAnsi="Times New Roman" w:cs="Times New Roman"/>
          <w:color w:val="auto"/>
          <w:sz w:val="28"/>
          <w:szCs w:val="28"/>
        </w:rPr>
        <w:t>45%</w:t>
      </w:r>
      <w:r>
        <w:rPr>
          <w:rFonts w:ascii="Times New Roman" w:eastAsia="宋体" w:hAnsi="Times New Roman" w:cs="Times New Roman"/>
          <w:color w:val="auto"/>
          <w:sz w:val="28"/>
          <w:szCs w:val="28"/>
        </w:rPr>
        <w:t>。与支架血栓形成的相关危险因素主要包括：（</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）高危患者：如糖尿病、肾功能不全、心功能不全、高残余血小板反应性、过早停用</w:t>
      </w:r>
      <w:r>
        <w:rPr>
          <w:rFonts w:ascii="Times New Roman" w:eastAsia="宋体" w:hAnsi="Times New Roman" w:cs="Times New Roman"/>
          <w:color w:val="auto"/>
          <w:sz w:val="28"/>
          <w:szCs w:val="28"/>
        </w:rPr>
        <w:t xml:space="preserve">DAPT </w:t>
      </w:r>
      <w:r>
        <w:rPr>
          <w:rFonts w:ascii="Times New Roman" w:eastAsia="宋体" w:hAnsi="Times New Roman" w:cs="Times New Roman"/>
          <w:color w:val="auto"/>
          <w:sz w:val="28"/>
          <w:szCs w:val="28"/>
        </w:rPr>
        <w:t>等；（</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）高危病变：如</w:t>
      </w:r>
      <w:r>
        <w:rPr>
          <w:rFonts w:ascii="Times New Roman" w:eastAsia="宋体" w:hAnsi="Times New Roman" w:cs="Times New Roman"/>
          <w:color w:val="auto"/>
          <w:sz w:val="28"/>
          <w:szCs w:val="28"/>
        </w:rPr>
        <w:t>B2</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C</w:t>
      </w:r>
      <w:proofErr w:type="gramStart"/>
      <w:r>
        <w:rPr>
          <w:rFonts w:ascii="Times New Roman" w:eastAsia="宋体" w:hAnsi="Times New Roman" w:cs="Times New Roman"/>
          <w:color w:val="auto"/>
          <w:sz w:val="28"/>
          <w:szCs w:val="28"/>
        </w:rPr>
        <w:t>型复杂</w:t>
      </w:r>
      <w:proofErr w:type="gramEnd"/>
      <w:r>
        <w:rPr>
          <w:rFonts w:ascii="Times New Roman" w:eastAsia="宋体" w:hAnsi="Times New Roman" w:cs="Times New Roman"/>
          <w:color w:val="auto"/>
          <w:sz w:val="28"/>
          <w:szCs w:val="28"/>
        </w:rPr>
        <w:t>冠状动脉病变、完全闭塞、血栓及弥漫小血管病变等；（</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）操作因素：置入多个支架、长支架、支架贴壁不良、支架重叠、</w:t>
      </w:r>
      <w:r>
        <w:rPr>
          <w:rFonts w:ascii="Times New Roman" w:eastAsia="宋体" w:hAnsi="Times New Roman" w:cs="Times New Roman"/>
          <w:color w:val="auto"/>
          <w:sz w:val="28"/>
          <w:szCs w:val="28"/>
        </w:rPr>
        <w:t>Crush</w:t>
      </w:r>
      <w:r>
        <w:rPr>
          <w:rFonts w:ascii="Times New Roman" w:eastAsia="宋体" w:hAnsi="Times New Roman" w:cs="Times New Roman"/>
          <w:color w:val="auto"/>
          <w:sz w:val="28"/>
          <w:szCs w:val="28"/>
        </w:rPr>
        <w:t>技术，支架直径选择偏小或</w:t>
      </w:r>
      <w:proofErr w:type="gramStart"/>
      <w:r>
        <w:rPr>
          <w:rFonts w:ascii="Times New Roman" w:eastAsia="宋体" w:hAnsi="Times New Roman" w:cs="Times New Roman"/>
          <w:color w:val="auto"/>
          <w:sz w:val="28"/>
          <w:szCs w:val="28"/>
        </w:rPr>
        <w:t>术终管腔</w:t>
      </w:r>
      <w:proofErr w:type="gramEnd"/>
      <w:r>
        <w:rPr>
          <w:rFonts w:ascii="Times New Roman" w:eastAsia="宋体" w:hAnsi="Times New Roman" w:cs="Times New Roman"/>
          <w:color w:val="auto"/>
          <w:sz w:val="28"/>
          <w:szCs w:val="28"/>
        </w:rPr>
        <w:t>内径较小、支架结构变形、分叉支架、术后</w:t>
      </w:r>
      <w:proofErr w:type="gramStart"/>
      <w:r>
        <w:rPr>
          <w:rFonts w:ascii="Times New Roman" w:eastAsia="宋体" w:hAnsi="Times New Roman" w:cs="Times New Roman"/>
          <w:color w:val="auto"/>
          <w:sz w:val="28"/>
          <w:szCs w:val="28"/>
        </w:rPr>
        <w:t>持续慢血流</w:t>
      </w:r>
      <w:proofErr w:type="gramEnd"/>
      <w:r>
        <w:rPr>
          <w:rFonts w:ascii="Times New Roman" w:eastAsia="宋体" w:hAnsi="Times New Roman" w:cs="Times New Roman"/>
          <w:color w:val="auto"/>
          <w:sz w:val="28"/>
          <w:szCs w:val="28"/>
        </w:rPr>
        <w:t>、血管正性重构、病变覆盖不完全或夹层撕裂等操作因素；（</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）支架自身因素：对支架药物涂层或多聚物过敏、支架引起血管局部炎症反应、支架断裂、血管</w:t>
      </w:r>
      <w:proofErr w:type="gramStart"/>
      <w:r>
        <w:rPr>
          <w:rFonts w:ascii="Times New Roman" w:eastAsia="宋体" w:hAnsi="Times New Roman" w:cs="Times New Roman"/>
          <w:color w:val="auto"/>
          <w:sz w:val="28"/>
          <w:szCs w:val="28"/>
        </w:rPr>
        <w:t>内皮化</w:t>
      </w:r>
      <w:proofErr w:type="gramEnd"/>
      <w:r>
        <w:rPr>
          <w:rFonts w:ascii="Times New Roman" w:eastAsia="宋体" w:hAnsi="Times New Roman" w:cs="Times New Roman"/>
          <w:color w:val="auto"/>
          <w:sz w:val="28"/>
          <w:szCs w:val="28"/>
        </w:rPr>
        <w:t>延迟等。</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支架内血栓的预防措施包括：（</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）术前</w:t>
      </w:r>
      <w:proofErr w:type="gramStart"/>
      <w:r>
        <w:rPr>
          <w:rFonts w:ascii="Times New Roman" w:eastAsia="宋体" w:hAnsi="Times New Roman" w:cs="Times New Roman"/>
          <w:color w:val="auto"/>
          <w:sz w:val="28"/>
          <w:szCs w:val="28"/>
        </w:rPr>
        <w:t>及围术期充分</w:t>
      </w:r>
      <w:proofErr w:type="gramEnd"/>
      <w:r>
        <w:rPr>
          <w:rFonts w:ascii="Times New Roman" w:eastAsia="宋体" w:hAnsi="Times New Roman" w:cs="Times New Roman"/>
          <w:color w:val="auto"/>
          <w:sz w:val="28"/>
          <w:szCs w:val="28"/>
        </w:rPr>
        <w:t xml:space="preserve">DAPT </w:t>
      </w:r>
      <w:r>
        <w:rPr>
          <w:rFonts w:ascii="Times New Roman" w:eastAsia="宋体" w:hAnsi="Times New Roman" w:cs="Times New Roman"/>
          <w:color w:val="auto"/>
          <w:sz w:val="28"/>
          <w:szCs w:val="28"/>
        </w:rPr>
        <w:t>和抗凝治疗，对高危患者或病变，可加用</w:t>
      </w:r>
      <w:r>
        <w:rPr>
          <w:rFonts w:ascii="Times New Roman" w:eastAsia="宋体" w:hAnsi="Times New Roman" w:cs="Times New Roman"/>
          <w:color w:val="auto"/>
          <w:sz w:val="28"/>
          <w:szCs w:val="28"/>
        </w:rPr>
        <w:t>GPI</w:t>
      </w:r>
      <w:r>
        <w:rPr>
          <w:rFonts w:ascii="Times New Roman" w:eastAsia="宋体" w:hAnsi="Times New Roman" w:cs="Times New Roman"/>
          <w:color w:val="auto"/>
          <w:sz w:val="28"/>
          <w:szCs w:val="28"/>
        </w:rPr>
        <w:t>，但应充分权衡出血与获益风险。（</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）选择合适的介入治疗方案。应权衡利弊，合理选用球囊扩张术、</w:t>
      </w:r>
      <w:r>
        <w:rPr>
          <w:rFonts w:ascii="Times New Roman" w:eastAsia="宋体" w:hAnsi="Times New Roman" w:cs="Times New Roman"/>
          <w:color w:val="auto"/>
          <w:sz w:val="28"/>
          <w:szCs w:val="28"/>
        </w:rPr>
        <w:t xml:space="preserve">BMS </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 xml:space="preserve">DES </w:t>
      </w:r>
      <w:r>
        <w:rPr>
          <w:rFonts w:ascii="Times New Roman" w:eastAsia="宋体" w:hAnsi="Times New Roman" w:cs="Times New Roman"/>
          <w:color w:val="auto"/>
          <w:sz w:val="28"/>
          <w:szCs w:val="28"/>
        </w:rPr>
        <w:t>置入术；支架贴壁要尽可能良好，建议高压力释放支架（必要时选用后扩张球囊），尽量减少支架两端血管的损伤；对选择性患者，可选用</w:t>
      </w:r>
      <w:r>
        <w:rPr>
          <w:rFonts w:ascii="Times New Roman" w:eastAsia="宋体" w:hAnsi="Times New Roman" w:cs="Times New Roman"/>
          <w:color w:val="auto"/>
          <w:sz w:val="28"/>
          <w:szCs w:val="28"/>
        </w:rPr>
        <w:t xml:space="preserve">IVUS </w:t>
      </w:r>
      <w:r>
        <w:rPr>
          <w:rFonts w:ascii="Times New Roman" w:eastAsia="宋体" w:hAnsi="Times New Roman" w:cs="Times New Roman"/>
          <w:color w:val="auto"/>
          <w:sz w:val="28"/>
          <w:szCs w:val="28"/>
        </w:rPr>
        <w:t>指导。（</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）强调术后充分使用</w:t>
      </w:r>
      <w:r>
        <w:rPr>
          <w:rFonts w:ascii="Times New Roman" w:eastAsia="宋体" w:hAnsi="Times New Roman" w:cs="Times New Roman"/>
          <w:color w:val="auto"/>
          <w:sz w:val="28"/>
          <w:szCs w:val="28"/>
        </w:rPr>
        <w:t>DAPT</w:t>
      </w:r>
      <w:r>
        <w:rPr>
          <w:rFonts w:ascii="Times New Roman" w:eastAsia="宋体" w:hAnsi="Times New Roman" w:cs="Times New Roman"/>
          <w:color w:val="auto"/>
          <w:sz w:val="28"/>
          <w:szCs w:val="28"/>
        </w:rPr>
        <w:t>。</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一旦发生支架血栓，应立即行冠状动脉造影，建议行</w:t>
      </w:r>
      <w:r>
        <w:rPr>
          <w:rFonts w:ascii="Times New Roman" w:eastAsia="宋体" w:hAnsi="Times New Roman" w:cs="Times New Roman"/>
          <w:color w:val="auto"/>
          <w:sz w:val="28"/>
          <w:szCs w:val="28"/>
        </w:rPr>
        <w:t>IVUS</w:t>
      </w:r>
      <w:r>
        <w:rPr>
          <w:rFonts w:ascii="Times New Roman" w:eastAsia="宋体" w:hAnsi="Times New Roman" w:cs="Times New Roman"/>
          <w:color w:val="auto"/>
          <w:sz w:val="28"/>
          <w:szCs w:val="28"/>
        </w:rPr>
        <w:t>或</w:t>
      </w:r>
      <w:r>
        <w:rPr>
          <w:rFonts w:ascii="Times New Roman" w:eastAsia="宋体" w:hAnsi="Times New Roman" w:cs="Times New Roman"/>
          <w:color w:val="auto"/>
          <w:sz w:val="28"/>
          <w:szCs w:val="28"/>
        </w:rPr>
        <w:t>OCT</w:t>
      </w:r>
      <w:r>
        <w:rPr>
          <w:rFonts w:ascii="Times New Roman" w:eastAsia="宋体" w:hAnsi="Times New Roman" w:cs="Times New Roman"/>
          <w:color w:val="auto"/>
          <w:sz w:val="28"/>
          <w:szCs w:val="28"/>
        </w:rPr>
        <w:t>检查，明确支架失败原因，对血栓负荷大者，可采用血栓抽吸，可应用</w:t>
      </w:r>
      <w:r>
        <w:rPr>
          <w:rFonts w:ascii="Times New Roman" w:eastAsia="宋体" w:hAnsi="Times New Roman" w:cs="Times New Roman"/>
          <w:color w:val="auto"/>
          <w:sz w:val="28"/>
          <w:szCs w:val="28"/>
        </w:rPr>
        <w:t xml:space="preserve">GPI </w:t>
      </w:r>
      <w:r>
        <w:rPr>
          <w:rFonts w:ascii="Times New Roman" w:eastAsia="宋体" w:hAnsi="Times New Roman" w:cs="Times New Roman"/>
          <w:color w:val="auto"/>
          <w:sz w:val="28"/>
          <w:szCs w:val="28"/>
        </w:rPr>
        <w:lastRenderedPageBreak/>
        <w:t>持续静脉输注</w:t>
      </w:r>
      <w:r>
        <w:rPr>
          <w:rFonts w:ascii="Times New Roman" w:eastAsia="宋体" w:hAnsi="Times New Roman" w:cs="Times New Roman"/>
          <w:color w:val="auto"/>
          <w:sz w:val="28"/>
          <w:szCs w:val="28"/>
        </w:rPr>
        <w:t>48 h</w:t>
      </w:r>
      <w:r>
        <w:rPr>
          <w:rFonts w:ascii="Times New Roman" w:eastAsia="宋体" w:hAnsi="Times New Roman" w:cs="Times New Roman"/>
          <w:color w:val="auto"/>
          <w:sz w:val="28"/>
          <w:szCs w:val="28"/>
        </w:rPr>
        <w:t>。球囊扩张或重新置入支架仍是主要治疗方法，必要时可给予冠状动脉内溶栓治疗，应检测血小板功能、了解有无高残余血小板反应性，以便调整抗血小板治疗，对反复、难治性支架血栓形成者，必要时需外科手术治疗。</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支架脱载</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bookmarkStart w:id="113" w:name="_Toc134753833"/>
      <w:r>
        <w:rPr>
          <w:rFonts w:ascii="Times New Roman" w:eastAsia="宋体" w:hAnsi="Times New Roman" w:cs="Times New Roman"/>
          <w:color w:val="auto"/>
          <w:sz w:val="28"/>
          <w:szCs w:val="28"/>
        </w:rPr>
        <w:t>支架</w:t>
      </w:r>
      <w:proofErr w:type="gramStart"/>
      <w:r>
        <w:rPr>
          <w:rFonts w:ascii="Times New Roman" w:eastAsia="宋体" w:hAnsi="Times New Roman" w:cs="Times New Roman"/>
          <w:color w:val="auto"/>
          <w:sz w:val="28"/>
          <w:szCs w:val="28"/>
        </w:rPr>
        <w:t>脱载较为</w:t>
      </w:r>
      <w:proofErr w:type="gramEnd"/>
      <w:r>
        <w:rPr>
          <w:rFonts w:ascii="Times New Roman" w:eastAsia="宋体" w:hAnsi="Times New Roman" w:cs="Times New Roman"/>
          <w:color w:val="auto"/>
          <w:sz w:val="28"/>
          <w:szCs w:val="28"/>
        </w:rPr>
        <w:t>少见，多见于病变未经充分预扩张（或直接支架术）、近端血管扭曲（或已置入支架）、支架跨越狭窄或钙化病变阻力过大且推送支架过于用力时，或支架置入失败、回撤支架至指引导管内时，因支架与指引导管同轴性不佳、支架与球囊装载不牢，导致支架脱载。术前充分预判病变特点及预处理病变（如钙化病变采取旋磨术预处理等），是防止支架脱落的有效手段。发生支架脱落后，若</w:t>
      </w:r>
      <w:proofErr w:type="gramStart"/>
      <w:r>
        <w:rPr>
          <w:rFonts w:ascii="Times New Roman" w:eastAsia="宋体" w:hAnsi="Times New Roman" w:cs="Times New Roman"/>
          <w:color w:val="auto"/>
          <w:sz w:val="28"/>
          <w:szCs w:val="28"/>
        </w:rPr>
        <w:t>指引导丝</w:t>
      </w:r>
      <w:proofErr w:type="gramEnd"/>
      <w:r>
        <w:rPr>
          <w:rFonts w:ascii="Times New Roman" w:eastAsia="宋体" w:hAnsi="Times New Roman" w:cs="Times New Roman"/>
          <w:color w:val="auto"/>
          <w:sz w:val="28"/>
          <w:szCs w:val="28"/>
        </w:rPr>
        <w:t>仍在支架腔内，可经导丝送入直径</w:t>
      </w:r>
      <w:r>
        <w:rPr>
          <w:rFonts w:ascii="Times New Roman" w:eastAsia="宋体" w:hAnsi="Times New Roman" w:cs="Times New Roman"/>
          <w:color w:val="auto"/>
          <w:sz w:val="28"/>
          <w:szCs w:val="28"/>
        </w:rPr>
        <w:t>≤1.5mm</w:t>
      </w:r>
      <w:r>
        <w:rPr>
          <w:rFonts w:ascii="Times New Roman" w:eastAsia="宋体" w:hAnsi="Times New Roman" w:cs="Times New Roman"/>
          <w:color w:val="auto"/>
          <w:sz w:val="28"/>
          <w:szCs w:val="28"/>
        </w:rPr>
        <w:t>小球囊至支架内偏远端，轻微扩张后，将支架缓慢撤入指引导管。若因支架近端变形无法撤入指引导管，可先更换更大外径指引导管重新尝试；也可经另一血管路径，送入抓捕器，将支架捕获后取出。如上述方法无效，可沿</w:t>
      </w:r>
      <w:proofErr w:type="gramStart"/>
      <w:r>
        <w:rPr>
          <w:rFonts w:ascii="Times New Roman" w:eastAsia="宋体" w:hAnsi="Times New Roman" w:cs="Times New Roman"/>
          <w:color w:val="auto"/>
          <w:sz w:val="28"/>
          <w:szCs w:val="28"/>
        </w:rPr>
        <w:t>指引导丝</w:t>
      </w:r>
      <w:proofErr w:type="gramEnd"/>
      <w:r>
        <w:rPr>
          <w:rFonts w:ascii="Times New Roman" w:eastAsia="宋体" w:hAnsi="Times New Roman" w:cs="Times New Roman"/>
          <w:color w:val="auto"/>
          <w:sz w:val="28"/>
          <w:szCs w:val="28"/>
        </w:rPr>
        <w:t>送入与血管直径</w:t>
      </w:r>
      <w:r>
        <w:rPr>
          <w:rFonts w:ascii="Times New Roman" w:eastAsia="宋体" w:hAnsi="Times New Roman" w:cs="Times New Roman"/>
          <w:color w:val="auto"/>
          <w:sz w:val="28"/>
          <w:szCs w:val="28"/>
        </w:rPr>
        <w:t>1</w:t>
      </w:r>
      <w:r>
        <w:rPr>
          <w:rFonts w:ascii="宋体" w:eastAsia="宋体" w:hint="eastAsia"/>
          <w:color w:val="auto"/>
          <w:sz w:val="28"/>
          <w:szCs w:val="28"/>
        </w:rPr>
        <w:t>∶</w:t>
      </w:r>
      <w:r>
        <w:rPr>
          <w:rFonts w:ascii="Times New Roman" w:eastAsia="宋体" w:hAnsi="Times New Roman" w:cs="Times New Roman"/>
          <w:color w:val="auto"/>
          <w:sz w:val="28"/>
          <w:szCs w:val="28"/>
        </w:rPr>
        <w:t xml:space="preserve">1 </w:t>
      </w:r>
      <w:r>
        <w:rPr>
          <w:rFonts w:ascii="Times New Roman" w:eastAsia="宋体" w:hAnsi="Times New Roman" w:cs="Times New Roman"/>
          <w:color w:val="auto"/>
          <w:sz w:val="28"/>
          <w:szCs w:val="28"/>
        </w:rPr>
        <w:t>球囊将支架原位释放，或置入另一支架将其在原位贴壁。必要时行外科手术，取出脱载支架。</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出血</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proofErr w:type="gramStart"/>
      <w:r>
        <w:rPr>
          <w:rFonts w:ascii="Times New Roman" w:eastAsia="宋体" w:hAnsi="Times New Roman" w:cs="Times New Roman"/>
          <w:color w:val="auto"/>
          <w:sz w:val="28"/>
          <w:szCs w:val="28"/>
        </w:rPr>
        <w:t>围术期出血</w:t>
      </w:r>
      <w:proofErr w:type="gramEnd"/>
      <w:r>
        <w:rPr>
          <w:rFonts w:ascii="Times New Roman" w:eastAsia="宋体" w:hAnsi="Times New Roman" w:cs="Times New Roman"/>
          <w:color w:val="auto"/>
          <w:sz w:val="28"/>
          <w:szCs w:val="28"/>
        </w:rPr>
        <w:t>是引发死亡及其他严重不良事件的主要危险因素。大出血（包括脑出血）可能直接导致死亡，出血后停用抗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药物也可能导致血栓事件乃至死亡。</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lastRenderedPageBreak/>
        <w:t>出血的预防措施包括：所有患者</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术前均应评估出血风险（</w:t>
      </w:r>
      <w:r>
        <w:rPr>
          <w:rFonts w:ascii="Times New Roman" w:eastAsia="宋体" w:hAnsi="Times New Roman" w:cs="Times New Roman"/>
          <w:color w:val="auto"/>
          <w:sz w:val="28"/>
          <w:szCs w:val="28"/>
        </w:rPr>
        <w:t>Ⅰ</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C</w:t>
      </w:r>
      <w:r>
        <w:rPr>
          <w:rFonts w:ascii="Times New Roman" w:eastAsia="宋体" w:hAnsi="Times New Roman" w:cs="Times New Roman"/>
          <w:color w:val="auto"/>
          <w:sz w:val="28"/>
          <w:szCs w:val="28"/>
        </w:rPr>
        <w:t>），建议用</w:t>
      </w:r>
      <w:r>
        <w:rPr>
          <w:rFonts w:ascii="Times New Roman" w:eastAsia="宋体" w:hAnsi="Times New Roman" w:cs="Times New Roman"/>
          <w:color w:val="auto"/>
          <w:sz w:val="28"/>
          <w:szCs w:val="28"/>
        </w:rPr>
        <w:t xml:space="preserve">CRUSADE </w:t>
      </w:r>
      <w:r>
        <w:rPr>
          <w:rFonts w:ascii="Times New Roman" w:eastAsia="宋体" w:hAnsi="Times New Roman" w:cs="Times New Roman"/>
          <w:color w:val="auto"/>
          <w:sz w:val="28"/>
          <w:szCs w:val="28"/>
        </w:rPr>
        <w:t>评分评估出血风险；建议采用桡动脉路径（</w:t>
      </w:r>
      <w:r>
        <w:rPr>
          <w:rFonts w:ascii="Times New Roman" w:eastAsia="宋体" w:hAnsi="Times New Roman" w:cs="Times New Roman"/>
          <w:color w:val="auto"/>
          <w:sz w:val="28"/>
          <w:szCs w:val="28"/>
        </w:rPr>
        <w:t>Ⅰ</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A</w:t>
      </w:r>
      <w:r>
        <w:rPr>
          <w:rFonts w:ascii="Times New Roman" w:eastAsia="宋体" w:hAnsi="Times New Roman" w:cs="Times New Roman"/>
          <w:color w:val="auto"/>
          <w:sz w:val="28"/>
          <w:szCs w:val="28"/>
        </w:rPr>
        <w:t>）；对出血风险高的患者（如肾功能不全、高龄、有出血史及低体重等），</w:t>
      </w:r>
      <w:proofErr w:type="gramStart"/>
      <w:r>
        <w:rPr>
          <w:rFonts w:ascii="Times New Roman" w:eastAsia="宋体" w:hAnsi="Times New Roman" w:cs="Times New Roman"/>
          <w:color w:val="auto"/>
          <w:sz w:val="28"/>
          <w:szCs w:val="28"/>
        </w:rPr>
        <w:t>围术期优先</w:t>
      </w:r>
      <w:proofErr w:type="gramEnd"/>
      <w:r>
        <w:rPr>
          <w:rFonts w:ascii="Times New Roman" w:eastAsia="宋体" w:hAnsi="Times New Roman" w:cs="Times New Roman"/>
          <w:color w:val="auto"/>
          <w:sz w:val="28"/>
          <w:szCs w:val="28"/>
        </w:rPr>
        <w:t>选择出血风险较小的抗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药物，如</w:t>
      </w:r>
      <w:proofErr w:type="gramStart"/>
      <w:r>
        <w:rPr>
          <w:rFonts w:ascii="Times New Roman" w:eastAsia="宋体" w:hAnsi="Times New Roman" w:cs="Times New Roman"/>
          <w:color w:val="auto"/>
          <w:sz w:val="28"/>
          <w:szCs w:val="28"/>
        </w:rPr>
        <w:t>比伐芦定</w:t>
      </w:r>
      <w:proofErr w:type="gramEnd"/>
      <w:r>
        <w:rPr>
          <w:rFonts w:ascii="Times New Roman" w:eastAsia="宋体" w:hAnsi="Times New Roman" w:cs="Times New Roman"/>
          <w:color w:val="auto"/>
          <w:sz w:val="28"/>
          <w:szCs w:val="28"/>
        </w:rPr>
        <w:t>、</w:t>
      </w:r>
      <w:proofErr w:type="gramStart"/>
      <w:r>
        <w:rPr>
          <w:rFonts w:ascii="Times New Roman" w:eastAsia="宋体" w:hAnsi="Times New Roman" w:cs="Times New Roman"/>
          <w:color w:val="auto"/>
          <w:sz w:val="28"/>
          <w:szCs w:val="28"/>
        </w:rPr>
        <w:t>磺</w:t>
      </w:r>
      <w:proofErr w:type="gramEnd"/>
      <w:r>
        <w:rPr>
          <w:rFonts w:ascii="Times New Roman" w:eastAsia="宋体" w:hAnsi="Times New Roman" w:cs="Times New Roman"/>
          <w:color w:val="auto"/>
          <w:sz w:val="28"/>
          <w:szCs w:val="28"/>
        </w:rPr>
        <w:t>达肝</w:t>
      </w:r>
      <w:proofErr w:type="gramStart"/>
      <w:r>
        <w:rPr>
          <w:rFonts w:ascii="Times New Roman" w:eastAsia="宋体" w:hAnsi="Times New Roman" w:cs="Times New Roman"/>
          <w:color w:val="auto"/>
          <w:sz w:val="28"/>
          <w:szCs w:val="28"/>
        </w:rPr>
        <w:t>癸</w:t>
      </w:r>
      <w:proofErr w:type="gramEnd"/>
      <w:r>
        <w:rPr>
          <w:rFonts w:ascii="Times New Roman" w:eastAsia="宋体" w:hAnsi="Times New Roman" w:cs="Times New Roman"/>
          <w:color w:val="auto"/>
          <w:sz w:val="28"/>
          <w:szCs w:val="28"/>
        </w:rPr>
        <w:t>钠等；</w:t>
      </w:r>
      <w:r>
        <w:rPr>
          <w:rFonts w:ascii="Times New Roman" w:eastAsia="宋体" w:hAnsi="Times New Roman" w:cs="Times New Roman"/>
          <w:color w:val="auto"/>
          <w:sz w:val="28"/>
          <w:szCs w:val="28"/>
        </w:rPr>
        <w:t>PCI</w:t>
      </w:r>
      <w:r>
        <w:rPr>
          <w:rFonts w:ascii="Times New Roman" w:eastAsia="宋体" w:hAnsi="Times New Roman" w:cs="Times New Roman"/>
          <w:color w:val="auto"/>
          <w:sz w:val="28"/>
          <w:szCs w:val="28"/>
        </w:rPr>
        <w:t>术中根据体重调整抗凝药物剂量；监测</w:t>
      </w:r>
      <w:r>
        <w:rPr>
          <w:rFonts w:ascii="Times New Roman" w:eastAsia="宋体" w:hAnsi="Times New Roman" w:cs="Times New Roman"/>
          <w:color w:val="auto"/>
          <w:sz w:val="28"/>
          <w:szCs w:val="28"/>
        </w:rPr>
        <w:t>ACT</w:t>
      </w:r>
      <w:r>
        <w:rPr>
          <w:rFonts w:ascii="Times New Roman" w:eastAsia="宋体" w:hAnsi="Times New Roman" w:cs="Times New Roman"/>
          <w:color w:val="auto"/>
          <w:sz w:val="28"/>
          <w:szCs w:val="28"/>
        </w:rPr>
        <w:t>，以避免过度抗凝。</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出血后是否停用或调整抗血小板和抗凝药物，需权衡出血和再发缺血事件风险进行个体化评价。出血后通常首先采用非药物一般止血措施，如机械压迫止血；记录末次抗凝药或溶栓药的用药时间及剂量、是否存在肝肾功能损害等；估算药物半衰期；评估出血来源；</w:t>
      </w:r>
      <w:proofErr w:type="gramStart"/>
      <w:r>
        <w:rPr>
          <w:rFonts w:ascii="Times New Roman" w:eastAsia="宋体" w:hAnsi="Times New Roman" w:cs="Times New Roman"/>
          <w:color w:val="auto"/>
          <w:sz w:val="28"/>
          <w:szCs w:val="28"/>
        </w:rPr>
        <w:t>检测全</w:t>
      </w:r>
      <w:proofErr w:type="gramEnd"/>
      <w:r>
        <w:rPr>
          <w:rFonts w:ascii="Times New Roman" w:eastAsia="宋体" w:hAnsi="Times New Roman" w:cs="Times New Roman"/>
          <w:color w:val="auto"/>
          <w:sz w:val="28"/>
          <w:szCs w:val="28"/>
        </w:rPr>
        <w:t>血细胞计数、凝血指标、纤维蛋白原浓度和</w:t>
      </w:r>
      <w:proofErr w:type="gramStart"/>
      <w:r>
        <w:rPr>
          <w:rFonts w:ascii="Times New Roman" w:eastAsia="宋体" w:hAnsi="Times New Roman" w:cs="Times New Roman"/>
          <w:color w:val="auto"/>
          <w:sz w:val="28"/>
          <w:szCs w:val="28"/>
        </w:rPr>
        <w:t>肌酐</w:t>
      </w:r>
      <w:proofErr w:type="gramEnd"/>
      <w:r>
        <w:rPr>
          <w:rFonts w:ascii="Times New Roman" w:eastAsia="宋体" w:hAnsi="Times New Roman" w:cs="Times New Roman"/>
          <w:color w:val="auto"/>
          <w:sz w:val="28"/>
          <w:szCs w:val="28"/>
        </w:rPr>
        <w:t>浓度；条件允许时行药物的抗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活性检测；对血液动力学不稳定者静脉补液和输注红细胞；必要时使用内镜、介入或外科方法局部止血；若出血风险大于缺血风险，尽快停用抗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药物。若上述方法效果不满意，可进一步采用药物治疗的方法：应用鱼精蛋白中和肝素，以硫酸鱼精蛋白</w:t>
      </w:r>
      <w:r>
        <w:rPr>
          <w:rFonts w:ascii="Times New Roman" w:eastAsia="宋体" w:hAnsi="Times New Roman" w:cs="Times New Roman"/>
          <w:color w:val="auto"/>
          <w:sz w:val="28"/>
          <w:szCs w:val="28"/>
        </w:rPr>
        <w:t>1 mg/80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100 U </w:t>
      </w:r>
      <w:r>
        <w:rPr>
          <w:rFonts w:ascii="Times New Roman" w:eastAsia="宋体" w:hAnsi="Times New Roman" w:cs="Times New Roman"/>
          <w:color w:val="auto"/>
          <w:sz w:val="28"/>
          <w:szCs w:val="28"/>
        </w:rPr>
        <w:t>肝素剂量注射，总剂量一般不超过</w:t>
      </w:r>
      <w:r>
        <w:rPr>
          <w:rFonts w:ascii="Times New Roman" w:eastAsia="宋体" w:hAnsi="Times New Roman" w:cs="Times New Roman"/>
          <w:color w:val="auto"/>
          <w:sz w:val="28"/>
          <w:szCs w:val="28"/>
        </w:rPr>
        <w:t>50 mg</w:t>
      </w:r>
      <w:r>
        <w:rPr>
          <w:rFonts w:ascii="Times New Roman" w:eastAsia="宋体" w:hAnsi="Times New Roman" w:cs="Times New Roman"/>
          <w:color w:val="auto"/>
          <w:sz w:val="28"/>
          <w:szCs w:val="28"/>
        </w:rPr>
        <w:t>；鱼精蛋白可中和</w:t>
      </w:r>
      <w:r>
        <w:rPr>
          <w:rFonts w:ascii="Times New Roman" w:eastAsia="宋体" w:hAnsi="Times New Roman" w:cs="Times New Roman"/>
          <w:color w:val="auto"/>
          <w:sz w:val="28"/>
          <w:szCs w:val="28"/>
        </w:rPr>
        <w:t>60%</w:t>
      </w:r>
      <w:r>
        <w:rPr>
          <w:rFonts w:ascii="Times New Roman" w:eastAsia="宋体" w:hAnsi="Times New Roman" w:cs="Times New Roman"/>
          <w:color w:val="auto"/>
          <w:sz w:val="28"/>
          <w:szCs w:val="28"/>
        </w:rPr>
        <w:t>的低分子量肝素（</w:t>
      </w:r>
      <w:r>
        <w:rPr>
          <w:rFonts w:ascii="Times New Roman" w:eastAsia="宋体" w:hAnsi="Times New Roman" w:cs="Times New Roman"/>
          <w:color w:val="auto"/>
          <w:sz w:val="28"/>
          <w:szCs w:val="28"/>
        </w:rPr>
        <w:t>lowmolecular-weight heparin</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LMWH</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LMWH </w:t>
      </w:r>
      <w:r>
        <w:rPr>
          <w:rFonts w:ascii="Times New Roman" w:eastAsia="宋体" w:hAnsi="Times New Roman" w:cs="Times New Roman"/>
          <w:color w:val="auto"/>
          <w:sz w:val="28"/>
          <w:szCs w:val="28"/>
        </w:rPr>
        <w:t>用药不足</w:t>
      </w:r>
      <w:r>
        <w:rPr>
          <w:rFonts w:ascii="Times New Roman" w:eastAsia="宋体" w:hAnsi="Times New Roman" w:cs="Times New Roman"/>
          <w:color w:val="auto"/>
          <w:sz w:val="28"/>
          <w:szCs w:val="28"/>
        </w:rPr>
        <w:t>8 h</w:t>
      </w:r>
      <w:r>
        <w:rPr>
          <w:rFonts w:ascii="Times New Roman" w:eastAsia="宋体" w:hAnsi="Times New Roman" w:cs="Times New Roman"/>
          <w:color w:val="auto"/>
          <w:sz w:val="28"/>
          <w:szCs w:val="28"/>
        </w:rPr>
        <w:t>者，可以硫酸鱼精蛋白</w:t>
      </w:r>
      <w:r>
        <w:rPr>
          <w:rFonts w:ascii="Times New Roman" w:eastAsia="宋体" w:hAnsi="Times New Roman" w:cs="Times New Roman"/>
          <w:color w:val="auto"/>
          <w:sz w:val="28"/>
          <w:szCs w:val="28"/>
        </w:rPr>
        <w:t xml:space="preserve">1 mg/100U </w:t>
      </w:r>
      <w:r>
        <w:rPr>
          <w:rFonts w:ascii="Times New Roman" w:eastAsia="宋体" w:hAnsi="Times New Roman" w:cs="Times New Roman"/>
          <w:color w:val="auto"/>
          <w:sz w:val="28"/>
          <w:szCs w:val="28"/>
        </w:rPr>
        <w:t>抗</w:t>
      </w:r>
      <w:r>
        <w:rPr>
          <w:rFonts w:ascii="Times New Roman" w:eastAsia="宋体" w:hAnsi="Times New Roman" w:cs="Times New Roman"/>
          <w:color w:val="auto"/>
          <w:sz w:val="28"/>
          <w:szCs w:val="28"/>
        </w:rPr>
        <w:t xml:space="preserve">Xa </w:t>
      </w:r>
      <w:r>
        <w:rPr>
          <w:rFonts w:ascii="Times New Roman" w:eastAsia="宋体" w:hAnsi="Times New Roman" w:cs="Times New Roman"/>
          <w:color w:val="auto"/>
          <w:sz w:val="28"/>
          <w:szCs w:val="28"/>
        </w:rPr>
        <w:t>活性剂量注射，无效时可追加</w:t>
      </w:r>
      <w:r>
        <w:rPr>
          <w:rFonts w:ascii="Times New Roman" w:eastAsia="宋体" w:hAnsi="Times New Roman" w:cs="Times New Roman"/>
          <w:color w:val="auto"/>
          <w:sz w:val="28"/>
          <w:szCs w:val="28"/>
        </w:rPr>
        <w:t xml:space="preserve">0.5 mg/100 U </w:t>
      </w:r>
      <w:r>
        <w:rPr>
          <w:rFonts w:ascii="Times New Roman" w:eastAsia="宋体" w:hAnsi="Times New Roman" w:cs="Times New Roman"/>
          <w:color w:val="auto"/>
          <w:sz w:val="28"/>
          <w:szCs w:val="28"/>
        </w:rPr>
        <w:t>抗</w:t>
      </w:r>
      <w:r>
        <w:rPr>
          <w:rFonts w:ascii="Times New Roman" w:eastAsia="宋体" w:hAnsi="Times New Roman" w:cs="Times New Roman"/>
          <w:color w:val="auto"/>
          <w:sz w:val="28"/>
          <w:szCs w:val="28"/>
        </w:rPr>
        <w:t xml:space="preserve">Xa </w:t>
      </w:r>
      <w:r>
        <w:rPr>
          <w:rFonts w:ascii="Times New Roman" w:eastAsia="宋体" w:hAnsi="Times New Roman" w:cs="Times New Roman"/>
          <w:color w:val="auto"/>
          <w:sz w:val="28"/>
          <w:szCs w:val="28"/>
        </w:rPr>
        <w:t>活性。在停用阿司匹林或</w:t>
      </w:r>
      <w:proofErr w:type="gramStart"/>
      <w:r>
        <w:rPr>
          <w:rFonts w:ascii="Times New Roman" w:eastAsia="宋体" w:hAnsi="Times New Roman" w:cs="Times New Roman"/>
          <w:color w:val="auto"/>
          <w:sz w:val="28"/>
          <w:szCs w:val="28"/>
        </w:rPr>
        <w:t>替格瑞洛</w:t>
      </w:r>
      <w:proofErr w:type="gramEnd"/>
      <w:r>
        <w:rPr>
          <w:rFonts w:ascii="Times New Roman" w:eastAsia="宋体" w:hAnsi="Times New Roman" w:cs="Times New Roman"/>
          <w:color w:val="auto"/>
          <w:sz w:val="28"/>
          <w:szCs w:val="28"/>
        </w:rPr>
        <w:t>3 d</w:t>
      </w:r>
      <w:r>
        <w:rPr>
          <w:rFonts w:ascii="Times New Roman" w:eastAsia="宋体" w:hAnsi="Times New Roman" w:cs="Times New Roman"/>
          <w:color w:val="auto"/>
          <w:sz w:val="28"/>
          <w:szCs w:val="28"/>
        </w:rPr>
        <w:t>、氯</w:t>
      </w:r>
      <w:proofErr w:type="gramStart"/>
      <w:r>
        <w:rPr>
          <w:rFonts w:ascii="Times New Roman" w:eastAsia="宋体" w:hAnsi="Times New Roman" w:cs="Times New Roman"/>
          <w:color w:val="auto"/>
          <w:sz w:val="28"/>
          <w:szCs w:val="28"/>
        </w:rPr>
        <w:t>吡</w:t>
      </w:r>
      <w:proofErr w:type="gramEnd"/>
      <w:r>
        <w:rPr>
          <w:rFonts w:ascii="Times New Roman" w:eastAsia="宋体" w:hAnsi="Times New Roman" w:cs="Times New Roman"/>
          <w:color w:val="auto"/>
          <w:sz w:val="28"/>
          <w:szCs w:val="28"/>
        </w:rPr>
        <w:t>格雷</w:t>
      </w:r>
      <w:r>
        <w:rPr>
          <w:rFonts w:ascii="Times New Roman" w:eastAsia="宋体" w:hAnsi="Times New Roman" w:cs="Times New Roman"/>
          <w:color w:val="auto"/>
          <w:sz w:val="28"/>
          <w:szCs w:val="28"/>
        </w:rPr>
        <w:t xml:space="preserve">5 d </w:t>
      </w:r>
      <w:r>
        <w:rPr>
          <w:rFonts w:ascii="Times New Roman" w:eastAsia="宋体" w:hAnsi="Times New Roman" w:cs="Times New Roman"/>
          <w:color w:val="auto"/>
          <w:sz w:val="28"/>
          <w:szCs w:val="28"/>
        </w:rPr>
        <w:t>后，应再次权衡出血和再发缺血事件的风险，适时恢复适度的抗</w:t>
      </w:r>
      <w:proofErr w:type="gramStart"/>
      <w:r>
        <w:rPr>
          <w:rFonts w:ascii="Times New Roman" w:eastAsia="宋体" w:hAnsi="Times New Roman" w:cs="Times New Roman"/>
          <w:color w:val="auto"/>
          <w:sz w:val="28"/>
          <w:szCs w:val="28"/>
        </w:rPr>
        <w:t>栓</w:t>
      </w:r>
      <w:proofErr w:type="gramEnd"/>
      <w:r>
        <w:rPr>
          <w:rFonts w:ascii="Times New Roman" w:eastAsia="宋体" w:hAnsi="Times New Roman" w:cs="Times New Roman"/>
          <w:color w:val="auto"/>
          <w:sz w:val="28"/>
          <w:szCs w:val="28"/>
        </w:rPr>
        <w:t>治疗。</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血管并发症</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血管并发症主要与穿刺点相关，其危险因素有女性、年龄</w:t>
      </w:r>
      <w:r>
        <w:rPr>
          <w:rFonts w:ascii="Times New Roman" w:eastAsia="宋体" w:hAnsi="Times New Roman" w:cs="Times New Roman"/>
          <w:color w:val="auto"/>
          <w:sz w:val="28"/>
          <w:szCs w:val="28"/>
        </w:rPr>
        <w:t xml:space="preserve">≥70 </w:t>
      </w:r>
      <w:r>
        <w:rPr>
          <w:rFonts w:ascii="Times New Roman" w:eastAsia="宋体" w:hAnsi="Times New Roman" w:cs="Times New Roman"/>
          <w:color w:val="auto"/>
          <w:sz w:val="28"/>
          <w:szCs w:val="28"/>
        </w:rPr>
        <w:t>岁、体</w:t>
      </w:r>
      <w:r>
        <w:rPr>
          <w:rFonts w:ascii="Times New Roman" w:eastAsia="宋体" w:hAnsi="Times New Roman" w:cs="Times New Roman"/>
          <w:color w:val="auto"/>
          <w:sz w:val="28"/>
          <w:szCs w:val="28"/>
        </w:rPr>
        <w:lastRenderedPageBreak/>
        <w:t>表面积</w:t>
      </w:r>
      <w:r>
        <w:rPr>
          <w:rFonts w:ascii="Times New Roman" w:eastAsia="宋体" w:hAnsi="Times New Roman" w:cs="Times New Roman"/>
          <w:color w:val="auto"/>
          <w:sz w:val="28"/>
          <w:szCs w:val="28"/>
        </w:rPr>
        <w:t>&lt;1.6 m2</w:t>
      </w:r>
      <w:r>
        <w:rPr>
          <w:rFonts w:ascii="Times New Roman" w:eastAsia="宋体" w:hAnsi="Times New Roman" w:cs="Times New Roman"/>
          <w:color w:val="auto"/>
          <w:sz w:val="28"/>
          <w:szCs w:val="28"/>
        </w:rPr>
        <w:t>、急诊介入治疗、外周血管疾病和</w:t>
      </w:r>
      <w:proofErr w:type="gramStart"/>
      <w:r>
        <w:rPr>
          <w:rFonts w:ascii="Times New Roman" w:eastAsia="宋体" w:hAnsi="Times New Roman" w:cs="Times New Roman"/>
          <w:color w:val="auto"/>
          <w:sz w:val="28"/>
          <w:szCs w:val="28"/>
        </w:rPr>
        <w:t>围术期应用</w:t>
      </w:r>
      <w:proofErr w:type="gramEnd"/>
      <w:r>
        <w:rPr>
          <w:rFonts w:ascii="Times New Roman" w:eastAsia="宋体" w:hAnsi="Times New Roman" w:cs="Times New Roman"/>
          <w:color w:val="auto"/>
          <w:sz w:val="28"/>
          <w:szCs w:val="28"/>
        </w:rPr>
        <w:t>GPI</w:t>
      </w:r>
      <w:r>
        <w:rPr>
          <w:rFonts w:ascii="Times New Roman" w:eastAsia="宋体" w:hAnsi="Times New Roman" w:cs="Times New Roman"/>
          <w:color w:val="auto"/>
          <w:sz w:val="28"/>
          <w:szCs w:val="28"/>
        </w:rPr>
        <w:t>。</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股动脉穿刺主要并发症及其防治方法如下：（</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）穿刺点及腹膜后血肿。少量局部出血或小血肿且无症状时，可不予处理。血肿较大、出血过多且血压下降时，应充分加压止血，并适当补液或输血。若</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后短时间内发生低血压（伴或不伴腹痛、局部血肿形成），应怀疑腹膜后出血，必要时行超声或</w:t>
      </w:r>
      <w:r>
        <w:rPr>
          <w:rFonts w:ascii="Times New Roman" w:eastAsia="宋体" w:hAnsi="Times New Roman" w:cs="Times New Roman"/>
          <w:color w:val="auto"/>
          <w:sz w:val="28"/>
          <w:szCs w:val="28"/>
        </w:rPr>
        <w:t xml:space="preserve">CT </w:t>
      </w:r>
      <w:r>
        <w:rPr>
          <w:rFonts w:ascii="Times New Roman" w:eastAsia="宋体" w:hAnsi="Times New Roman" w:cs="Times New Roman"/>
          <w:color w:val="auto"/>
          <w:sz w:val="28"/>
          <w:szCs w:val="28"/>
        </w:rPr>
        <w:t>检查，并及时补充血容量。（</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）假性动脉瘤。多普勒超声可明确诊断，局部加压包扎，减少下肢活动，多可闭合。对不能压迫治愈的较大假性动脉瘤，可在超声指导下向瘤体内注射小剂量凝血酶治疗。少数需外科手术治疗。（</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）动静脉瘘。少部分可自行闭合，也可作局部压迫，但大的动静脉瘘常需外科修补术。（</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）动脉夹层和（或）闭塞。可</w:t>
      </w:r>
      <w:proofErr w:type="gramStart"/>
      <w:r>
        <w:rPr>
          <w:rFonts w:ascii="Times New Roman" w:eastAsia="宋体" w:hAnsi="Times New Roman" w:cs="Times New Roman"/>
          <w:color w:val="auto"/>
          <w:sz w:val="28"/>
          <w:szCs w:val="28"/>
        </w:rPr>
        <w:t>由指引导丝</w:t>
      </w:r>
      <w:proofErr w:type="gramEnd"/>
      <w:r>
        <w:rPr>
          <w:rFonts w:ascii="Times New Roman" w:eastAsia="宋体" w:hAnsi="Times New Roman" w:cs="Times New Roman"/>
          <w:color w:val="auto"/>
          <w:sz w:val="28"/>
          <w:szCs w:val="28"/>
        </w:rPr>
        <w:t>或导管损伤血管内膜或斑块脱落引起。预防的方法包括低阻力和（或）透视下推送导丝、导管。</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桡动脉穿刺主要并发症及其防治方法如下。（</w:t>
      </w: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）桡动脉术后闭塞：发生率</w:t>
      </w:r>
      <w:r>
        <w:rPr>
          <w:rFonts w:ascii="Times New Roman" w:eastAsia="宋体" w:hAnsi="Times New Roman" w:cs="Times New Roman"/>
          <w:color w:val="auto"/>
          <w:sz w:val="28"/>
          <w:szCs w:val="28"/>
        </w:rPr>
        <w:t>&lt;5%</w:t>
      </w:r>
      <w:r>
        <w:rPr>
          <w:rFonts w:ascii="Times New Roman" w:eastAsia="宋体" w:hAnsi="Times New Roman" w:cs="Times New Roman"/>
          <w:color w:val="auto"/>
          <w:sz w:val="28"/>
          <w:szCs w:val="28"/>
        </w:rPr>
        <w:t>。术前常规行</w:t>
      </w:r>
      <w:r>
        <w:rPr>
          <w:rFonts w:ascii="Times New Roman" w:eastAsia="宋体" w:hAnsi="Times New Roman" w:cs="Times New Roman"/>
          <w:color w:val="auto"/>
          <w:sz w:val="28"/>
          <w:szCs w:val="28"/>
        </w:rPr>
        <w:t xml:space="preserve">Allen </w:t>
      </w:r>
      <w:r>
        <w:rPr>
          <w:rFonts w:ascii="Times New Roman" w:eastAsia="宋体" w:hAnsi="Times New Roman" w:cs="Times New Roman"/>
          <w:color w:val="auto"/>
          <w:sz w:val="28"/>
          <w:szCs w:val="28"/>
        </w:rPr>
        <w:t>试验检查</w:t>
      </w:r>
      <w:proofErr w:type="gramStart"/>
      <w:r>
        <w:rPr>
          <w:rFonts w:ascii="Times New Roman" w:eastAsia="宋体" w:hAnsi="Times New Roman" w:cs="Times New Roman"/>
          <w:color w:val="auto"/>
          <w:sz w:val="28"/>
          <w:szCs w:val="28"/>
        </w:rPr>
        <w:t>桡</w:t>
      </w:r>
      <w:proofErr w:type="gramEnd"/>
      <w:r>
        <w:rPr>
          <w:rFonts w:ascii="Times New Roman" w:eastAsia="宋体" w:hAnsi="Times New Roman" w:cs="Times New Roman"/>
          <w:color w:val="auto"/>
          <w:sz w:val="28"/>
          <w:szCs w:val="28"/>
        </w:rPr>
        <w:t>、尺动脉的交通情况，术中充分抗凝，术后及时减压，能有效预防桡动脉闭塞和</w:t>
      </w:r>
      <w:r>
        <w:rPr>
          <w:rFonts w:ascii="Times New Roman" w:eastAsia="宋体" w:hAnsi="Times New Roman" w:cs="Times New Roman"/>
          <w:color w:val="auto"/>
          <w:sz w:val="28"/>
          <w:szCs w:val="28"/>
        </w:rPr>
        <w:t xml:space="preserve">PCI </w:t>
      </w:r>
      <w:r>
        <w:rPr>
          <w:rFonts w:ascii="Times New Roman" w:eastAsia="宋体" w:hAnsi="Times New Roman" w:cs="Times New Roman"/>
          <w:color w:val="auto"/>
          <w:sz w:val="28"/>
          <w:szCs w:val="28"/>
        </w:rPr>
        <w:t>后手部缺血。（</w:t>
      </w: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）桡动脉痉挛：较常见，穿刺时麻醉不充分、器械粗硬、操作不规范或</w:t>
      </w:r>
      <w:proofErr w:type="gramStart"/>
      <w:r>
        <w:rPr>
          <w:rFonts w:ascii="Times New Roman" w:eastAsia="宋体" w:hAnsi="Times New Roman" w:cs="Times New Roman"/>
          <w:color w:val="auto"/>
          <w:sz w:val="28"/>
          <w:szCs w:val="28"/>
        </w:rPr>
        <w:t>指引导丝进入</w:t>
      </w:r>
      <w:proofErr w:type="gramEnd"/>
      <w:r>
        <w:rPr>
          <w:rFonts w:ascii="Times New Roman" w:eastAsia="宋体" w:hAnsi="Times New Roman" w:cs="Times New Roman"/>
          <w:color w:val="auto"/>
          <w:sz w:val="28"/>
          <w:szCs w:val="28"/>
        </w:rPr>
        <w:t>分支，均增加痉挛发生概率。桡动脉痉挛时，严禁强行拔出导管，应首先经动脉鞘内注射硝酸甘油</w:t>
      </w:r>
      <w:r>
        <w:rPr>
          <w:rFonts w:ascii="Times New Roman" w:eastAsia="宋体" w:hAnsi="Times New Roman" w:cs="Times New Roman"/>
          <w:color w:val="auto"/>
          <w:sz w:val="28"/>
          <w:szCs w:val="28"/>
        </w:rPr>
        <w:t>200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400 μg</w:t>
      </w:r>
      <w:r>
        <w:rPr>
          <w:rFonts w:ascii="Times New Roman" w:eastAsia="宋体" w:hAnsi="Times New Roman" w:cs="Times New Roman"/>
          <w:color w:val="auto"/>
          <w:sz w:val="28"/>
          <w:szCs w:val="28"/>
        </w:rPr>
        <w:t>、维拉帕米</w:t>
      </w:r>
      <w:r>
        <w:rPr>
          <w:rFonts w:ascii="Times New Roman" w:eastAsia="宋体" w:hAnsi="Times New Roman" w:cs="Times New Roman"/>
          <w:color w:val="auto"/>
          <w:sz w:val="28"/>
          <w:szCs w:val="28"/>
        </w:rPr>
        <w:t>200</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 xml:space="preserve">400 μg </w:t>
      </w:r>
      <w:r>
        <w:rPr>
          <w:rFonts w:ascii="Times New Roman" w:eastAsia="宋体" w:hAnsi="Times New Roman" w:cs="Times New Roman"/>
          <w:color w:val="auto"/>
          <w:sz w:val="28"/>
          <w:szCs w:val="28"/>
        </w:rPr>
        <w:t>或</w:t>
      </w:r>
      <w:proofErr w:type="gramStart"/>
      <w:r>
        <w:rPr>
          <w:rFonts w:ascii="Times New Roman" w:eastAsia="宋体" w:hAnsi="Times New Roman" w:cs="Times New Roman"/>
          <w:color w:val="auto"/>
          <w:sz w:val="28"/>
          <w:szCs w:val="28"/>
        </w:rPr>
        <w:t>地尔硫</w:t>
      </w:r>
      <w:proofErr w:type="gramEnd"/>
      <w:r>
        <w:rPr>
          <w:rFonts w:ascii="Times New Roman" w:eastAsia="宋体" w:hAnsi="Times New Roman" w:cs="Times New Roman"/>
          <w:color w:val="auto"/>
          <w:sz w:val="28"/>
          <w:szCs w:val="28"/>
        </w:rPr>
        <w:t>5 mg</w:t>
      </w:r>
      <w:r>
        <w:rPr>
          <w:rFonts w:ascii="Times New Roman" w:eastAsia="宋体" w:hAnsi="Times New Roman" w:cs="Times New Roman"/>
          <w:color w:val="auto"/>
          <w:sz w:val="28"/>
          <w:szCs w:val="28"/>
        </w:rPr>
        <w:t>（必要时反复给药），直至痉挛解除后再进行操作。（</w:t>
      </w: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）前臂血肿：可由亲水涂层导丝穿孔桡动脉小分支或不恰当应用桡动脉压迫器引起，预防方法为透视下推送导丝；如遇阻力，应做桡动脉造影。术后穿</w:t>
      </w:r>
      <w:r>
        <w:rPr>
          <w:rFonts w:ascii="Times New Roman" w:eastAsia="宋体" w:hAnsi="Times New Roman" w:cs="Times New Roman"/>
          <w:color w:val="auto"/>
          <w:sz w:val="28"/>
          <w:szCs w:val="28"/>
        </w:rPr>
        <w:lastRenderedPageBreak/>
        <w:t>刺局部压迫时应注意确压迫血管穿刺点。（</w:t>
      </w: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）筋膜间隙综合征：少见但后果严重。当前臂血肿快速进展引起骨筋膜室内压力增高至一定程度时，常会导致</w:t>
      </w:r>
      <w:proofErr w:type="gramStart"/>
      <w:r>
        <w:rPr>
          <w:rFonts w:ascii="Times New Roman" w:eastAsia="宋体" w:hAnsi="Times New Roman" w:cs="Times New Roman"/>
          <w:color w:val="auto"/>
          <w:sz w:val="28"/>
          <w:szCs w:val="28"/>
        </w:rPr>
        <w:t>桡</w:t>
      </w:r>
      <w:proofErr w:type="gramEnd"/>
      <w:r>
        <w:rPr>
          <w:rFonts w:ascii="Times New Roman" w:eastAsia="宋体" w:hAnsi="Times New Roman" w:cs="Times New Roman"/>
          <w:color w:val="auto"/>
          <w:sz w:val="28"/>
          <w:szCs w:val="28"/>
        </w:rPr>
        <w:t>、尺动脉及正中神经受压，进而引发手部缺血、坏死。因此一旦发生本征，应尽快外科手术治疗。（</w:t>
      </w:r>
      <w:r>
        <w:rPr>
          <w:rFonts w:ascii="Times New Roman" w:eastAsia="宋体" w:hAnsi="Times New Roman" w:cs="Times New Roman"/>
          <w:color w:val="auto"/>
          <w:sz w:val="28"/>
          <w:szCs w:val="28"/>
        </w:rPr>
        <w:t>5</w:t>
      </w:r>
      <w:r>
        <w:rPr>
          <w:rFonts w:ascii="Times New Roman" w:eastAsia="宋体" w:hAnsi="Times New Roman" w:cs="Times New Roman"/>
          <w:color w:val="auto"/>
          <w:sz w:val="28"/>
          <w:szCs w:val="28"/>
        </w:rPr>
        <w:t>）假性动脉瘤：发生率低于</w:t>
      </w:r>
      <w:r>
        <w:rPr>
          <w:rFonts w:ascii="Times New Roman" w:eastAsia="宋体" w:hAnsi="Times New Roman" w:cs="Times New Roman"/>
          <w:color w:val="auto"/>
          <w:sz w:val="28"/>
          <w:szCs w:val="28"/>
        </w:rPr>
        <w:t>0.01%</w:t>
      </w:r>
      <w:r>
        <w:rPr>
          <w:rFonts w:ascii="Times New Roman" w:eastAsia="宋体" w:hAnsi="Times New Roman" w:cs="Times New Roman"/>
          <w:color w:val="auto"/>
          <w:sz w:val="28"/>
          <w:szCs w:val="28"/>
        </w:rPr>
        <w:t>，若局部压迫不能奏效，可行外科手术治疗。</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4" w:name="_Toc28587"/>
      <w:r>
        <w:rPr>
          <w:rFonts w:ascii="Times New Roman" w:eastAsia="宋体" w:hAnsi="Times New Roman" w:cs="Times New Roman"/>
          <w:color w:val="auto"/>
          <w:sz w:val="28"/>
          <w:szCs w:val="28"/>
        </w:rPr>
        <w:t>（二）器械缺陷</w:t>
      </w:r>
      <w:bookmarkEnd w:id="113"/>
      <w:bookmarkEnd w:id="114"/>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器械缺陷，是</w:t>
      </w:r>
      <w:bookmarkStart w:id="115" w:name="_Hlk484361382"/>
      <w:r>
        <w:rPr>
          <w:rFonts w:ascii="Times New Roman" w:eastAsia="宋体" w:hAnsi="Times New Roman" w:cs="Times New Roman"/>
          <w:sz w:val="28"/>
          <w:szCs w:val="28"/>
        </w:rPr>
        <w:t>指临床试验过程中医疗器械在正常使用情况下存在可能危及人体健康和生命安全的不合理风险，如标签错误、质量问题、故障等</w:t>
      </w:r>
      <w:bookmarkEnd w:id="115"/>
      <w:r>
        <w:rPr>
          <w:rFonts w:ascii="Times New Roman" w:eastAsia="宋体" w:hAnsi="Times New Roman" w:cs="Times New Roman"/>
          <w:sz w:val="28"/>
          <w:szCs w:val="28"/>
        </w:rPr>
        <w:t>。</w:t>
      </w:r>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器械缺陷处理：发生器械缺陷后，研究者应填写完整的器械缺陷表格（记录器械批号、器械名称、缺陷性质、缺陷位置、备用器械编号等），并于</w:t>
      </w:r>
      <w:r>
        <w:rPr>
          <w:rFonts w:ascii="Times New Roman" w:eastAsia="宋体" w:hAnsi="Times New Roman" w:cs="Times New Roman"/>
          <w:sz w:val="28"/>
          <w:szCs w:val="28"/>
        </w:rPr>
        <w:t>5</w:t>
      </w:r>
      <w:r>
        <w:rPr>
          <w:rFonts w:ascii="Times New Roman" w:eastAsia="宋体" w:hAnsi="Times New Roman" w:cs="Times New Roman"/>
          <w:sz w:val="28"/>
          <w:szCs w:val="28"/>
        </w:rPr>
        <w:t>个工作日内报告给申办者。同时，还需将缺陷的器械于</w:t>
      </w:r>
      <w:r>
        <w:rPr>
          <w:rFonts w:ascii="Times New Roman" w:eastAsia="宋体" w:hAnsi="Times New Roman" w:cs="Times New Roman"/>
          <w:sz w:val="28"/>
          <w:szCs w:val="28"/>
        </w:rPr>
        <w:t>5</w:t>
      </w:r>
      <w:r>
        <w:rPr>
          <w:rFonts w:ascii="Times New Roman" w:eastAsia="宋体" w:hAnsi="Times New Roman" w:cs="Times New Roman"/>
          <w:sz w:val="28"/>
          <w:szCs w:val="28"/>
        </w:rPr>
        <w:t>个工作日内寄送给申办者。申办者应根据研究者填写的表格及收到的缺陷器械进行分析、完成报告并记录在案。</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6" w:name="_Toc18174"/>
      <w:bookmarkStart w:id="117" w:name="_Toc134753834"/>
      <w:r>
        <w:rPr>
          <w:rFonts w:ascii="Times New Roman" w:eastAsia="宋体" w:hAnsi="Times New Roman" w:cs="Times New Roman"/>
          <w:color w:val="auto"/>
          <w:sz w:val="28"/>
          <w:szCs w:val="28"/>
        </w:rPr>
        <w:t>（三）严重不良事件的定义</w:t>
      </w:r>
      <w:bookmarkEnd w:id="116"/>
      <w:bookmarkEnd w:id="117"/>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严重不良事件是指临床试验过程中发生的导致死亡或者健康状况严重恶化，包括致命的疾病或者伤害、身体结构或者身体功能的永久性缺陷、需住院治疗或者延长住院时间、需要进行医疗或者手术介入以避免对身体结构或者身体功能造成永久性缺陷；导致胎儿窘迫、胎儿死亡或者先天性异常、先天缺损等事件。</w:t>
      </w:r>
    </w:p>
    <w:p w:rsidR="00CA2089" w:rsidRDefault="00035E4E">
      <w:pPr>
        <w:pStyle w:val="21"/>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严重不良事件处理：</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1</w:t>
      </w:r>
      <w:r>
        <w:rPr>
          <w:rFonts w:ascii="Times New Roman" w:eastAsia="宋体" w:hAnsi="Times New Roman" w:cs="Times New Roman"/>
          <w:color w:val="auto"/>
          <w:sz w:val="28"/>
          <w:szCs w:val="28"/>
        </w:rPr>
        <w:t>）医疗器械临床试验中发生严重不良事件时，研究者应当立即对受试者采取适当的治疗措施；同时，研究者应当在获知严重不良事件后</w:t>
      </w:r>
      <w:r>
        <w:rPr>
          <w:rFonts w:ascii="Times New Roman" w:eastAsia="宋体" w:hAnsi="Times New Roman" w:cs="Times New Roman"/>
          <w:color w:val="auto"/>
          <w:sz w:val="28"/>
          <w:szCs w:val="28"/>
        </w:rPr>
        <w:t>24</w:t>
      </w:r>
      <w:r>
        <w:rPr>
          <w:rFonts w:ascii="Times New Roman" w:eastAsia="宋体" w:hAnsi="Times New Roman" w:cs="Times New Roman"/>
          <w:color w:val="auto"/>
          <w:sz w:val="28"/>
          <w:szCs w:val="28"/>
        </w:rPr>
        <w:lastRenderedPageBreak/>
        <w:t>小时内，向申办者、医疗器械临床试验机构管理部门、伦理委员会报告；并按照临床试验方案的规定随访严重不良事件，提交严重不良事件随访报告。</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2</w:t>
      </w:r>
      <w:r>
        <w:rPr>
          <w:rFonts w:ascii="Times New Roman" w:eastAsia="宋体" w:hAnsi="Times New Roman" w:cs="Times New Roman"/>
          <w:color w:val="auto"/>
          <w:sz w:val="28"/>
          <w:szCs w:val="28"/>
        </w:rPr>
        <w:t>）发现医疗器械临床试验的风险超过可能的受益</w:t>
      </w:r>
      <w:r>
        <w:rPr>
          <w:rFonts w:ascii="Times New Roman" w:eastAsia="宋体" w:hAnsi="Times New Roman" w:cs="Times New Roman"/>
          <w:color w:val="auto"/>
          <w:sz w:val="28"/>
          <w:szCs w:val="28"/>
        </w:rPr>
        <w:t>,</w:t>
      </w:r>
      <w:r>
        <w:rPr>
          <w:rFonts w:ascii="Times New Roman" w:eastAsia="宋体" w:hAnsi="Times New Roman" w:cs="Times New Roman"/>
          <w:color w:val="auto"/>
          <w:sz w:val="28"/>
          <w:szCs w:val="28"/>
        </w:rPr>
        <w:t>需要暂停或者终止临床试验时，主要研究者应当向申办者、医疗器械临床试验机构管理部门、伦理委员会报告，及时通知受试者，并保证受试者得到适当治疗和随访。</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3</w:t>
      </w:r>
      <w:r>
        <w:rPr>
          <w:rFonts w:ascii="Times New Roman" w:eastAsia="宋体" w:hAnsi="Times New Roman" w:cs="Times New Roman"/>
          <w:color w:val="auto"/>
          <w:sz w:val="28"/>
          <w:szCs w:val="28"/>
        </w:rPr>
        <w:t>）申办者应当在获知死亡或者危及生命的临床试验医疗器械相关严重不良事件后</w:t>
      </w:r>
      <w:r>
        <w:rPr>
          <w:rFonts w:ascii="Times New Roman" w:eastAsia="宋体" w:hAnsi="Times New Roman" w:cs="Times New Roman"/>
          <w:color w:val="auto"/>
          <w:sz w:val="28"/>
          <w:szCs w:val="28"/>
        </w:rPr>
        <w:t>7</w:t>
      </w:r>
      <w:r>
        <w:rPr>
          <w:rFonts w:ascii="Times New Roman" w:eastAsia="宋体" w:hAnsi="Times New Roman" w:cs="Times New Roman"/>
          <w:color w:val="auto"/>
          <w:sz w:val="28"/>
          <w:szCs w:val="28"/>
        </w:rPr>
        <w:t>日内、</w:t>
      </w:r>
      <w:proofErr w:type="gramStart"/>
      <w:r>
        <w:rPr>
          <w:rFonts w:ascii="Times New Roman" w:eastAsia="宋体" w:hAnsi="Times New Roman" w:cs="Times New Roman"/>
          <w:color w:val="auto"/>
          <w:sz w:val="28"/>
          <w:szCs w:val="28"/>
        </w:rPr>
        <w:t>获知非</w:t>
      </w:r>
      <w:proofErr w:type="gramEnd"/>
      <w:r>
        <w:rPr>
          <w:rFonts w:ascii="Times New Roman" w:eastAsia="宋体" w:hAnsi="Times New Roman" w:cs="Times New Roman"/>
          <w:color w:val="auto"/>
          <w:sz w:val="28"/>
          <w:szCs w:val="28"/>
        </w:rPr>
        <w:t>死亡或者非危及生命的试验医疗器械相关严重不良事件和其他严重安全性风险信息后</w:t>
      </w:r>
      <w:r>
        <w:rPr>
          <w:rFonts w:ascii="Times New Roman" w:eastAsia="宋体" w:hAnsi="Times New Roman" w:cs="Times New Roman"/>
          <w:color w:val="auto"/>
          <w:sz w:val="28"/>
          <w:szCs w:val="28"/>
        </w:rPr>
        <w:t>15</w:t>
      </w:r>
      <w:r>
        <w:rPr>
          <w:rFonts w:ascii="Times New Roman" w:eastAsia="宋体" w:hAnsi="Times New Roman" w:cs="Times New Roman"/>
          <w:color w:val="auto"/>
          <w:sz w:val="28"/>
          <w:szCs w:val="28"/>
        </w:rPr>
        <w:t>日内，向参与临床试验的其他医疗器械临床试验机构、伦理委员会以及主要研究者报告，向申办者所在地省、自治区、直辖市药品监督管理部门报告，向医疗器械临床试验机构所在地省、自治区、直辖市药品监督管理部门和卫生健康管理部门报告，并采取风险控制措施；出现可能影响受试者安全、可能影响医疗器械临床试验实施、可能改变伦理委员会同意意见的信息时，应当及时组织对临床试验方案、知情同意书和</w:t>
      </w:r>
      <w:proofErr w:type="gramStart"/>
      <w:r>
        <w:rPr>
          <w:rFonts w:ascii="Times New Roman" w:eastAsia="宋体" w:hAnsi="Times New Roman" w:cs="Times New Roman"/>
          <w:color w:val="auto"/>
          <w:sz w:val="28"/>
          <w:szCs w:val="28"/>
        </w:rPr>
        <w:t>其他提供</w:t>
      </w:r>
      <w:proofErr w:type="gramEnd"/>
      <w:r>
        <w:rPr>
          <w:rFonts w:ascii="Times New Roman" w:eastAsia="宋体" w:hAnsi="Times New Roman" w:cs="Times New Roman"/>
          <w:color w:val="auto"/>
          <w:sz w:val="28"/>
          <w:szCs w:val="28"/>
        </w:rPr>
        <w:t>给受试者的信息、以及其他相关文件进行修改，并提交伦理委员会审查。</w:t>
      </w:r>
    </w:p>
    <w:p w:rsidR="00CA2089" w:rsidRDefault="00035E4E">
      <w:pPr>
        <w:pStyle w:val="21"/>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color w:val="auto"/>
          <w:sz w:val="28"/>
          <w:szCs w:val="28"/>
        </w:rPr>
        <w:t>4</w:t>
      </w:r>
      <w:r>
        <w:rPr>
          <w:rFonts w:ascii="Times New Roman" w:eastAsia="宋体" w:hAnsi="Times New Roman" w:cs="Times New Roman"/>
          <w:color w:val="auto"/>
          <w:sz w:val="28"/>
          <w:szCs w:val="28"/>
        </w:rPr>
        <w:t>）出现大范围临床试验医疗器械相关严重不良事件，或者其他重大安全性问题时，申办者应当暂停或者终止医疗器械临床试验，并向所有医疗器械临床试验机构管理部门、伦理委员会以及主要研究者报告，向申办者所在地省、自治区、直辖市药品监督管理部门报告，向所有医疗器械临床试验机构所在地省、自治区、直辖市药品监督管理部门和卫生健康管理</w:t>
      </w:r>
      <w:r>
        <w:rPr>
          <w:rFonts w:ascii="Times New Roman" w:eastAsia="宋体" w:hAnsi="Times New Roman" w:cs="Times New Roman"/>
          <w:color w:val="auto"/>
          <w:sz w:val="28"/>
          <w:szCs w:val="28"/>
        </w:rPr>
        <w:lastRenderedPageBreak/>
        <w:t>部门报告。</w:t>
      </w:r>
    </w:p>
    <w:p w:rsidR="00CA2089" w:rsidRDefault="00035E4E">
      <w:pPr>
        <w:pStyle w:val="21"/>
        <w:spacing w:line="360" w:lineRule="auto"/>
        <w:ind w:leftChars="0" w:left="98" w:hangingChars="35" w:hanging="98"/>
        <w:outlineLvl w:val="1"/>
        <w:rPr>
          <w:rFonts w:ascii="Times New Roman" w:eastAsia="宋体" w:hAnsi="Times New Roman" w:cs="Times New Roman"/>
          <w:color w:val="auto"/>
          <w:sz w:val="28"/>
          <w:szCs w:val="28"/>
        </w:rPr>
      </w:pPr>
      <w:bookmarkStart w:id="118" w:name="_Toc26031"/>
      <w:bookmarkStart w:id="119" w:name="_Toc134753835"/>
      <w:r>
        <w:rPr>
          <w:rFonts w:ascii="Times New Roman" w:eastAsia="宋体" w:hAnsi="Times New Roman" w:cs="Times New Roman"/>
          <w:color w:val="auto"/>
          <w:sz w:val="28"/>
          <w:szCs w:val="28"/>
        </w:rPr>
        <w:t>（四）报告程序、联络人信息</w:t>
      </w:r>
      <w:bookmarkEnd w:id="118"/>
      <w:bookmarkEnd w:id="119"/>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一旦研究者认为发生</w:t>
      </w:r>
      <w:r>
        <w:rPr>
          <w:rFonts w:ascii="Times New Roman" w:eastAsia="宋体" w:hAnsi="Times New Roman" w:cs="Times New Roman"/>
          <w:sz w:val="28"/>
          <w:szCs w:val="28"/>
        </w:rPr>
        <w:t>SAE</w:t>
      </w:r>
      <w:r>
        <w:rPr>
          <w:rFonts w:ascii="Times New Roman" w:eastAsia="宋体" w:hAnsi="Times New Roman" w:cs="Times New Roman"/>
          <w:sz w:val="28"/>
          <w:szCs w:val="28"/>
        </w:rPr>
        <w:t>时，无论与试验产品有无关系，研究者应立即采取适当的治疗措施，对于严重不良事件和可能导致严重不良事件的器械缺陷，按照《医疗器械临床试验质量管理规范》（</w:t>
      </w:r>
      <w:r>
        <w:rPr>
          <w:rFonts w:ascii="Times New Roman" w:eastAsia="宋体" w:hAnsi="Times New Roman" w:cs="Times New Roman"/>
          <w:sz w:val="28"/>
          <w:szCs w:val="28"/>
        </w:rPr>
        <w:t>2022</w:t>
      </w:r>
      <w:r>
        <w:rPr>
          <w:rFonts w:ascii="Times New Roman" w:eastAsia="宋体" w:hAnsi="Times New Roman" w:cs="Times New Roman"/>
          <w:sz w:val="28"/>
          <w:szCs w:val="28"/>
        </w:rPr>
        <w:t>版）第三十二条的规定执行，并通知相关部门。</w:t>
      </w:r>
    </w:p>
    <w:p w:rsidR="00CA2089" w:rsidRDefault="00035E4E">
      <w:pPr>
        <w:pStyle w:val="21"/>
        <w:adjustRightInd w:val="0"/>
        <w:snapToGrid w:val="0"/>
        <w:spacing w:line="360" w:lineRule="auto"/>
        <w:ind w:leftChars="0" w:left="0" w:firstLineChars="200" w:firstLine="560"/>
        <w:rPr>
          <w:rFonts w:ascii="Times New Roman" w:eastAsia="宋体" w:hAnsi="Times New Roman" w:cs="Times New Roman"/>
          <w:color w:val="auto"/>
          <w:sz w:val="28"/>
          <w:szCs w:val="28"/>
        </w:rPr>
      </w:pPr>
      <w:r>
        <w:rPr>
          <w:rFonts w:ascii="Times New Roman" w:eastAsia="宋体" w:hAnsi="Times New Roman" w:cs="Times New Roman"/>
          <w:sz w:val="28"/>
          <w:szCs w:val="28"/>
        </w:rPr>
        <w:t>申办者在获知</w:t>
      </w:r>
      <w:r>
        <w:rPr>
          <w:rFonts w:ascii="Times New Roman" w:eastAsia="宋体" w:hAnsi="Times New Roman" w:cs="Times New Roman"/>
          <w:sz w:val="28"/>
          <w:szCs w:val="28"/>
        </w:rPr>
        <w:t>SAE</w:t>
      </w:r>
      <w:r>
        <w:rPr>
          <w:rFonts w:ascii="Times New Roman" w:eastAsia="宋体" w:hAnsi="Times New Roman" w:cs="Times New Roman"/>
          <w:sz w:val="28"/>
          <w:szCs w:val="28"/>
        </w:rPr>
        <w:t>后，应按照《医疗器械临床试验质量管理规范》（</w:t>
      </w:r>
      <w:r>
        <w:rPr>
          <w:rFonts w:ascii="Times New Roman" w:eastAsia="宋体" w:hAnsi="Times New Roman" w:cs="Times New Roman"/>
          <w:sz w:val="28"/>
          <w:szCs w:val="28"/>
        </w:rPr>
        <w:t>2022</w:t>
      </w:r>
      <w:r>
        <w:rPr>
          <w:rFonts w:ascii="Times New Roman" w:eastAsia="宋体" w:hAnsi="Times New Roman" w:cs="Times New Roman"/>
          <w:sz w:val="28"/>
          <w:szCs w:val="28"/>
        </w:rPr>
        <w:t>版）第四十四条的规定执行。</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0" w:name="_Toc134753836"/>
      <w:bookmarkStart w:id="121" w:name="_Toc3921"/>
      <w:r>
        <w:rPr>
          <w:rFonts w:ascii="Times New Roman" w:eastAsia="宋体" w:hAnsi="Times New Roman" w:cs="Times New Roman"/>
          <w:b/>
          <w:bCs/>
          <w:sz w:val="28"/>
          <w:szCs w:val="28"/>
        </w:rPr>
        <w:t>十三、临床试验方案的偏离与临床试验方案修正的规定</w:t>
      </w:r>
      <w:bookmarkEnd w:id="120"/>
      <w:bookmarkEnd w:id="121"/>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若发生对于本试验方案的重大偏离，或严重违背临床方案的受试者较多，并对试验产品的主要终点指标有明确的影响，申办者需与牵头单位研究者协商，得到各个中心研究者的认可后，递交修正案，并陈述修正理由。</w:t>
      </w:r>
    </w:p>
    <w:p w:rsidR="00CA2089" w:rsidRDefault="00035E4E">
      <w:pPr>
        <w:pStyle w:val="21"/>
        <w:adjustRightInd w:val="0"/>
        <w:snapToGrid w:val="0"/>
        <w:spacing w:line="360" w:lineRule="auto"/>
        <w:ind w:leftChars="0" w:left="0" w:firstLineChars="200" w:firstLine="560"/>
        <w:jc w:val="left"/>
        <w:rPr>
          <w:rFonts w:ascii="Times New Roman" w:eastAsia="宋体" w:hAnsi="Times New Roman" w:cs="Times New Roman"/>
          <w:sz w:val="28"/>
          <w:szCs w:val="28"/>
        </w:rPr>
      </w:pPr>
      <w:r>
        <w:rPr>
          <w:rFonts w:ascii="Times New Roman" w:eastAsia="宋体" w:hAnsi="Times New Roman" w:cs="Times New Roman"/>
          <w:sz w:val="28"/>
          <w:szCs w:val="28"/>
        </w:rPr>
        <w:t>当试验机构或研究者名单有改动时，也将以修正案形式向伦理委员会申请备案或者审查。</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2" w:name="_Toc26171"/>
      <w:bookmarkStart w:id="123" w:name="_Toc134753837"/>
      <w:r>
        <w:rPr>
          <w:rFonts w:ascii="Times New Roman" w:eastAsia="宋体" w:hAnsi="Times New Roman" w:cs="Times New Roman"/>
          <w:b/>
          <w:bCs/>
          <w:sz w:val="28"/>
          <w:szCs w:val="28"/>
        </w:rPr>
        <w:t>十四、直接访问源数据、文件</w:t>
      </w:r>
      <w:bookmarkEnd w:id="122"/>
      <w:bookmarkEnd w:id="123"/>
    </w:p>
    <w:p w:rsidR="00CA2089" w:rsidRDefault="00035E4E">
      <w:pPr>
        <w:spacing w:line="360" w:lineRule="auto"/>
        <w:ind w:firstLineChars="200" w:firstLine="560"/>
        <w:rPr>
          <w:sz w:val="28"/>
          <w:szCs w:val="28"/>
        </w:rPr>
      </w:pPr>
      <w:r>
        <w:rPr>
          <w:sz w:val="28"/>
          <w:szCs w:val="28"/>
        </w:rPr>
        <w:t>源数据，是指临床试验中的临床发现、观察和其他活动的原始记录以及其经核准的副本中的所有信息，可以用于临床试验重建和评价。</w:t>
      </w:r>
    </w:p>
    <w:p w:rsidR="00CA2089" w:rsidRDefault="00035E4E">
      <w:pPr>
        <w:spacing w:line="360" w:lineRule="auto"/>
        <w:ind w:firstLineChars="200" w:firstLine="560"/>
        <w:rPr>
          <w:sz w:val="28"/>
          <w:szCs w:val="28"/>
        </w:rPr>
      </w:pPr>
      <w:r>
        <w:rPr>
          <w:sz w:val="28"/>
          <w:szCs w:val="28"/>
        </w:rPr>
        <w:t>源文件，是指包含</w:t>
      </w:r>
      <w:proofErr w:type="gramStart"/>
      <w:r>
        <w:rPr>
          <w:sz w:val="28"/>
          <w:szCs w:val="28"/>
        </w:rPr>
        <w:t>源数据</w:t>
      </w:r>
      <w:proofErr w:type="gramEnd"/>
      <w:r>
        <w:rPr>
          <w:sz w:val="28"/>
          <w:szCs w:val="28"/>
        </w:rPr>
        <w:t>的印刷文件、可视文件或者电子文件等。</w:t>
      </w:r>
    </w:p>
    <w:p w:rsidR="00CA2089" w:rsidRDefault="00035E4E">
      <w:pPr>
        <w:spacing w:line="360" w:lineRule="auto"/>
        <w:ind w:firstLineChars="200" w:firstLine="560"/>
        <w:rPr>
          <w:sz w:val="28"/>
          <w:szCs w:val="28"/>
        </w:rPr>
      </w:pPr>
      <w:r>
        <w:rPr>
          <w:sz w:val="28"/>
          <w:szCs w:val="28"/>
        </w:rPr>
        <w:t>本临床研究的</w:t>
      </w:r>
      <w:proofErr w:type="gramStart"/>
      <w:r>
        <w:rPr>
          <w:sz w:val="28"/>
          <w:szCs w:val="28"/>
        </w:rPr>
        <w:t>源数据</w:t>
      </w:r>
      <w:proofErr w:type="gramEnd"/>
      <w:r>
        <w:rPr>
          <w:sz w:val="28"/>
          <w:szCs w:val="28"/>
        </w:rPr>
        <w:t>和源文件包括已签署的知情同意书、</w:t>
      </w:r>
      <w:r>
        <w:rPr>
          <w:sz w:val="28"/>
          <w:szCs w:val="28"/>
        </w:rPr>
        <w:t>HIS</w:t>
      </w:r>
      <w:r>
        <w:rPr>
          <w:sz w:val="28"/>
          <w:szCs w:val="28"/>
        </w:rPr>
        <w:t>系统中门诊</w:t>
      </w:r>
      <w:r>
        <w:rPr>
          <w:sz w:val="28"/>
          <w:szCs w:val="28"/>
        </w:rPr>
        <w:t>/</w:t>
      </w:r>
      <w:r>
        <w:rPr>
          <w:sz w:val="28"/>
          <w:szCs w:val="28"/>
        </w:rPr>
        <w:t>住院病案、有关实验室检验报告及其它相关记录等。</w:t>
      </w:r>
    </w:p>
    <w:p w:rsidR="00CA2089" w:rsidRDefault="00035E4E">
      <w:pPr>
        <w:spacing w:line="360" w:lineRule="auto"/>
        <w:ind w:firstLineChars="200" w:firstLine="560"/>
        <w:rPr>
          <w:sz w:val="28"/>
          <w:szCs w:val="28"/>
        </w:rPr>
      </w:pPr>
      <w:r>
        <w:rPr>
          <w:sz w:val="28"/>
          <w:szCs w:val="28"/>
        </w:rPr>
        <w:t>根据医疗器械临床试验相关法律，经授权后，本研究的研究者可以访</w:t>
      </w:r>
      <w:r>
        <w:rPr>
          <w:sz w:val="28"/>
          <w:szCs w:val="28"/>
        </w:rPr>
        <w:lastRenderedPageBreak/>
        <w:t>问上述源数据、文件。本研究的监查员</w:t>
      </w:r>
      <w:r>
        <w:rPr>
          <w:sz w:val="28"/>
          <w:szCs w:val="28"/>
        </w:rPr>
        <w:t>/</w:t>
      </w:r>
      <w:r>
        <w:rPr>
          <w:sz w:val="28"/>
          <w:szCs w:val="28"/>
        </w:rPr>
        <w:t>稽查员将按照《医疗器械临床试验质量管理规范》规定，对源数据、文件进行监查</w:t>
      </w:r>
      <w:r>
        <w:rPr>
          <w:sz w:val="28"/>
          <w:szCs w:val="28"/>
        </w:rPr>
        <w:t>/</w:t>
      </w:r>
      <w:r>
        <w:rPr>
          <w:sz w:val="28"/>
          <w:szCs w:val="28"/>
        </w:rPr>
        <w:t>稽查。国家药品监督管理局等监管部门选派检查员对临床试验机构或本研究进行检查的，临床实验机构及研究者应予以配合。</w:t>
      </w:r>
    </w:p>
    <w:p w:rsidR="00CA2089" w:rsidRDefault="00035E4E">
      <w:pPr>
        <w:spacing w:line="360" w:lineRule="auto"/>
        <w:ind w:firstLineChars="200" w:firstLine="560"/>
        <w:rPr>
          <w:sz w:val="28"/>
          <w:szCs w:val="28"/>
        </w:rPr>
      </w:pPr>
      <w:r>
        <w:rPr>
          <w:sz w:val="28"/>
          <w:szCs w:val="28"/>
        </w:rPr>
        <w:t>本试验的原始资料按照</w:t>
      </w:r>
      <w:r>
        <w:rPr>
          <w:sz w:val="28"/>
          <w:szCs w:val="28"/>
        </w:rPr>
        <w:t>2022</w:t>
      </w:r>
      <w:r>
        <w:rPr>
          <w:sz w:val="28"/>
          <w:szCs w:val="28"/>
        </w:rPr>
        <w:t>版《医疗器械临床试验质量管理规范》要求的资料保存规定进行保存，并按国家药品监督管理局的法规要求保存原始资料至临床试验完成后十年</w:t>
      </w:r>
      <w:r>
        <w:rPr>
          <w:color w:val="000000"/>
          <w:kern w:val="0"/>
          <w:sz w:val="28"/>
          <w:szCs w:val="28"/>
        </w:rPr>
        <w:t>。</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4" w:name="_Toc134753838"/>
      <w:bookmarkStart w:id="125" w:name="_Toc30518"/>
      <w:r>
        <w:rPr>
          <w:rFonts w:ascii="Times New Roman" w:eastAsia="宋体" w:hAnsi="Times New Roman" w:cs="Times New Roman"/>
          <w:b/>
          <w:bCs/>
          <w:sz w:val="28"/>
          <w:szCs w:val="28"/>
        </w:rPr>
        <w:t>十五、临床试验报告应当涵盖的内容</w:t>
      </w:r>
      <w:bookmarkEnd w:id="124"/>
      <w:bookmarkEnd w:id="125"/>
    </w:p>
    <w:p w:rsidR="00CA2089" w:rsidRDefault="00035E4E">
      <w:pPr>
        <w:spacing w:line="360" w:lineRule="auto"/>
        <w:ind w:firstLineChars="200" w:firstLine="560"/>
        <w:rPr>
          <w:sz w:val="28"/>
          <w:szCs w:val="28"/>
        </w:rPr>
      </w:pPr>
      <w:r>
        <w:rPr>
          <w:sz w:val="28"/>
          <w:szCs w:val="28"/>
        </w:rPr>
        <w:t>根据《医疗器械临床试验质量管理规范》（</w:t>
      </w:r>
      <w:r>
        <w:rPr>
          <w:sz w:val="28"/>
          <w:szCs w:val="28"/>
        </w:rPr>
        <w:t>2022</w:t>
      </w:r>
      <w:r>
        <w:rPr>
          <w:sz w:val="28"/>
          <w:szCs w:val="28"/>
        </w:rPr>
        <w:t>版）规定，临床试验报告一般包含医疗器械临床试验基本信息、实施情况、统计分析方法、试验结果、不良事件和器械缺陷报告以及其处理情况、对试验结果的分析讨论、临床试验结论、伦理情况说明、存在问题以及改进建议等内容。</w:t>
      </w:r>
    </w:p>
    <w:p w:rsidR="00CA2089" w:rsidRDefault="00035E4E">
      <w:pPr>
        <w:spacing w:line="360" w:lineRule="auto"/>
        <w:ind w:firstLineChars="200" w:firstLine="560"/>
        <w:rPr>
          <w:sz w:val="28"/>
          <w:szCs w:val="28"/>
        </w:rPr>
      </w:pPr>
      <w:r>
        <w:rPr>
          <w:sz w:val="28"/>
          <w:szCs w:val="28"/>
        </w:rPr>
        <w:t>临床试验报告应当由主要研究者签名、注明日期，经医疗器械临床试验机构审核签章后交申办者。</w:t>
      </w:r>
    </w:p>
    <w:p w:rsidR="00CA2089" w:rsidRDefault="00035E4E">
      <w:pPr>
        <w:spacing w:line="360" w:lineRule="auto"/>
        <w:ind w:firstLineChars="200" w:firstLine="560"/>
        <w:rPr>
          <w:sz w:val="28"/>
          <w:szCs w:val="28"/>
        </w:rPr>
      </w:pPr>
      <w:r>
        <w:rPr>
          <w:sz w:val="28"/>
          <w:szCs w:val="28"/>
        </w:rPr>
        <w:t>多中心临床试验报告应当由协调研究者签名、注明日期，经组长单位医疗器械临床试验机构审核签章后交申办者。</w:t>
      </w:r>
    </w:p>
    <w:p w:rsidR="00CA2089" w:rsidRDefault="00035E4E">
      <w:pPr>
        <w:spacing w:line="360" w:lineRule="auto"/>
        <w:ind w:firstLineChars="200" w:firstLine="560"/>
        <w:rPr>
          <w:sz w:val="28"/>
          <w:szCs w:val="28"/>
        </w:rPr>
      </w:pPr>
      <w:r>
        <w:rPr>
          <w:sz w:val="28"/>
          <w:szCs w:val="28"/>
        </w:rPr>
        <w:t>各分中心临床试验小结应当由该中心的主要研究者签名、注明日期，经该中心的医疗器械临床试验机构审核签章后交申办者。分中心临床试验小结主要包括人员信息、试验医疗器械和对照医疗器械（如适用）信息、试验概述、病例入组情况、临床试验方案的执行情况、试验数据的总结和描述性分析、医疗器械临床试验质量管理情况、不良事件和器械缺陷的发</w:t>
      </w:r>
      <w:r>
        <w:rPr>
          <w:sz w:val="28"/>
          <w:szCs w:val="28"/>
        </w:rPr>
        <w:lastRenderedPageBreak/>
        <w:t>生以及处理情况、方案偏离情况说明等。</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6" w:name="_Toc134753839"/>
      <w:bookmarkStart w:id="127" w:name="_Toc3981"/>
      <w:r>
        <w:rPr>
          <w:rFonts w:ascii="Times New Roman" w:eastAsia="宋体" w:hAnsi="Times New Roman" w:cs="Times New Roman"/>
          <w:b/>
          <w:bCs/>
          <w:sz w:val="28"/>
          <w:szCs w:val="28"/>
        </w:rPr>
        <w:t>十六、保密原则</w:t>
      </w:r>
      <w:bookmarkEnd w:id="126"/>
      <w:bookmarkEnd w:id="127"/>
    </w:p>
    <w:p w:rsidR="00CA2089" w:rsidRDefault="00035E4E">
      <w:pPr>
        <w:pStyle w:val="af0"/>
        <w:spacing w:line="360" w:lineRule="auto"/>
        <w:ind w:left="0"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研究者有责任保护研究受试者的生命、健康、尊严、完整性、自我决定权、隐私，对受试者的个人信息保密。必须使受试者了解，参加试验及其在试验中的个人资料均属保密，但伦理委员会、食品药品监督管理部门或申办者在工作需要时按规定程序可以查阅受试者参加试验的个人资料。</w:t>
      </w:r>
    </w:p>
    <w:p w:rsidR="00CA2089" w:rsidRDefault="00035E4E">
      <w:pPr>
        <w:spacing w:line="360" w:lineRule="auto"/>
        <w:ind w:firstLineChars="200" w:firstLine="560"/>
        <w:rPr>
          <w:sz w:val="28"/>
          <w:szCs w:val="28"/>
        </w:rPr>
      </w:pPr>
      <w:r>
        <w:rPr>
          <w:sz w:val="28"/>
          <w:szCs w:val="28"/>
        </w:rPr>
        <w:t>在没有申办者书面同意的情况下，研究者不得将数据及其它有关此次临床试验的信息泄露于第三方或用于其他任何目的。若研究者出版或其它公开描述关于此次临床试验的试验产品所获得的结果，都必须得到甲方的事先书面</w:t>
      </w:r>
      <w:r>
        <w:rPr>
          <w:sz w:val="28"/>
          <w:szCs w:val="28"/>
          <w:shd w:val="clear" w:color="auto" w:fill="FFFFFF"/>
        </w:rPr>
        <w:t>同意，申办者应在</w:t>
      </w:r>
      <w:r>
        <w:rPr>
          <w:sz w:val="28"/>
          <w:szCs w:val="28"/>
          <w:shd w:val="clear" w:color="auto" w:fill="FFFFFF"/>
        </w:rPr>
        <w:t>30</w:t>
      </w:r>
      <w:r>
        <w:rPr>
          <w:sz w:val="28"/>
          <w:szCs w:val="28"/>
          <w:shd w:val="clear" w:color="auto" w:fill="FFFFFF"/>
        </w:rPr>
        <w:t>个工</w:t>
      </w:r>
      <w:r>
        <w:rPr>
          <w:sz w:val="28"/>
          <w:szCs w:val="28"/>
        </w:rPr>
        <w:t>作日内就拟披露内容进行审阅并予以答复。</w:t>
      </w:r>
    </w:p>
    <w:p w:rsidR="00CA2089" w:rsidRDefault="00035E4E">
      <w:pPr>
        <w:spacing w:line="360" w:lineRule="auto"/>
        <w:ind w:firstLineChars="200" w:firstLine="560"/>
        <w:rPr>
          <w:sz w:val="28"/>
          <w:szCs w:val="28"/>
        </w:rPr>
      </w:pPr>
      <w:r>
        <w:rPr>
          <w:sz w:val="28"/>
          <w:szCs w:val="28"/>
        </w:rPr>
        <w:t>未获得研究者同意的前提下，申办者不会在试验器械宣传及广告等商业用途上应用研究者的名义，但就试验器械开展临床</w:t>
      </w:r>
      <w:r>
        <w:rPr>
          <w:sz w:val="28"/>
          <w:szCs w:val="28"/>
          <w:shd w:val="clear" w:color="auto" w:fill="FFFFFF"/>
        </w:rPr>
        <w:t>试验及向</w:t>
      </w:r>
      <w:r>
        <w:rPr>
          <w:sz w:val="28"/>
          <w:szCs w:val="28"/>
          <w:shd w:val="clear" w:color="auto" w:fill="FFFFFF"/>
        </w:rPr>
        <w:t>NMPA</w:t>
      </w:r>
      <w:r>
        <w:rPr>
          <w:sz w:val="28"/>
          <w:szCs w:val="28"/>
          <w:shd w:val="clear" w:color="auto" w:fill="FFFFFF"/>
        </w:rPr>
        <w:t>提出</w:t>
      </w:r>
      <w:r>
        <w:rPr>
          <w:sz w:val="28"/>
          <w:szCs w:val="28"/>
        </w:rPr>
        <w:t>试验器械准产许可时，可无需研究者同意直接使用此次临床试验过程中所得出医疗器械临床试验报告等一切成果。</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28" w:name="_Toc134753840"/>
      <w:bookmarkStart w:id="129" w:name="_Toc32610"/>
      <w:r>
        <w:rPr>
          <w:rFonts w:ascii="Times New Roman" w:eastAsia="宋体" w:hAnsi="Times New Roman" w:cs="Times New Roman"/>
          <w:b/>
          <w:bCs/>
          <w:sz w:val="28"/>
          <w:szCs w:val="28"/>
        </w:rPr>
        <w:t>十七、各方承担的职责</w:t>
      </w:r>
      <w:bookmarkEnd w:id="128"/>
      <w:bookmarkEnd w:id="129"/>
    </w:p>
    <w:p w:rsidR="00CA2089" w:rsidRDefault="00035E4E">
      <w:pPr>
        <w:pStyle w:val="2"/>
        <w:spacing w:before="0" w:after="0" w:line="360" w:lineRule="auto"/>
        <w:rPr>
          <w:rFonts w:ascii="Times New Roman" w:eastAsia="宋体" w:hAnsi="Times New Roman" w:cs="Times New Roman"/>
          <w:b w:val="0"/>
          <w:bCs w:val="0"/>
          <w:sz w:val="28"/>
          <w:szCs w:val="28"/>
        </w:rPr>
      </w:pPr>
      <w:bookmarkStart w:id="130" w:name="_Toc471401148"/>
      <w:bookmarkStart w:id="131" w:name="_Toc30019"/>
      <w:bookmarkStart w:id="132" w:name="_Toc120720480"/>
      <w:bookmarkStart w:id="133" w:name="_Toc31567"/>
      <w:bookmarkStart w:id="134" w:name="_Toc120720414"/>
      <w:bookmarkStart w:id="135" w:name="_Toc132207409"/>
      <w:bookmarkStart w:id="136" w:name="_Toc477337079"/>
      <w:bookmarkStart w:id="137" w:name="_Toc134753841"/>
      <w:r>
        <w:rPr>
          <w:rFonts w:ascii="Times New Roman" w:eastAsia="宋体" w:hAnsi="Times New Roman" w:cs="Times New Roman"/>
          <w:b w:val="0"/>
          <w:bCs w:val="0"/>
          <w:sz w:val="28"/>
          <w:szCs w:val="28"/>
        </w:rPr>
        <w:t>（一）申办者职责</w:t>
      </w:r>
      <w:bookmarkEnd w:id="130"/>
      <w:bookmarkEnd w:id="131"/>
      <w:bookmarkEnd w:id="132"/>
      <w:bookmarkEnd w:id="133"/>
      <w:bookmarkEnd w:id="134"/>
      <w:bookmarkEnd w:id="135"/>
      <w:bookmarkEnd w:id="136"/>
      <w:bookmarkEnd w:id="137"/>
    </w:p>
    <w:p w:rsidR="00CA2089" w:rsidRDefault="00035E4E">
      <w:pPr>
        <w:spacing w:line="360" w:lineRule="auto"/>
        <w:ind w:firstLineChars="200" w:firstLine="560"/>
        <w:rPr>
          <w:sz w:val="28"/>
          <w:szCs w:val="28"/>
        </w:rPr>
      </w:pPr>
      <w:r>
        <w:rPr>
          <w:sz w:val="28"/>
          <w:szCs w:val="28"/>
        </w:rPr>
        <w:t>对临床试验的真实性、合</w:t>
      </w:r>
      <w:proofErr w:type="gramStart"/>
      <w:r>
        <w:rPr>
          <w:sz w:val="28"/>
          <w:szCs w:val="28"/>
        </w:rPr>
        <w:t>规</w:t>
      </w:r>
      <w:proofErr w:type="gramEnd"/>
      <w:r>
        <w:rPr>
          <w:sz w:val="28"/>
          <w:szCs w:val="28"/>
        </w:rPr>
        <w:t>性负责。</w:t>
      </w:r>
    </w:p>
    <w:p w:rsidR="00CA2089" w:rsidRDefault="00035E4E">
      <w:pPr>
        <w:spacing w:line="360" w:lineRule="auto"/>
        <w:ind w:firstLineChars="200" w:firstLine="560"/>
        <w:rPr>
          <w:sz w:val="28"/>
          <w:szCs w:val="28"/>
        </w:rPr>
      </w:pPr>
      <w:r>
        <w:rPr>
          <w:sz w:val="28"/>
          <w:szCs w:val="28"/>
        </w:rPr>
        <w:t>申办者发起临床试验前应当：</w:t>
      </w:r>
    </w:p>
    <w:p w:rsidR="00CA2089" w:rsidRDefault="00035E4E">
      <w:pPr>
        <w:spacing w:line="360" w:lineRule="auto"/>
        <w:ind w:firstLineChars="200" w:firstLine="560"/>
        <w:rPr>
          <w:sz w:val="28"/>
          <w:szCs w:val="28"/>
        </w:rPr>
      </w:pPr>
      <w:r>
        <w:rPr>
          <w:sz w:val="28"/>
          <w:szCs w:val="28"/>
        </w:rPr>
        <w:t>1</w:t>
      </w:r>
      <w:r>
        <w:rPr>
          <w:sz w:val="28"/>
          <w:szCs w:val="28"/>
        </w:rPr>
        <w:t>）确保产品设计已定型，完成试验医疗器械的临床前研究且结果应当能够支持该项医疗器械临床试验；</w:t>
      </w:r>
    </w:p>
    <w:p w:rsidR="00CA2089" w:rsidRDefault="00035E4E">
      <w:pPr>
        <w:spacing w:line="360" w:lineRule="auto"/>
        <w:ind w:firstLineChars="200" w:firstLine="560"/>
        <w:rPr>
          <w:sz w:val="28"/>
          <w:szCs w:val="28"/>
        </w:rPr>
      </w:pPr>
      <w:r>
        <w:rPr>
          <w:sz w:val="28"/>
          <w:szCs w:val="28"/>
        </w:rPr>
        <w:lastRenderedPageBreak/>
        <w:t>2</w:t>
      </w:r>
      <w:r>
        <w:rPr>
          <w:sz w:val="28"/>
          <w:szCs w:val="28"/>
        </w:rPr>
        <w:t>）根据试验医疗器械的特性，选择已备案的医疗器械临床试验机构、专业和主要研究者；</w:t>
      </w:r>
    </w:p>
    <w:p w:rsidR="00CA2089" w:rsidRDefault="00035E4E">
      <w:pPr>
        <w:spacing w:line="360" w:lineRule="auto"/>
        <w:ind w:firstLineChars="200" w:firstLine="560"/>
        <w:rPr>
          <w:sz w:val="28"/>
          <w:szCs w:val="28"/>
        </w:rPr>
      </w:pPr>
      <w:r>
        <w:rPr>
          <w:sz w:val="28"/>
          <w:szCs w:val="28"/>
        </w:rPr>
        <w:t>3</w:t>
      </w:r>
      <w:r>
        <w:rPr>
          <w:sz w:val="28"/>
          <w:szCs w:val="28"/>
        </w:rPr>
        <w:t>）负责组织制定研究者手册、临床试验方案、知情同意书、病例报告表、标准操作规程以及其他相关文件，并向医疗器械临床试验机构和主要研究者提供。</w:t>
      </w:r>
    </w:p>
    <w:p w:rsidR="00CA2089" w:rsidRDefault="00035E4E">
      <w:pPr>
        <w:numPr>
          <w:ilvl w:val="255"/>
          <w:numId w:val="0"/>
        </w:numPr>
        <w:spacing w:line="360" w:lineRule="auto"/>
        <w:ind w:firstLineChars="200" w:firstLine="560"/>
        <w:rPr>
          <w:sz w:val="28"/>
          <w:szCs w:val="28"/>
        </w:rPr>
      </w:pPr>
      <w:r>
        <w:rPr>
          <w:sz w:val="28"/>
          <w:szCs w:val="28"/>
        </w:rPr>
        <w:t>申办者应当与医疗器械临床试验机构和主要研究者签订合同，明确各方在医疗器械临床试验中的权利和义务。</w:t>
      </w:r>
    </w:p>
    <w:p w:rsidR="00CA2089" w:rsidRDefault="00035E4E">
      <w:pPr>
        <w:numPr>
          <w:ilvl w:val="255"/>
          <w:numId w:val="0"/>
        </w:numPr>
        <w:spacing w:line="360" w:lineRule="auto"/>
        <w:ind w:firstLineChars="200" w:firstLine="560"/>
        <w:rPr>
          <w:sz w:val="28"/>
          <w:szCs w:val="28"/>
        </w:rPr>
      </w:pPr>
      <w:r>
        <w:rPr>
          <w:sz w:val="28"/>
          <w:szCs w:val="28"/>
        </w:rPr>
        <w:t>申办者在临床试验经伦理审查通过并且与临床试验机构签订合同后进行临床试验项目备案。</w:t>
      </w:r>
    </w:p>
    <w:p w:rsidR="00CA2089" w:rsidRDefault="00035E4E">
      <w:pPr>
        <w:numPr>
          <w:ilvl w:val="255"/>
          <w:numId w:val="0"/>
        </w:numPr>
        <w:spacing w:line="360" w:lineRule="auto"/>
        <w:ind w:firstLineChars="200" w:firstLine="560"/>
        <w:rPr>
          <w:sz w:val="28"/>
          <w:szCs w:val="28"/>
        </w:rPr>
      </w:pPr>
      <w:r>
        <w:rPr>
          <w:sz w:val="28"/>
          <w:szCs w:val="28"/>
        </w:rPr>
        <w:t>试验开始前，申办者负责组织与本试验相关的培训。</w:t>
      </w:r>
    </w:p>
    <w:p w:rsidR="00CA2089" w:rsidRDefault="00035E4E">
      <w:pPr>
        <w:numPr>
          <w:ilvl w:val="255"/>
          <w:numId w:val="0"/>
        </w:numPr>
        <w:spacing w:line="360" w:lineRule="auto"/>
        <w:ind w:firstLineChars="200" w:firstLine="560"/>
        <w:rPr>
          <w:sz w:val="28"/>
          <w:szCs w:val="28"/>
        </w:rPr>
      </w:pPr>
      <w:r>
        <w:rPr>
          <w:sz w:val="28"/>
          <w:szCs w:val="28"/>
        </w:rPr>
        <w:t>申办者应当免费提供试验医疗器械，并符合以下要求：</w:t>
      </w:r>
    </w:p>
    <w:p w:rsidR="00CA2089" w:rsidRDefault="00035E4E">
      <w:pPr>
        <w:spacing w:line="360" w:lineRule="auto"/>
        <w:ind w:firstLineChars="200" w:firstLine="560"/>
        <w:rPr>
          <w:sz w:val="28"/>
          <w:szCs w:val="28"/>
        </w:rPr>
      </w:pPr>
      <w:r>
        <w:rPr>
          <w:sz w:val="28"/>
          <w:szCs w:val="28"/>
        </w:rPr>
        <w:t>1</w:t>
      </w:r>
      <w:r>
        <w:rPr>
          <w:sz w:val="28"/>
          <w:szCs w:val="28"/>
        </w:rPr>
        <w:t>）试验医疗器械应当按照医疗器械生产质量管理规范的相关要求生产且质量合格；</w:t>
      </w:r>
    </w:p>
    <w:p w:rsidR="00CA2089" w:rsidRDefault="00035E4E">
      <w:pPr>
        <w:spacing w:line="360" w:lineRule="auto"/>
        <w:ind w:firstLineChars="200" w:firstLine="560"/>
        <w:rPr>
          <w:sz w:val="28"/>
          <w:szCs w:val="28"/>
        </w:rPr>
      </w:pPr>
      <w:r>
        <w:rPr>
          <w:sz w:val="28"/>
          <w:szCs w:val="28"/>
        </w:rPr>
        <w:t>2</w:t>
      </w:r>
      <w:r>
        <w:rPr>
          <w:sz w:val="28"/>
          <w:szCs w:val="28"/>
        </w:rPr>
        <w:t>）确定试验医疗器械的运输条件、储存条件、储存时间、有效期等；</w:t>
      </w:r>
    </w:p>
    <w:p w:rsidR="00CA2089" w:rsidRDefault="00035E4E">
      <w:pPr>
        <w:spacing w:line="360" w:lineRule="auto"/>
        <w:ind w:firstLineChars="200" w:firstLine="560"/>
        <w:rPr>
          <w:sz w:val="28"/>
          <w:szCs w:val="28"/>
        </w:rPr>
      </w:pPr>
      <w:r>
        <w:rPr>
          <w:sz w:val="28"/>
          <w:szCs w:val="28"/>
        </w:rPr>
        <w:t>3</w:t>
      </w:r>
      <w:r>
        <w:rPr>
          <w:sz w:val="28"/>
          <w:szCs w:val="28"/>
        </w:rPr>
        <w:t>）试验医疗器械应当按照临床试验方案要求进行适当包装和保存；包装标签上应当标明产品信息，具有易于识别、正确编码的标识，标明仅用于本临床试验；</w:t>
      </w:r>
    </w:p>
    <w:p w:rsidR="00CA2089" w:rsidRDefault="00035E4E">
      <w:pPr>
        <w:spacing w:line="360" w:lineRule="auto"/>
        <w:ind w:firstLineChars="200" w:firstLine="560"/>
        <w:rPr>
          <w:sz w:val="28"/>
          <w:szCs w:val="28"/>
        </w:rPr>
      </w:pPr>
      <w:r>
        <w:rPr>
          <w:sz w:val="28"/>
          <w:szCs w:val="28"/>
        </w:rPr>
        <w:t>4</w:t>
      </w:r>
      <w:r>
        <w:rPr>
          <w:sz w:val="28"/>
          <w:szCs w:val="28"/>
        </w:rPr>
        <w:t>）临床试验获得伦理委员会同意后，申办者负责在规定的条件下将试验医疗器械运输至医疗器械临床试验机构；</w:t>
      </w:r>
    </w:p>
    <w:p w:rsidR="00CA2089" w:rsidRDefault="00035E4E">
      <w:pPr>
        <w:spacing w:line="360" w:lineRule="auto"/>
        <w:ind w:firstLineChars="200" w:firstLine="560"/>
        <w:rPr>
          <w:sz w:val="28"/>
          <w:szCs w:val="28"/>
        </w:rPr>
      </w:pPr>
      <w:r>
        <w:rPr>
          <w:sz w:val="28"/>
          <w:szCs w:val="28"/>
        </w:rPr>
        <w:t>5</w:t>
      </w:r>
      <w:r>
        <w:rPr>
          <w:sz w:val="28"/>
          <w:szCs w:val="28"/>
        </w:rPr>
        <w:t>）对从试验机构回收的试验医疗器械，申办者负责保存回收处置等记录。</w:t>
      </w:r>
    </w:p>
    <w:p w:rsidR="00CA2089" w:rsidRDefault="00035E4E">
      <w:pPr>
        <w:numPr>
          <w:ilvl w:val="255"/>
          <w:numId w:val="0"/>
        </w:numPr>
        <w:spacing w:line="360" w:lineRule="auto"/>
        <w:ind w:firstLineChars="200" w:firstLine="560"/>
        <w:rPr>
          <w:sz w:val="28"/>
          <w:szCs w:val="28"/>
        </w:rPr>
      </w:pPr>
      <w:r>
        <w:rPr>
          <w:sz w:val="28"/>
          <w:szCs w:val="28"/>
        </w:rPr>
        <w:lastRenderedPageBreak/>
        <w:t>申办者应当确保各中心主要研究者之间的沟通，负责选择、确定本试验的协调研究者。</w:t>
      </w:r>
    </w:p>
    <w:p w:rsidR="00CA2089" w:rsidRDefault="00035E4E">
      <w:pPr>
        <w:numPr>
          <w:ilvl w:val="255"/>
          <w:numId w:val="0"/>
        </w:numPr>
        <w:spacing w:line="360" w:lineRule="auto"/>
        <w:ind w:firstLineChars="200" w:firstLine="560"/>
        <w:rPr>
          <w:sz w:val="28"/>
          <w:szCs w:val="28"/>
        </w:rPr>
      </w:pPr>
      <w:r>
        <w:rPr>
          <w:sz w:val="28"/>
          <w:szCs w:val="28"/>
        </w:rPr>
        <w:t>申办者负责医疗器械试验期间安全性信息的评估和报告。</w:t>
      </w:r>
    </w:p>
    <w:p w:rsidR="00CA2089" w:rsidRDefault="00035E4E">
      <w:pPr>
        <w:numPr>
          <w:ilvl w:val="255"/>
          <w:numId w:val="0"/>
        </w:numPr>
        <w:spacing w:line="360" w:lineRule="auto"/>
        <w:ind w:firstLineChars="200" w:firstLine="560"/>
        <w:rPr>
          <w:sz w:val="28"/>
          <w:szCs w:val="28"/>
        </w:rPr>
      </w:pPr>
      <w:r>
        <w:rPr>
          <w:sz w:val="28"/>
          <w:szCs w:val="28"/>
        </w:rPr>
        <w:t>申办者承担临床试验监查责任，可以组织稽查员对临床试验实施情况进行稽查。</w:t>
      </w:r>
    </w:p>
    <w:p w:rsidR="00CA2089" w:rsidRDefault="00035E4E">
      <w:pPr>
        <w:numPr>
          <w:ilvl w:val="255"/>
          <w:numId w:val="0"/>
        </w:numPr>
        <w:spacing w:line="360" w:lineRule="auto"/>
        <w:ind w:firstLineChars="200" w:firstLine="560"/>
        <w:rPr>
          <w:sz w:val="28"/>
          <w:szCs w:val="28"/>
        </w:rPr>
      </w:pPr>
      <w:r>
        <w:rPr>
          <w:sz w:val="28"/>
          <w:szCs w:val="28"/>
        </w:rPr>
        <w:t>申办者应当确保临床试验的实施遵守临床试验方案，发现医疗器械临床试验机构和研究者不遵守临床试验方案、本规范和相关法律法规的，应当及时指出并予以纠正；如情况严重或者持续不改，应当终止该临床试验机构和研究者继续参加该临床试验，并书面向临床试验机构所在地省、自治区、直辖市药品监督管理部门报告。</w:t>
      </w:r>
    </w:p>
    <w:p w:rsidR="00CA2089" w:rsidRDefault="00035E4E">
      <w:pPr>
        <w:numPr>
          <w:ilvl w:val="255"/>
          <w:numId w:val="0"/>
        </w:numPr>
        <w:spacing w:line="360" w:lineRule="auto"/>
        <w:ind w:firstLineChars="200" w:firstLine="560"/>
        <w:rPr>
          <w:sz w:val="28"/>
          <w:szCs w:val="28"/>
        </w:rPr>
      </w:pPr>
      <w:r>
        <w:rPr>
          <w:sz w:val="28"/>
          <w:szCs w:val="28"/>
        </w:rPr>
        <w:t>申办者应当在临床试验暂停、终止或者完成后</w:t>
      </w:r>
      <w:r>
        <w:rPr>
          <w:sz w:val="28"/>
          <w:szCs w:val="28"/>
        </w:rPr>
        <w:t>10</w:t>
      </w:r>
      <w:r>
        <w:rPr>
          <w:sz w:val="28"/>
          <w:szCs w:val="28"/>
        </w:rPr>
        <w:t>个工作日内，书面报告所有的主要研究者、医疗器械临床试验机构管理部门、伦理委员会；在临床试验终止或者完成后</w:t>
      </w:r>
      <w:r>
        <w:rPr>
          <w:sz w:val="28"/>
          <w:szCs w:val="28"/>
        </w:rPr>
        <w:t>10</w:t>
      </w:r>
      <w:r>
        <w:rPr>
          <w:sz w:val="28"/>
          <w:szCs w:val="28"/>
        </w:rPr>
        <w:t>个工作日内，向申办者所在地省、自治区、直辖市药品监督管理部门报告。</w:t>
      </w:r>
    </w:p>
    <w:p w:rsidR="00CA2089" w:rsidRDefault="00035E4E">
      <w:pPr>
        <w:numPr>
          <w:ilvl w:val="255"/>
          <w:numId w:val="0"/>
        </w:numPr>
        <w:spacing w:line="360" w:lineRule="auto"/>
        <w:ind w:firstLineChars="200" w:firstLine="560"/>
        <w:rPr>
          <w:sz w:val="28"/>
          <w:szCs w:val="28"/>
        </w:rPr>
      </w:pPr>
      <w:r>
        <w:rPr>
          <w:sz w:val="28"/>
          <w:szCs w:val="28"/>
        </w:rPr>
        <w:t>申办者应当具备临床试验基本文件保存的场所和条件，确保临床试验基本文件在保存期间的完整性，避免故意或者无意地更改或者丢失。</w:t>
      </w:r>
    </w:p>
    <w:p w:rsidR="00CA2089" w:rsidRDefault="00035E4E">
      <w:pPr>
        <w:pStyle w:val="2"/>
        <w:spacing w:before="0" w:after="0" w:line="360" w:lineRule="auto"/>
        <w:rPr>
          <w:rFonts w:ascii="Times New Roman" w:eastAsia="宋体" w:hAnsi="Times New Roman" w:cs="Times New Roman"/>
          <w:b w:val="0"/>
          <w:bCs w:val="0"/>
          <w:sz w:val="28"/>
          <w:szCs w:val="28"/>
        </w:rPr>
      </w:pPr>
      <w:bookmarkStart w:id="138" w:name="_Toc120720415"/>
      <w:bookmarkStart w:id="139" w:name="_Toc120720481"/>
      <w:bookmarkStart w:id="140" w:name="_Toc132207410"/>
      <w:bookmarkStart w:id="141" w:name="_Toc2450"/>
      <w:bookmarkStart w:id="142" w:name="_Toc13236"/>
      <w:bookmarkStart w:id="143" w:name="_Toc471401149"/>
      <w:bookmarkStart w:id="144" w:name="_Toc134753842"/>
      <w:bookmarkStart w:id="145" w:name="_Toc477337080"/>
      <w:bookmarkStart w:id="146" w:name="OLE_LINK23"/>
      <w:r>
        <w:rPr>
          <w:rFonts w:ascii="Times New Roman" w:eastAsia="宋体" w:hAnsi="Times New Roman" w:cs="Times New Roman"/>
          <w:b w:val="0"/>
          <w:bCs w:val="0"/>
          <w:sz w:val="28"/>
          <w:szCs w:val="28"/>
        </w:rPr>
        <w:t>（二）临床试验机构及研究者职责</w:t>
      </w:r>
      <w:bookmarkEnd w:id="138"/>
      <w:bookmarkEnd w:id="139"/>
      <w:bookmarkEnd w:id="140"/>
      <w:bookmarkEnd w:id="141"/>
      <w:bookmarkEnd w:id="142"/>
      <w:bookmarkEnd w:id="143"/>
      <w:bookmarkEnd w:id="144"/>
      <w:bookmarkEnd w:id="145"/>
    </w:p>
    <w:bookmarkEnd w:id="146"/>
    <w:p w:rsidR="00CA2089" w:rsidRDefault="00035E4E">
      <w:pPr>
        <w:spacing w:line="360" w:lineRule="auto"/>
        <w:ind w:firstLineChars="200" w:firstLine="560"/>
        <w:rPr>
          <w:sz w:val="28"/>
          <w:szCs w:val="28"/>
        </w:rPr>
      </w:pPr>
      <w:r>
        <w:rPr>
          <w:color w:val="000000"/>
          <w:sz w:val="28"/>
          <w:szCs w:val="28"/>
        </w:rPr>
        <w:t>临床试验机构负责建立临床试验管理组织架构和管理制度，成立临床试验管理部门，承担医疗器械临床试验的管理工作。</w:t>
      </w:r>
    </w:p>
    <w:p w:rsidR="00CA2089" w:rsidRDefault="00035E4E">
      <w:pPr>
        <w:spacing w:line="360" w:lineRule="auto"/>
        <w:ind w:firstLineChars="200" w:firstLine="560"/>
        <w:rPr>
          <w:sz w:val="28"/>
          <w:szCs w:val="28"/>
        </w:rPr>
      </w:pPr>
      <w:r>
        <w:rPr>
          <w:sz w:val="28"/>
          <w:szCs w:val="28"/>
        </w:rPr>
        <w:t>临床试验机构负责在伦理委员会对本临床试验审查前，组织评估本临床试验主要研究者的资质并完成其备案。</w:t>
      </w:r>
    </w:p>
    <w:p w:rsidR="00CA2089" w:rsidRDefault="00035E4E">
      <w:pPr>
        <w:spacing w:line="360" w:lineRule="auto"/>
        <w:ind w:firstLineChars="200" w:firstLine="560"/>
        <w:rPr>
          <w:sz w:val="28"/>
          <w:szCs w:val="28"/>
        </w:rPr>
      </w:pPr>
      <w:r>
        <w:rPr>
          <w:sz w:val="28"/>
          <w:szCs w:val="28"/>
        </w:rPr>
        <w:lastRenderedPageBreak/>
        <w:t>临床试验机构建立质量管理制度，涵盖医疗器械临床试验实施的全过程，包括培训和考核、临床试验的实施、医疗器械的管理、生物样本的管理、不良事件和器械缺陷的处理以及安全性信息的报告、记录、质量控制等制度，确保主要研究者履行其临床试验相关职责，保证受试者得到妥善的医疗处理，确保试验产生数据的真实性。</w:t>
      </w:r>
    </w:p>
    <w:p w:rsidR="00CA2089" w:rsidRDefault="00035E4E">
      <w:pPr>
        <w:spacing w:line="360" w:lineRule="auto"/>
        <w:ind w:firstLineChars="200" w:firstLine="560"/>
        <w:rPr>
          <w:sz w:val="28"/>
          <w:szCs w:val="28"/>
        </w:rPr>
      </w:pPr>
      <w:r>
        <w:rPr>
          <w:sz w:val="28"/>
          <w:szCs w:val="28"/>
        </w:rPr>
        <w:t>临床试验机构在试验前应当根据试验医疗器械的特性评估相关资源，确保具备相匹配的资质、人员、设施、条件等。</w:t>
      </w:r>
    </w:p>
    <w:p w:rsidR="00CA2089" w:rsidRDefault="00035E4E">
      <w:pPr>
        <w:spacing w:line="360" w:lineRule="auto"/>
        <w:ind w:firstLineChars="200" w:firstLine="560"/>
        <w:rPr>
          <w:sz w:val="28"/>
          <w:szCs w:val="28"/>
        </w:rPr>
      </w:pPr>
      <w:r>
        <w:rPr>
          <w:sz w:val="28"/>
          <w:szCs w:val="28"/>
        </w:rPr>
        <w:t>临床试验机构和研究者应当配合申办者组织的监查和稽查，以及药品监督管理部门、卫生健康管理部门开展的检查。</w:t>
      </w:r>
    </w:p>
    <w:p w:rsidR="00CA2089" w:rsidRDefault="00035E4E">
      <w:pPr>
        <w:spacing w:line="360" w:lineRule="auto"/>
        <w:ind w:firstLineChars="200" w:firstLine="560"/>
        <w:rPr>
          <w:sz w:val="28"/>
          <w:szCs w:val="28"/>
        </w:rPr>
      </w:pPr>
      <w:r>
        <w:rPr>
          <w:sz w:val="28"/>
          <w:szCs w:val="28"/>
        </w:rPr>
        <w:t>临床试验机构应当具备临床试验基本文件保存的场所和条件，应当建立基本文件管理制度，按照相关法律法规和与申办者的合同，妥善保存临床试验记录和基本文件；确保临床试验基本文件在保存期间的完整性，避免故意或者无意地更改或者丢失。</w:t>
      </w:r>
    </w:p>
    <w:p w:rsidR="00CA2089" w:rsidRDefault="00035E4E">
      <w:pPr>
        <w:spacing w:line="360" w:lineRule="auto"/>
        <w:ind w:firstLineChars="200" w:firstLine="560"/>
        <w:rPr>
          <w:sz w:val="28"/>
          <w:szCs w:val="28"/>
        </w:rPr>
      </w:pPr>
      <w:r>
        <w:rPr>
          <w:sz w:val="28"/>
          <w:szCs w:val="28"/>
        </w:rPr>
        <w:t>临床试验机构的研究者的职责：</w:t>
      </w:r>
    </w:p>
    <w:p w:rsidR="00CA2089" w:rsidRDefault="00035E4E">
      <w:pPr>
        <w:spacing w:line="360" w:lineRule="auto"/>
        <w:ind w:firstLineChars="200" w:firstLine="560"/>
        <w:rPr>
          <w:sz w:val="28"/>
          <w:szCs w:val="28"/>
        </w:rPr>
      </w:pPr>
      <w:r>
        <w:rPr>
          <w:sz w:val="28"/>
          <w:szCs w:val="28"/>
        </w:rPr>
        <w:t>熟悉试验医疗器械的原理、适用范围或者预期用途、产品性能、操作方法以及技术指标等，了解试验医疗器械临床前研究相关资料；掌握临床试验可能产生风险的防范以及紧急处理方法。</w:t>
      </w:r>
    </w:p>
    <w:p w:rsidR="00CA2089" w:rsidRDefault="00035E4E">
      <w:pPr>
        <w:spacing w:line="360" w:lineRule="auto"/>
        <w:ind w:firstLineChars="200" w:firstLine="560"/>
        <w:rPr>
          <w:sz w:val="28"/>
          <w:szCs w:val="28"/>
        </w:rPr>
      </w:pPr>
      <w:r>
        <w:rPr>
          <w:sz w:val="28"/>
          <w:szCs w:val="28"/>
        </w:rPr>
        <w:t>充分了解并且遵守临床试验方案、</w:t>
      </w:r>
      <w:r>
        <w:rPr>
          <w:sz w:val="28"/>
          <w:szCs w:val="28"/>
        </w:rPr>
        <w:t>GCP</w:t>
      </w:r>
      <w:r>
        <w:rPr>
          <w:sz w:val="28"/>
          <w:szCs w:val="28"/>
        </w:rPr>
        <w:t>和相关法律法规规定以及与医疗器械临床试验相关的职责。</w:t>
      </w:r>
    </w:p>
    <w:p w:rsidR="00CA2089" w:rsidRDefault="00035E4E">
      <w:pPr>
        <w:spacing w:line="360" w:lineRule="auto"/>
        <w:ind w:firstLineChars="200" w:firstLine="560"/>
        <w:rPr>
          <w:sz w:val="28"/>
          <w:szCs w:val="28"/>
        </w:rPr>
      </w:pPr>
      <w:r>
        <w:rPr>
          <w:sz w:val="28"/>
          <w:szCs w:val="28"/>
        </w:rPr>
        <w:t>主要研究者应当确保临床试验遵守伦理委员会同意的最新版本临床试验方案；在约定的时限内，按照</w:t>
      </w:r>
      <w:r>
        <w:rPr>
          <w:sz w:val="28"/>
          <w:szCs w:val="28"/>
        </w:rPr>
        <w:t>GCP</w:t>
      </w:r>
      <w:r>
        <w:rPr>
          <w:sz w:val="28"/>
          <w:szCs w:val="28"/>
        </w:rPr>
        <w:t>和相关法律法规的规定实施医疗</w:t>
      </w:r>
      <w:r>
        <w:rPr>
          <w:sz w:val="28"/>
          <w:szCs w:val="28"/>
        </w:rPr>
        <w:lastRenderedPageBreak/>
        <w:t>器械临床试验。</w:t>
      </w:r>
    </w:p>
    <w:p w:rsidR="00CA2089" w:rsidRDefault="00035E4E">
      <w:pPr>
        <w:spacing w:line="360" w:lineRule="auto"/>
        <w:ind w:firstLineChars="200" w:firstLine="560"/>
        <w:rPr>
          <w:sz w:val="28"/>
          <w:szCs w:val="28"/>
        </w:rPr>
      </w:pPr>
      <w:r>
        <w:rPr>
          <w:sz w:val="28"/>
          <w:szCs w:val="28"/>
        </w:rPr>
        <w:t>主要研究者可以根据试验的需要，授权经过临床试验相关培训的研究者，组织进行受试者招募和知情同意、筛选和随访；试验医疗器械和对照医疗器械的管理和使用；不良事件和器械缺陷的处理；临床试验数据记录以及病例报告表填写等。</w:t>
      </w:r>
    </w:p>
    <w:p w:rsidR="00CA2089" w:rsidRDefault="00035E4E">
      <w:pPr>
        <w:spacing w:line="360" w:lineRule="auto"/>
        <w:ind w:firstLineChars="200" w:firstLine="560"/>
        <w:rPr>
          <w:sz w:val="28"/>
          <w:szCs w:val="28"/>
        </w:rPr>
      </w:pPr>
      <w:r>
        <w:rPr>
          <w:sz w:val="28"/>
          <w:szCs w:val="28"/>
        </w:rPr>
        <w:t>在受试者参与临床试验前，研究者应当向受试者说明试验医疗器械以及临床试验有关的详细情况，告知受试者可能的受益和已知的、可以预见的风险，经充分和详细解释后由受试者在知情同意书上签署姓名和日期，研究者在知情同意书上应当签署姓名和日期；不应当强迫或者以其他不正当方式诱使受试者参加临床试验。</w:t>
      </w:r>
    </w:p>
    <w:p w:rsidR="00CA2089" w:rsidRDefault="00035E4E">
      <w:pPr>
        <w:spacing w:line="360" w:lineRule="auto"/>
        <w:ind w:firstLineChars="200" w:firstLine="560"/>
        <w:rPr>
          <w:sz w:val="28"/>
          <w:szCs w:val="28"/>
        </w:rPr>
      </w:pPr>
      <w:r>
        <w:rPr>
          <w:sz w:val="28"/>
          <w:szCs w:val="28"/>
        </w:rPr>
        <w:t>研究者对申办者提供的试验医疗器械和对照医疗器械有管理责任，应当确保其仅用于参加本试验的受试者，在临床试验期间按照要求储存和保管，在临床试验完成或者终止后按照相关法律法规和与申办者的合同进行处理。</w:t>
      </w:r>
    </w:p>
    <w:p w:rsidR="00CA2089" w:rsidRDefault="00035E4E">
      <w:pPr>
        <w:spacing w:line="360" w:lineRule="auto"/>
        <w:ind w:firstLineChars="200" w:firstLine="560"/>
        <w:rPr>
          <w:sz w:val="28"/>
          <w:szCs w:val="28"/>
        </w:rPr>
      </w:pPr>
      <w:r>
        <w:rPr>
          <w:sz w:val="28"/>
          <w:szCs w:val="28"/>
        </w:rPr>
        <w:t>研究者应当确保临床试验中生物样本的采集、处理等符合临床试验方案和相关法律法规。</w:t>
      </w:r>
    </w:p>
    <w:p w:rsidR="00CA2089" w:rsidRDefault="00035E4E">
      <w:pPr>
        <w:spacing w:line="360" w:lineRule="auto"/>
        <w:ind w:firstLineChars="200" w:firstLine="560"/>
        <w:rPr>
          <w:sz w:val="28"/>
          <w:szCs w:val="28"/>
        </w:rPr>
      </w:pPr>
      <w:r>
        <w:rPr>
          <w:sz w:val="28"/>
          <w:szCs w:val="28"/>
        </w:rPr>
        <w:t>临床试验中发生不良事件时，研究者应当为受试者提供足够、及时的治疗和处理；当受试者出现并发疾病需要治疗和处理时，研究者应当及时告知受试者。研究者应当记录试验过程中发生的不良事件和发现的器械缺陷。</w:t>
      </w:r>
    </w:p>
    <w:p w:rsidR="00CA2089" w:rsidRDefault="00035E4E">
      <w:pPr>
        <w:spacing w:line="360" w:lineRule="auto"/>
        <w:ind w:firstLineChars="200" w:firstLine="560"/>
        <w:rPr>
          <w:sz w:val="28"/>
          <w:szCs w:val="28"/>
        </w:rPr>
      </w:pPr>
      <w:r>
        <w:rPr>
          <w:sz w:val="28"/>
          <w:szCs w:val="28"/>
        </w:rPr>
        <w:t>主要研究者应当确保任何观察与发现均正确完整地予以记录；确保病</w:t>
      </w:r>
      <w:r>
        <w:rPr>
          <w:sz w:val="28"/>
          <w:szCs w:val="28"/>
        </w:rPr>
        <w:lastRenderedPageBreak/>
        <w:t>例报告表中的数据准确、完整、清晰和及时，</w:t>
      </w:r>
      <w:proofErr w:type="gramStart"/>
      <w:r>
        <w:rPr>
          <w:sz w:val="28"/>
          <w:szCs w:val="28"/>
        </w:rPr>
        <w:t>且数据</w:t>
      </w:r>
      <w:proofErr w:type="gramEnd"/>
      <w:r>
        <w:rPr>
          <w:sz w:val="28"/>
          <w:szCs w:val="28"/>
        </w:rPr>
        <w:t>与源文件一致。</w:t>
      </w:r>
    </w:p>
    <w:p w:rsidR="00CA2089" w:rsidRDefault="00035E4E">
      <w:pPr>
        <w:spacing w:line="360" w:lineRule="auto"/>
        <w:ind w:firstLineChars="200" w:firstLine="560"/>
        <w:rPr>
          <w:sz w:val="28"/>
          <w:szCs w:val="28"/>
        </w:rPr>
      </w:pPr>
      <w:r>
        <w:rPr>
          <w:sz w:val="28"/>
          <w:szCs w:val="28"/>
        </w:rPr>
        <w:t>研究者在临床试验过程中妥善保存临床试验基本文件。</w:t>
      </w:r>
    </w:p>
    <w:p w:rsidR="00CA2089" w:rsidRDefault="00035E4E">
      <w:pPr>
        <w:spacing w:line="360" w:lineRule="auto"/>
        <w:ind w:firstLineChars="200" w:firstLine="560"/>
        <w:rPr>
          <w:sz w:val="28"/>
          <w:szCs w:val="28"/>
        </w:rPr>
      </w:pPr>
      <w:r>
        <w:rPr>
          <w:sz w:val="28"/>
          <w:szCs w:val="28"/>
        </w:rPr>
        <w:t>研究者应当及时报告试验中的严重不良事件等安全性信息；主要研究者应当对收到的安全性信息及时处理：</w:t>
      </w:r>
    </w:p>
    <w:p w:rsidR="00CA2089" w:rsidRDefault="00035E4E">
      <w:pPr>
        <w:spacing w:line="360" w:lineRule="auto"/>
        <w:ind w:firstLineChars="200" w:firstLine="560"/>
        <w:rPr>
          <w:sz w:val="28"/>
          <w:szCs w:val="28"/>
        </w:rPr>
      </w:pPr>
      <w:r>
        <w:rPr>
          <w:sz w:val="28"/>
          <w:szCs w:val="28"/>
        </w:rPr>
        <w:t>1</w:t>
      </w:r>
      <w:r>
        <w:rPr>
          <w:sz w:val="28"/>
          <w:szCs w:val="28"/>
        </w:rPr>
        <w:t>）收到申办者提供的试验医疗器械相关严重不良事件和其他安全性信息时，应当及时签收阅读，并考虑受试者的治疗是否进行相应调整，必要时尽早与受试者沟通；</w:t>
      </w:r>
    </w:p>
    <w:p w:rsidR="00CA2089" w:rsidRDefault="00035E4E">
      <w:pPr>
        <w:spacing w:line="360" w:lineRule="auto"/>
        <w:ind w:firstLineChars="200" w:firstLine="560"/>
        <w:rPr>
          <w:sz w:val="28"/>
          <w:szCs w:val="28"/>
        </w:rPr>
      </w:pPr>
      <w:r>
        <w:rPr>
          <w:sz w:val="28"/>
          <w:szCs w:val="28"/>
        </w:rPr>
        <w:t>2</w:t>
      </w:r>
      <w:r>
        <w:rPr>
          <w:sz w:val="28"/>
          <w:szCs w:val="28"/>
        </w:rPr>
        <w:t>）收到申办者或者伦理委员会需要暂停或者终止医疗器械临床试验的通知时，应当及时通知受试者，并保证受试者得到适当治疗和随访。</w:t>
      </w:r>
    </w:p>
    <w:p w:rsidR="00CA2089" w:rsidRDefault="00035E4E">
      <w:pPr>
        <w:spacing w:line="360" w:lineRule="auto"/>
        <w:ind w:firstLineChars="200" w:firstLine="560"/>
        <w:rPr>
          <w:sz w:val="28"/>
          <w:szCs w:val="28"/>
        </w:rPr>
      </w:pPr>
      <w:r>
        <w:rPr>
          <w:sz w:val="28"/>
          <w:szCs w:val="28"/>
        </w:rPr>
        <w:t>主要研究者应当按时向伦理委员会报告临床试验的进展，及时报告影响受试者权益和安全的事件或者对临床试验方案的偏离。</w:t>
      </w:r>
    </w:p>
    <w:p w:rsidR="00CA2089" w:rsidRDefault="00035E4E">
      <w:pPr>
        <w:spacing w:line="360" w:lineRule="auto"/>
        <w:ind w:firstLineChars="200" w:firstLine="560"/>
        <w:rPr>
          <w:sz w:val="28"/>
          <w:szCs w:val="28"/>
        </w:rPr>
      </w:pPr>
      <w:r>
        <w:rPr>
          <w:sz w:val="28"/>
          <w:szCs w:val="28"/>
        </w:rPr>
        <w:t>临床试验机构和研究者对申办者严重或者持续违反本规范和相关法律法规，或者要求改变试验数据、结论的行为，应当书面向申办者所在地省、自治区、直辖市药品监督管理部门报告。</w:t>
      </w:r>
    </w:p>
    <w:p w:rsidR="00CA2089" w:rsidRDefault="00035E4E">
      <w:pPr>
        <w:spacing w:line="360" w:lineRule="auto"/>
        <w:ind w:firstLineChars="200" w:firstLine="560"/>
        <w:rPr>
          <w:sz w:val="28"/>
          <w:szCs w:val="28"/>
        </w:rPr>
      </w:pPr>
      <w:r>
        <w:rPr>
          <w:sz w:val="28"/>
          <w:szCs w:val="28"/>
        </w:rPr>
        <w:t>协调研究者承担多中心临床试验中各中心的协调工作；申办者、协调研究者应当按照临床试验方案实施医疗器械临床试验，并完成临床试验报告。</w:t>
      </w:r>
    </w:p>
    <w:p w:rsidR="00CA2089" w:rsidRDefault="00035E4E">
      <w:pPr>
        <w:pStyle w:val="2"/>
        <w:spacing w:before="0" w:after="0" w:line="360" w:lineRule="auto"/>
        <w:rPr>
          <w:rFonts w:ascii="Times New Roman" w:eastAsia="宋体" w:hAnsi="Times New Roman" w:cs="Times New Roman"/>
          <w:b w:val="0"/>
          <w:bCs w:val="0"/>
          <w:sz w:val="28"/>
          <w:szCs w:val="28"/>
        </w:rPr>
      </w:pPr>
      <w:bookmarkStart w:id="147" w:name="_Toc134753843"/>
      <w:bookmarkStart w:id="148" w:name="_Toc477337081"/>
      <w:bookmarkStart w:id="149" w:name="_Toc471401150"/>
      <w:bookmarkStart w:id="150" w:name="_Toc1938"/>
      <w:bookmarkStart w:id="151" w:name="_Toc120720482"/>
      <w:bookmarkStart w:id="152" w:name="_Toc120720416"/>
      <w:bookmarkStart w:id="153" w:name="_Toc19987"/>
      <w:bookmarkStart w:id="154" w:name="_Toc132207411"/>
      <w:r>
        <w:rPr>
          <w:rFonts w:ascii="Times New Roman" w:eastAsia="宋体" w:hAnsi="Times New Roman" w:cs="Times New Roman"/>
          <w:b w:val="0"/>
          <w:bCs w:val="0"/>
          <w:sz w:val="28"/>
          <w:szCs w:val="28"/>
        </w:rPr>
        <w:t>（三）统计方职责</w:t>
      </w:r>
      <w:bookmarkEnd w:id="147"/>
      <w:bookmarkEnd w:id="148"/>
      <w:bookmarkEnd w:id="149"/>
      <w:bookmarkEnd w:id="150"/>
      <w:bookmarkEnd w:id="151"/>
      <w:bookmarkEnd w:id="152"/>
      <w:bookmarkEnd w:id="153"/>
      <w:bookmarkEnd w:id="154"/>
    </w:p>
    <w:p w:rsidR="00CA2089" w:rsidRDefault="00035E4E">
      <w:pPr>
        <w:spacing w:line="360" w:lineRule="auto"/>
        <w:ind w:firstLineChars="200" w:firstLine="560"/>
        <w:rPr>
          <w:sz w:val="28"/>
          <w:szCs w:val="28"/>
        </w:rPr>
      </w:pPr>
      <w:r>
        <w:rPr>
          <w:sz w:val="28"/>
          <w:szCs w:val="28"/>
        </w:rPr>
        <w:t>参与研究设计，进行样本量计算，完善临床试验方案的设计与修订。</w:t>
      </w:r>
    </w:p>
    <w:p w:rsidR="00CA2089" w:rsidRDefault="00035E4E">
      <w:pPr>
        <w:spacing w:line="360" w:lineRule="auto"/>
        <w:ind w:firstLineChars="200" w:firstLine="560"/>
        <w:rPr>
          <w:sz w:val="28"/>
          <w:szCs w:val="28"/>
        </w:rPr>
      </w:pPr>
      <w:r>
        <w:rPr>
          <w:sz w:val="28"/>
          <w:szCs w:val="28"/>
        </w:rPr>
        <w:t>遵照临床试验生物统计学指导原则和本临床试验方案，制定统计分析计划，并完成统计分析报告。</w:t>
      </w:r>
    </w:p>
    <w:p w:rsidR="00CA2089" w:rsidRDefault="00035E4E">
      <w:pPr>
        <w:spacing w:line="360" w:lineRule="auto"/>
        <w:ind w:firstLineChars="200" w:firstLine="560"/>
        <w:rPr>
          <w:sz w:val="28"/>
          <w:szCs w:val="28"/>
        </w:rPr>
      </w:pPr>
      <w:r>
        <w:rPr>
          <w:sz w:val="28"/>
          <w:szCs w:val="28"/>
        </w:rPr>
        <w:lastRenderedPageBreak/>
        <w:t>为本试验的数据管理及试验器械的注册申报提供必要的帮助。</w:t>
      </w:r>
    </w:p>
    <w:p w:rsidR="00CA2089" w:rsidRDefault="00035E4E">
      <w:pPr>
        <w:pStyle w:val="af0"/>
        <w:spacing w:line="360" w:lineRule="auto"/>
        <w:ind w:hangingChars="71"/>
        <w:outlineLvl w:val="0"/>
        <w:rPr>
          <w:rFonts w:ascii="Times New Roman" w:eastAsia="宋体" w:hAnsi="Times New Roman" w:cs="Times New Roman"/>
          <w:b/>
          <w:bCs/>
          <w:sz w:val="28"/>
          <w:szCs w:val="28"/>
        </w:rPr>
      </w:pPr>
      <w:bookmarkStart w:id="155" w:name="_Toc134753844"/>
      <w:bookmarkStart w:id="156" w:name="_Toc20502"/>
      <w:r>
        <w:rPr>
          <w:rFonts w:ascii="Times New Roman" w:eastAsia="宋体" w:hAnsi="Times New Roman" w:cs="Times New Roman"/>
          <w:b/>
          <w:bCs/>
          <w:sz w:val="28"/>
          <w:szCs w:val="28"/>
        </w:rPr>
        <w:t>十八、其他需要说明的内容</w:t>
      </w:r>
      <w:bookmarkEnd w:id="155"/>
      <w:bookmarkEnd w:id="156"/>
    </w:p>
    <w:p w:rsidR="00CA2089" w:rsidRDefault="00035E4E">
      <w:pPr>
        <w:keepNext/>
        <w:keepLines/>
        <w:spacing w:line="360" w:lineRule="auto"/>
        <w:jc w:val="left"/>
        <w:outlineLvl w:val="1"/>
        <w:rPr>
          <w:kern w:val="44"/>
          <w:sz w:val="28"/>
          <w:szCs w:val="28"/>
        </w:rPr>
      </w:pPr>
      <w:bookmarkStart w:id="157" w:name="_Toc120720418"/>
      <w:bookmarkStart w:id="158" w:name="_Toc477337074"/>
      <w:bookmarkStart w:id="159" w:name="_Toc5409"/>
      <w:bookmarkStart w:id="160" w:name="_Toc471401143"/>
      <w:bookmarkStart w:id="161" w:name="_Toc134753845"/>
      <w:bookmarkStart w:id="162" w:name="_Toc9460"/>
      <w:bookmarkStart w:id="163" w:name="_Toc120720484"/>
      <w:bookmarkStart w:id="164" w:name="_Toc132207413"/>
      <w:r>
        <w:rPr>
          <w:kern w:val="44"/>
          <w:sz w:val="28"/>
          <w:szCs w:val="28"/>
        </w:rPr>
        <w:t>（一）财务和保险</w:t>
      </w:r>
      <w:bookmarkEnd w:id="157"/>
      <w:bookmarkEnd w:id="158"/>
      <w:bookmarkEnd w:id="159"/>
      <w:bookmarkEnd w:id="160"/>
      <w:bookmarkEnd w:id="161"/>
      <w:bookmarkEnd w:id="162"/>
      <w:bookmarkEnd w:id="163"/>
      <w:bookmarkEnd w:id="164"/>
    </w:p>
    <w:p w:rsidR="00CA2089" w:rsidRDefault="00035E4E">
      <w:pPr>
        <w:spacing w:line="360" w:lineRule="auto"/>
        <w:ind w:firstLineChars="200" w:firstLine="560"/>
        <w:rPr>
          <w:sz w:val="28"/>
          <w:szCs w:val="28"/>
        </w:rPr>
      </w:pPr>
      <w:r>
        <w:rPr>
          <w:sz w:val="28"/>
          <w:szCs w:val="28"/>
        </w:rPr>
        <w:t>申办者提供本临床试验的财务支持，承担临床试验费，包括受试者检查费、临床观察费、管理费、流转税及处理不良事件的费用等。</w:t>
      </w:r>
    </w:p>
    <w:p w:rsidR="00CA2089" w:rsidRDefault="00035E4E">
      <w:pPr>
        <w:spacing w:line="360" w:lineRule="auto"/>
        <w:ind w:firstLineChars="200" w:firstLine="560"/>
        <w:rPr>
          <w:sz w:val="28"/>
          <w:szCs w:val="28"/>
        </w:rPr>
      </w:pPr>
      <w:r>
        <w:rPr>
          <w:sz w:val="28"/>
          <w:szCs w:val="28"/>
        </w:rPr>
        <w:t>申办者和试验机构将在试验开始前签订试验相关协议，财务支持的内容以协议写明的为准。</w:t>
      </w:r>
    </w:p>
    <w:p w:rsidR="00CA2089" w:rsidRDefault="00035E4E">
      <w:pPr>
        <w:keepNext/>
        <w:keepLines/>
        <w:spacing w:line="360" w:lineRule="auto"/>
        <w:jc w:val="left"/>
        <w:outlineLvl w:val="1"/>
        <w:rPr>
          <w:kern w:val="44"/>
          <w:sz w:val="28"/>
          <w:szCs w:val="28"/>
        </w:rPr>
      </w:pPr>
      <w:bookmarkStart w:id="165" w:name="_Toc120720419"/>
      <w:bookmarkStart w:id="166" w:name="_Toc5360"/>
      <w:bookmarkStart w:id="167" w:name="_Toc134753846"/>
      <w:bookmarkStart w:id="168" w:name="_Toc120720485"/>
      <w:bookmarkStart w:id="169" w:name="_Toc26990"/>
      <w:bookmarkStart w:id="170" w:name="_Toc132207414"/>
      <w:r>
        <w:rPr>
          <w:kern w:val="44"/>
          <w:sz w:val="28"/>
          <w:szCs w:val="28"/>
        </w:rPr>
        <w:t>（二）试验结果发表约定</w:t>
      </w:r>
      <w:bookmarkEnd w:id="165"/>
      <w:bookmarkEnd w:id="166"/>
      <w:bookmarkEnd w:id="167"/>
      <w:bookmarkEnd w:id="168"/>
      <w:bookmarkEnd w:id="169"/>
      <w:bookmarkEnd w:id="170"/>
    </w:p>
    <w:p w:rsidR="00CA2089" w:rsidRDefault="00035E4E">
      <w:pPr>
        <w:spacing w:line="360" w:lineRule="auto"/>
        <w:ind w:firstLineChars="200" w:firstLine="560"/>
        <w:rPr>
          <w:sz w:val="28"/>
          <w:szCs w:val="28"/>
        </w:rPr>
      </w:pPr>
      <w:r>
        <w:rPr>
          <w:sz w:val="28"/>
          <w:szCs w:val="28"/>
        </w:rPr>
        <w:t>本试验的所有研究成果归申办者所有，申办者有权发表或出版与本试验相关的信息或数据，或将之呈报给相关管理部门。</w:t>
      </w:r>
    </w:p>
    <w:p w:rsidR="00CA2089" w:rsidRDefault="00035E4E">
      <w:pPr>
        <w:spacing w:line="360" w:lineRule="auto"/>
        <w:ind w:firstLineChars="200" w:firstLine="560"/>
        <w:rPr>
          <w:sz w:val="28"/>
          <w:szCs w:val="28"/>
        </w:rPr>
      </w:pPr>
      <w:r>
        <w:rPr>
          <w:sz w:val="28"/>
          <w:szCs w:val="28"/>
        </w:rPr>
        <w:t>研究者在征得申办者同意后可以参加学术活动、发表论文，排名顺序：组长单位为第一作者及通讯作者；参与单位按完成例数排序。</w:t>
      </w:r>
    </w:p>
    <w:p w:rsidR="00CA2089" w:rsidRDefault="00035E4E">
      <w:pPr>
        <w:spacing w:line="360" w:lineRule="auto"/>
        <w:ind w:firstLineChars="200" w:firstLine="560"/>
        <w:rPr>
          <w:sz w:val="28"/>
          <w:szCs w:val="28"/>
        </w:rPr>
      </w:pPr>
      <w:r>
        <w:rPr>
          <w:sz w:val="28"/>
          <w:szCs w:val="28"/>
        </w:rPr>
        <w:t>与本试验相关的其它个人或单位若希望发表或出版试验结果或相关数据，需事先征得申办者书面同意。</w:t>
      </w:r>
    </w:p>
    <w:p w:rsidR="00CA2089" w:rsidRDefault="00CA2089">
      <w:pPr>
        <w:spacing w:line="360" w:lineRule="auto"/>
        <w:ind w:firstLineChars="200" w:firstLine="560"/>
        <w:rPr>
          <w:sz w:val="28"/>
          <w:szCs w:val="28"/>
        </w:rPr>
        <w:sectPr w:rsidR="00CA2089">
          <w:pgSz w:w="11906" w:h="16838"/>
          <w:pgMar w:top="1928" w:right="1531" w:bottom="1814" w:left="1531" w:header="1077" w:footer="1361" w:gutter="0"/>
          <w:pgNumType w:start="1"/>
          <w:cols w:space="720"/>
          <w:docGrid w:type="lines" w:linePitch="312"/>
        </w:sectPr>
      </w:pPr>
    </w:p>
    <w:p w:rsidR="00CA2089" w:rsidRDefault="00035E4E">
      <w:pPr>
        <w:pStyle w:val="af0"/>
        <w:spacing w:line="360" w:lineRule="auto"/>
        <w:ind w:left="0" w:firstLineChars="0" w:firstLine="0"/>
        <w:outlineLvl w:val="0"/>
        <w:rPr>
          <w:rFonts w:ascii="Times New Roman" w:eastAsia="宋体" w:hAnsi="Times New Roman" w:cs="Times New Roman"/>
          <w:b/>
          <w:bCs/>
          <w:sz w:val="28"/>
          <w:szCs w:val="28"/>
        </w:rPr>
      </w:pPr>
      <w:bookmarkStart w:id="171" w:name="_Toc134753847"/>
      <w:bookmarkStart w:id="172" w:name="_Toc17581"/>
      <w:r>
        <w:rPr>
          <w:rFonts w:ascii="Times New Roman" w:eastAsia="宋体" w:hAnsi="Times New Roman" w:cs="Times New Roman"/>
          <w:b/>
          <w:bCs/>
          <w:sz w:val="28"/>
          <w:szCs w:val="28"/>
        </w:rPr>
        <w:lastRenderedPageBreak/>
        <w:t>十九、参考文献</w:t>
      </w:r>
      <w:bookmarkEnd w:id="171"/>
      <w:bookmarkEnd w:id="172"/>
    </w:p>
    <w:p w:rsidR="00CA2089" w:rsidRDefault="00035E4E">
      <w:pPr>
        <w:widowControl/>
        <w:rPr>
          <w:szCs w:val="21"/>
        </w:rPr>
      </w:pPr>
      <w:bookmarkStart w:id="173" w:name="_Toc134753848"/>
      <w:r>
        <w:rPr>
          <w:szCs w:val="21"/>
        </w:rPr>
        <w:t xml:space="preserve">[1] </w:t>
      </w:r>
      <w:r>
        <w:rPr>
          <w:szCs w:val="21"/>
        </w:rPr>
        <w:t>冠状动脉钙化病变诊治中国专家共识（</w:t>
      </w:r>
      <w:r>
        <w:rPr>
          <w:szCs w:val="21"/>
        </w:rPr>
        <w:t>2021</w:t>
      </w:r>
      <w:r>
        <w:rPr>
          <w:szCs w:val="21"/>
        </w:rPr>
        <w:t>版）</w:t>
      </w:r>
      <w:r>
        <w:rPr>
          <w:szCs w:val="21"/>
        </w:rPr>
        <w:t>[J].</w:t>
      </w:r>
      <w:r>
        <w:rPr>
          <w:szCs w:val="21"/>
        </w:rPr>
        <w:t>中国介入心脏病学杂志</w:t>
      </w:r>
      <w:r>
        <w:rPr>
          <w:szCs w:val="21"/>
        </w:rPr>
        <w:t>,2021,29</w:t>
      </w:r>
      <w:r>
        <w:rPr>
          <w:szCs w:val="21"/>
          <w:lang w:eastAsia="zh-Hans"/>
        </w:rPr>
        <w:t>:5.</w:t>
      </w:r>
    </w:p>
    <w:p w:rsidR="00CA2089" w:rsidRDefault="00035E4E">
      <w:pPr>
        <w:widowControl/>
        <w:rPr>
          <w:szCs w:val="21"/>
        </w:rPr>
      </w:pPr>
      <w:r>
        <w:rPr>
          <w:szCs w:val="21"/>
        </w:rPr>
        <w:t>[2] Forero MNT</w:t>
      </w:r>
      <w:r>
        <w:rPr>
          <w:szCs w:val="21"/>
        </w:rPr>
        <w:t>，</w:t>
      </w:r>
      <w:r>
        <w:rPr>
          <w:szCs w:val="21"/>
        </w:rPr>
        <w:t xml:space="preserve"> Daemen J. The coronary intravascular lithotripsy system. Interv Cardiol,2019</w:t>
      </w:r>
      <w:r>
        <w:rPr>
          <w:szCs w:val="21"/>
        </w:rPr>
        <w:t>，</w:t>
      </w:r>
      <w:r>
        <w:rPr>
          <w:szCs w:val="21"/>
        </w:rPr>
        <w:t xml:space="preserve">14 </w:t>
      </w:r>
      <w:r>
        <w:rPr>
          <w:szCs w:val="21"/>
        </w:rPr>
        <w:t>（</w:t>
      </w:r>
      <w:r>
        <w:rPr>
          <w:szCs w:val="21"/>
        </w:rPr>
        <w:t xml:space="preserve"> 3 </w:t>
      </w:r>
      <w:r>
        <w:rPr>
          <w:szCs w:val="21"/>
        </w:rPr>
        <w:t>）</w:t>
      </w:r>
      <w:r>
        <w:rPr>
          <w:szCs w:val="21"/>
        </w:rPr>
        <w:t xml:space="preserve"> : 174-181.</w:t>
      </w:r>
    </w:p>
    <w:p w:rsidR="00CA2089" w:rsidRDefault="00035E4E">
      <w:pPr>
        <w:widowControl/>
        <w:rPr>
          <w:szCs w:val="21"/>
        </w:rPr>
      </w:pPr>
      <w:r>
        <w:rPr>
          <w:szCs w:val="21"/>
        </w:rPr>
        <w:t>[3] Wong B</w:t>
      </w:r>
      <w:r>
        <w:rPr>
          <w:szCs w:val="21"/>
        </w:rPr>
        <w:t>，</w:t>
      </w:r>
      <w:r>
        <w:rPr>
          <w:szCs w:val="21"/>
        </w:rPr>
        <w:t xml:space="preserve"> El-Jack S</w:t>
      </w:r>
      <w:r>
        <w:rPr>
          <w:szCs w:val="21"/>
        </w:rPr>
        <w:t>，</w:t>
      </w:r>
      <w:r>
        <w:rPr>
          <w:szCs w:val="21"/>
        </w:rPr>
        <w:t xml:space="preserve"> Newcombe R, et al. Shockwaveintravascular lithotripsy for calcified coronary lesions: first realworld experience. J Invasive Cardiol, 2019</w:t>
      </w:r>
      <w:r>
        <w:rPr>
          <w:szCs w:val="21"/>
        </w:rPr>
        <w:t>，</w:t>
      </w:r>
      <w:r>
        <w:rPr>
          <w:szCs w:val="21"/>
        </w:rPr>
        <w:t xml:space="preserve"> 31 </w:t>
      </w:r>
      <w:r>
        <w:rPr>
          <w:szCs w:val="21"/>
        </w:rPr>
        <w:t>（</w:t>
      </w:r>
      <w:r>
        <w:rPr>
          <w:szCs w:val="21"/>
        </w:rPr>
        <w:t xml:space="preserve"> 3 </w:t>
      </w:r>
      <w:r>
        <w:rPr>
          <w:szCs w:val="21"/>
        </w:rPr>
        <w:t>）</w:t>
      </w:r>
      <w:r>
        <w:rPr>
          <w:szCs w:val="21"/>
        </w:rPr>
        <w:t xml:space="preserve"> : 46-48.</w:t>
      </w:r>
    </w:p>
    <w:p w:rsidR="00CA2089" w:rsidRDefault="00035E4E">
      <w:pPr>
        <w:widowControl/>
        <w:rPr>
          <w:szCs w:val="21"/>
        </w:rPr>
      </w:pPr>
      <w:r>
        <w:rPr>
          <w:szCs w:val="21"/>
        </w:rPr>
        <w:t>[4] Wong B, El-Jack S</w:t>
      </w:r>
      <w:r>
        <w:rPr>
          <w:szCs w:val="21"/>
        </w:rPr>
        <w:t>，</w:t>
      </w:r>
      <w:r>
        <w:rPr>
          <w:szCs w:val="21"/>
        </w:rPr>
        <w:t xml:space="preserve"> Newcombe R, et al. Shockwaveintravascular lithotripsy of calcified coronary lesions in STelevation myocardial infarction: first-in-man experience. ]Cardiol, 2019</w:t>
      </w:r>
      <w:r>
        <w:rPr>
          <w:szCs w:val="21"/>
        </w:rPr>
        <w:t>，</w:t>
      </w:r>
      <w:r>
        <w:rPr>
          <w:szCs w:val="21"/>
        </w:rPr>
        <w:t>31 .</w:t>
      </w:r>
    </w:p>
    <w:p w:rsidR="00CA2089" w:rsidRDefault="00035E4E">
      <w:pPr>
        <w:widowControl/>
        <w:rPr>
          <w:szCs w:val="21"/>
        </w:rPr>
      </w:pPr>
      <w:r>
        <w:rPr>
          <w:szCs w:val="21"/>
        </w:rPr>
        <w:t>[5] E73-E75.Brinton</w:t>
      </w:r>
      <w:r>
        <w:rPr>
          <w:szCs w:val="21"/>
        </w:rPr>
        <w:t>，</w:t>
      </w:r>
      <w:r>
        <w:rPr>
          <w:szCs w:val="21"/>
        </w:rPr>
        <w:t>TJ</w:t>
      </w:r>
      <w:r>
        <w:rPr>
          <w:szCs w:val="21"/>
        </w:rPr>
        <w:t>，</w:t>
      </w:r>
      <w:r>
        <w:rPr>
          <w:szCs w:val="21"/>
        </w:rPr>
        <w:t>Ali ZA , Hill J, et al. Feasibility of hockwavecoronary intravascular lithotripsy for the treatment of calcifiedcoronary stenoses. Circulation, 2019</w:t>
      </w:r>
      <w:r>
        <w:rPr>
          <w:szCs w:val="21"/>
        </w:rPr>
        <w:t>，</w:t>
      </w:r>
      <w:r>
        <w:rPr>
          <w:szCs w:val="21"/>
        </w:rPr>
        <w:t xml:space="preserve">139 </w:t>
      </w:r>
      <w:r>
        <w:rPr>
          <w:szCs w:val="21"/>
        </w:rPr>
        <w:t>（</w:t>
      </w:r>
      <w:r>
        <w:rPr>
          <w:szCs w:val="21"/>
        </w:rPr>
        <w:t xml:space="preserve"> 6 </w:t>
      </w:r>
      <w:r>
        <w:rPr>
          <w:szCs w:val="21"/>
        </w:rPr>
        <w:t>）</w:t>
      </w:r>
      <w:r>
        <w:rPr>
          <w:szCs w:val="21"/>
        </w:rPr>
        <w:t xml:space="preserve"> : 834-836.</w:t>
      </w:r>
    </w:p>
    <w:p w:rsidR="00CA2089" w:rsidRDefault="00035E4E">
      <w:pPr>
        <w:pStyle w:val="05220"/>
        <w:rPr>
          <w:rFonts w:eastAsia="宋体" w:cs="Times New Roman"/>
          <w:szCs w:val="21"/>
        </w:rPr>
      </w:pPr>
      <w:r>
        <w:rPr>
          <w:rFonts w:eastAsia="宋体" w:cs="Times New Roman"/>
          <w:szCs w:val="21"/>
        </w:rPr>
        <w:t>[6] Ali ZA, Brinton TJ, Hill JM, et al. Optical coherencetomography characterization of coronary lithoplasty for treatmentof calcified lesions: first description. JACC CardiovascImaging</w:t>
      </w:r>
      <w:r>
        <w:rPr>
          <w:rFonts w:eastAsia="宋体" w:cs="Times New Roman"/>
          <w:szCs w:val="21"/>
        </w:rPr>
        <w:t>，</w:t>
      </w:r>
      <w:r>
        <w:rPr>
          <w:rFonts w:eastAsia="宋体" w:cs="Times New Roman"/>
          <w:szCs w:val="21"/>
        </w:rPr>
        <w:t>2017</w:t>
      </w:r>
      <w:r>
        <w:rPr>
          <w:rFonts w:eastAsia="宋体" w:cs="Times New Roman"/>
          <w:szCs w:val="21"/>
        </w:rPr>
        <w:t>，</w:t>
      </w:r>
      <w:r>
        <w:rPr>
          <w:rFonts w:eastAsia="宋体" w:cs="Times New Roman"/>
          <w:szCs w:val="21"/>
        </w:rPr>
        <w:t xml:space="preserve">10 </w:t>
      </w:r>
      <w:r>
        <w:rPr>
          <w:rFonts w:eastAsia="宋体" w:cs="Times New Roman"/>
          <w:szCs w:val="21"/>
        </w:rPr>
        <w:t>（</w:t>
      </w:r>
      <w:r>
        <w:rPr>
          <w:rFonts w:eastAsia="宋体" w:cs="Times New Roman"/>
          <w:szCs w:val="21"/>
        </w:rPr>
        <w:t xml:space="preserve"> 8 </w:t>
      </w:r>
      <w:r>
        <w:rPr>
          <w:rFonts w:eastAsia="宋体" w:cs="Times New Roman"/>
          <w:szCs w:val="21"/>
        </w:rPr>
        <w:t>）</w:t>
      </w:r>
      <w:r>
        <w:rPr>
          <w:rFonts w:eastAsia="宋体" w:cs="Times New Roman"/>
          <w:szCs w:val="21"/>
        </w:rPr>
        <w:t xml:space="preserve"> : 897-906.</w:t>
      </w:r>
    </w:p>
    <w:p w:rsidR="00CA2089" w:rsidRDefault="00035E4E">
      <w:pPr>
        <w:pStyle w:val="05220"/>
        <w:rPr>
          <w:rFonts w:eastAsia="宋体" w:cs="Times New Roman"/>
          <w:szCs w:val="21"/>
        </w:rPr>
      </w:pPr>
      <w:r>
        <w:rPr>
          <w:rFonts w:eastAsia="宋体" w:cs="Times New Roman"/>
          <w:szCs w:val="21"/>
        </w:rPr>
        <w:t>[7] Ali ZA</w:t>
      </w:r>
      <w:r>
        <w:rPr>
          <w:rFonts w:eastAsia="宋体" w:cs="Times New Roman"/>
          <w:szCs w:val="21"/>
        </w:rPr>
        <w:t>，</w:t>
      </w:r>
      <w:r>
        <w:rPr>
          <w:rFonts w:eastAsia="宋体" w:cs="Times New Roman"/>
          <w:szCs w:val="21"/>
        </w:rPr>
        <w:t>Nef H</w:t>
      </w:r>
      <w:r>
        <w:rPr>
          <w:rFonts w:eastAsia="宋体" w:cs="Times New Roman"/>
          <w:szCs w:val="21"/>
        </w:rPr>
        <w:t>，</w:t>
      </w:r>
      <w:r>
        <w:rPr>
          <w:rFonts w:eastAsia="宋体" w:cs="Times New Roman"/>
          <w:szCs w:val="21"/>
        </w:rPr>
        <w:t xml:space="preserve">Escaned J, et al. Safety and effectivenessof coronary intravascular lithotripsy for treatment of severelycalcified coronary stenoses: the disrupt CAD II study. CircCardiovasc Interv, 2019, 12 </w:t>
      </w:r>
      <w:r>
        <w:rPr>
          <w:rFonts w:eastAsia="宋体" w:cs="Times New Roman"/>
          <w:szCs w:val="21"/>
        </w:rPr>
        <w:t>（</w:t>
      </w:r>
      <w:r>
        <w:rPr>
          <w:rFonts w:eastAsia="宋体" w:cs="Times New Roman"/>
          <w:szCs w:val="21"/>
        </w:rPr>
        <w:t xml:space="preserve"> 10 </w:t>
      </w:r>
      <w:r>
        <w:rPr>
          <w:rFonts w:eastAsia="宋体" w:cs="Times New Roman"/>
          <w:szCs w:val="21"/>
        </w:rPr>
        <w:t>）</w:t>
      </w:r>
      <w:r>
        <w:rPr>
          <w:rFonts w:eastAsia="宋体" w:cs="Times New Roman"/>
          <w:szCs w:val="21"/>
        </w:rPr>
        <w:t xml:space="preserve"> : e008434.</w:t>
      </w:r>
    </w:p>
    <w:p w:rsidR="00CA2089" w:rsidRDefault="00035E4E">
      <w:pPr>
        <w:pStyle w:val="05220"/>
        <w:widowControl/>
        <w:rPr>
          <w:rFonts w:eastAsia="宋体" w:cs="Times New Roman"/>
          <w:szCs w:val="21"/>
        </w:rPr>
      </w:pPr>
      <w:r>
        <w:rPr>
          <w:rFonts w:eastAsia="宋体" w:cs="Times New Roman"/>
          <w:szCs w:val="21"/>
        </w:rPr>
        <w:t xml:space="preserve">[8] Jurado-Roman </w:t>
      </w:r>
      <w:proofErr w:type="gramStart"/>
      <w:r>
        <w:rPr>
          <w:rFonts w:eastAsia="宋体" w:cs="Times New Roman"/>
          <w:szCs w:val="21"/>
        </w:rPr>
        <w:t>A,Gonzalvez</w:t>
      </w:r>
      <w:proofErr w:type="gramEnd"/>
      <w:r>
        <w:rPr>
          <w:rFonts w:eastAsia="宋体" w:cs="Times New Roman"/>
          <w:szCs w:val="21"/>
        </w:rPr>
        <w:t xml:space="preserve"> A, Galeote G, et alRotaTripsy:combination of rotational atherectomy and intravascular lithotripsyfor the treatment of severely calcified lesions. JACC CardiovascInterv</w:t>
      </w:r>
      <w:r>
        <w:rPr>
          <w:rFonts w:eastAsia="宋体" w:cs="Times New Roman"/>
          <w:szCs w:val="21"/>
        </w:rPr>
        <w:t>，</w:t>
      </w:r>
      <w:r>
        <w:rPr>
          <w:rFonts w:eastAsia="宋体" w:cs="Times New Roman"/>
          <w:szCs w:val="21"/>
        </w:rPr>
        <w:t xml:space="preserve"> 2019</w:t>
      </w:r>
      <w:r>
        <w:rPr>
          <w:rFonts w:eastAsia="宋体" w:cs="Times New Roman"/>
          <w:szCs w:val="21"/>
        </w:rPr>
        <w:t>，</w:t>
      </w:r>
      <w:r>
        <w:rPr>
          <w:rFonts w:eastAsia="宋体" w:cs="Times New Roman"/>
          <w:szCs w:val="21"/>
        </w:rPr>
        <w:t xml:space="preserve">12 </w:t>
      </w:r>
      <w:r>
        <w:rPr>
          <w:rFonts w:eastAsia="宋体" w:cs="Times New Roman"/>
          <w:szCs w:val="21"/>
        </w:rPr>
        <w:t>（</w:t>
      </w:r>
      <w:r>
        <w:rPr>
          <w:rFonts w:eastAsia="宋体" w:cs="Times New Roman"/>
          <w:szCs w:val="21"/>
        </w:rPr>
        <w:t xml:space="preserve"> 15 </w:t>
      </w:r>
      <w:r>
        <w:rPr>
          <w:rFonts w:eastAsia="宋体" w:cs="Times New Roman"/>
          <w:szCs w:val="21"/>
        </w:rPr>
        <w:t>）</w:t>
      </w:r>
      <w:r>
        <w:rPr>
          <w:rFonts w:eastAsia="宋体" w:cs="Times New Roman"/>
          <w:szCs w:val="21"/>
        </w:rPr>
        <w:t xml:space="preserve"> : el27-e129.</w:t>
      </w:r>
    </w:p>
    <w:p w:rsidR="00CA2089" w:rsidRDefault="00035E4E">
      <w:pPr>
        <w:pStyle w:val="05220"/>
        <w:rPr>
          <w:rFonts w:eastAsia="宋体" w:cs="Times New Roman"/>
          <w:szCs w:val="21"/>
        </w:rPr>
      </w:pPr>
      <w:r>
        <w:rPr>
          <w:rFonts w:eastAsia="宋体" w:cs="Times New Roman"/>
          <w:szCs w:val="21"/>
        </w:rPr>
        <w:t xml:space="preserve">[9] Chambers JW, Feldman RL, Himmelstein SI, Bhatheja R, Villa AE, Strickman NE, Shlofmitz RA, Dulas DD, Arab D, Khanna PK, Lee AC, Ghali MG, Shah RR, Davis TP, Kim CY, Tai Z, Patel KC, Puma JA, Makam P, Bertolet BD, Nseir GY. Pivotal trial to evaluate the safety and efficacy of the orbital atherectomy system in treating de novo, severely calcified coronary lesions </w:t>
      </w:r>
      <w:r>
        <w:rPr>
          <w:rFonts w:eastAsia="宋体" w:cs="Times New Roman"/>
          <w:szCs w:val="21"/>
        </w:rPr>
        <w:t>（</w:t>
      </w:r>
      <w:r>
        <w:rPr>
          <w:rFonts w:eastAsia="宋体" w:cs="Times New Roman"/>
          <w:szCs w:val="21"/>
        </w:rPr>
        <w:t>ORBIT II</w:t>
      </w:r>
      <w:r>
        <w:rPr>
          <w:rFonts w:eastAsia="宋体" w:cs="Times New Roman"/>
          <w:szCs w:val="21"/>
        </w:rPr>
        <w:t>）</w:t>
      </w:r>
      <w:r>
        <w:rPr>
          <w:rFonts w:eastAsia="宋体" w:cs="Times New Roman"/>
          <w:szCs w:val="21"/>
        </w:rPr>
        <w:t>. JACC Cardiovasc Interv. 2014 May;7</w:t>
      </w:r>
      <w:r>
        <w:rPr>
          <w:rFonts w:eastAsia="宋体" w:cs="Times New Roman"/>
          <w:szCs w:val="21"/>
        </w:rPr>
        <w:t>（</w:t>
      </w:r>
      <w:r>
        <w:rPr>
          <w:rFonts w:eastAsia="宋体" w:cs="Times New Roman"/>
          <w:szCs w:val="21"/>
        </w:rPr>
        <w:t>5</w:t>
      </w:r>
      <w:r>
        <w:rPr>
          <w:rFonts w:eastAsia="宋体" w:cs="Times New Roman"/>
          <w:szCs w:val="21"/>
        </w:rPr>
        <w:t>）</w:t>
      </w:r>
      <w:r>
        <w:rPr>
          <w:rFonts w:eastAsia="宋体" w:cs="Times New Roman"/>
          <w:szCs w:val="21"/>
        </w:rPr>
        <w:t xml:space="preserve">:510-8. </w:t>
      </w:r>
    </w:p>
    <w:p w:rsidR="00CA2089" w:rsidRDefault="00035E4E">
      <w:pPr>
        <w:pStyle w:val="05220"/>
        <w:rPr>
          <w:rFonts w:eastAsia="宋体" w:cs="Times New Roman"/>
          <w:szCs w:val="21"/>
        </w:rPr>
      </w:pPr>
      <w:r>
        <w:rPr>
          <w:rFonts w:eastAsia="宋体" w:cs="Times New Roman"/>
          <w:szCs w:val="21"/>
        </w:rPr>
        <w:t>[10] Kereiakes DJ, Di Mario C, Riley RF, Fajadet J, Shlofmitz RA, Saito S, Ali ZA, Klein AJ, Price MJ, Hill JM, Stone GW. Intravascular Lithotripsy for Treatment of Calcified Coronary Lesions: Patient-Level Pooled Analysis of the Disrupt CAD Studies. JACC Cardiovasc Interv. 2021 Jun 28;14</w:t>
      </w:r>
      <w:r>
        <w:rPr>
          <w:rFonts w:eastAsia="宋体" w:cs="Times New Roman"/>
          <w:szCs w:val="21"/>
        </w:rPr>
        <w:t>（</w:t>
      </w:r>
      <w:r>
        <w:rPr>
          <w:rFonts w:eastAsia="宋体" w:cs="Times New Roman"/>
          <w:szCs w:val="21"/>
        </w:rPr>
        <w:t>12</w:t>
      </w:r>
      <w:r>
        <w:rPr>
          <w:rFonts w:eastAsia="宋体" w:cs="Times New Roman"/>
          <w:szCs w:val="21"/>
        </w:rPr>
        <w:t>）</w:t>
      </w:r>
      <w:r>
        <w:rPr>
          <w:rFonts w:eastAsia="宋体" w:cs="Times New Roman"/>
          <w:szCs w:val="21"/>
        </w:rPr>
        <w:t xml:space="preserve">:1337-1348. </w:t>
      </w:r>
    </w:p>
    <w:p w:rsidR="00CA2089" w:rsidRDefault="00035E4E">
      <w:pPr>
        <w:pStyle w:val="05220"/>
        <w:rPr>
          <w:rFonts w:eastAsia="宋体" w:cs="Times New Roman"/>
          <w:szCs w:val="21"/>
        </w:rPr>
      </w:pPr>
      <w:r>
        <w:rPr>
          <w:rFonts w:eastAsia="宋体" w:cs="Times New Roman"/>
          <w:szCs w:val="21"/>
        </w:rPr>
        <w:t>[11] Brinton TJ, Ali ZA, Hill JM, Meredith IT, Maehara A, Illindala U, Lansky A, Götberg M, Van Mieghem NM, Whitbourn R, Fajadet J, Di Mario C. Feasibility of Shockwave Coronary Intravascular Lithotripsy for the Treatment of Calcified Coronary Stenoses. Circulation. 2019 Feb 5;139</w:t>
      </w:r>
      <w:r>
        <w:rPr>
          <w:rFonts w:eastAsia="宋体" w:cs="Times New Roman"/>
          <w:szCs w:val="21"/>
        </w:rPr>
        <w:t>（</w:t>
      </w:r>
      <w:r>
        <w:rPr>
          <w:rFonts w:eastAsia="宋体" w:cs="Times New Roman"/>
          <w:szCs w:val="21"/>
        </w:rPr>
        <w:t>6</w:t>
      </w:r>
      <w:r>
        <w:rPr>
          <w:rFonts w:eastAsia="宋体" w:cs="Times New Roman"/>
          <w:szCs w:val="21"/>
        </w:rPr>
        <w:t>）</w:t>
      </w:r>
      <w:r>
        <w:rPr>
          <w:rFonts w:eastAsia="宋体" w:cs="Times New Roman"/>
          <w:szCs w:val="21"/>
        </w:rPr>
        <w:t xml:space="preserve">:834-836. </w:t>
      </w:r>
    </w:p>
    <w:p w:rsidR="00CA2089" w:rsidRDefault="00035E4E">
      <w:pPr>
        <w:pStyle w:val="05220"/>
        <w:rPr>
          <w:rFonts w:eastAsia="宋体" w:cs="Times New Roman"/>
          <w:szCs w:val="21"/>
        </w:rPr>
      </w:pPr>
      <w:r>
        <w:rPr>
          <w:rFonts w:eastAsia="宋体" w:cs="Times New Roman"/>
          <w:szCs w:val="21"/>
        </w:rPr>
        <w:t>[12] Saito S, Yamazaki S, Takahashi A, Namiki A, Kawasaki T, Otsuji S, Nakamura S, Shibata Y; Disrupt CAD IV Investigators. Intravascular Lithotripsy for Vessel Preparation in Severely Calcified Coronary Arteries Prior to Stent Placement</w:t>
      </w:r>
      <w:r>
        <w:rPr>
          <w:rFonts w:eastAsia="宋体" w:cs="Times New Roman"/>
          <w:szCs w:val="21"/>
        </w:rPr>
        <w:t xml:space="preserve">　</w:t>
      </w:r>
      <w:r>
        <w:rPr>
          <w:rFonts w:eastAsia="宋体" w:cs="Times New Roman"/>
          <w:szCs w:val="21"/>
        </w:rPr>
        <w:t>- Primary Outcomes From the Japanese Disrupt CAD IV Study. Circ J. 2021 May 25;85</w:t>
      </w:r>
      <w:r>
        <w:rPr>
          <w:rFonts w:eastAsia="宋体" w:cs="Times New Roman"/>
          <w:szCs w:val="21"/>
        </w:rPr>
        <w:t>（</w:t>
      </w:r>
      <w:r>
        <w:rPr>
          <w:rFonts w:eastAsia="宋体" w:cs="Times New Roman"/>
          <w:szCs w:val="21"/>
        </w:rPr>
        <w:t>6</w:t>
      </w:r>
      <w:r>
        <w:rPr>
          <w:rFonts w:eastAsia="宋体" w:cs="Times New Roman"/>
          <w:szCs w:val="21"/>
        </w:rPr>
        <w:t>）</w:t>
      </w:r>
      <w:r>
        <w:rPr>
          <w:rFonts w:eastAsia="宋体" w:cs="Times New Roman"/>
          <w:szCs w:val="21"/>
        </w:rPr>
        <w:t>:826-833. doi: 10.1253/</w:t>
      </w:r>
      <w:proofErr w:type="gramStart"/>
      <w:r>
        <w:rPr>
          <w:rFonts w:eastAsia="宋体" w:cs="Times New Roman"/>
          <w:szCs w:val="21"/>
        </w:rPr>
        <w:t>circj.CJ</w:t>
      </w:r>
      <w:proofErr w:type="gramEnd"/>
      <w:r>
        <w:rPr>
          <w:rFonts w:eastAsia="宋体" w:cs="Times New Roman"/>
          <w:szCs w:val="21"/>
        </w:rPr>
        <w:t>-20-1174. Epub 2021 Feb 5. PMID: 33551398.</w:t>
      </w:r>
    </w:p>
    <w:p w:rsidR="00CA2089" w:rsidRDefault="00035E4E">
      <w:pPr>
        <w:pStyle w:val="05220"/>
        <w:rPr>
          <w:rFonts w:eastAsia="宋体" w:cs="Times New Roman"/>
          <w:szCs w:val="21"/>
        </w:rPr>
      </w:pPr>
      <w:r>
        <w:rPr>
          <w:rFonts w:eastAsia="宋体" w:cs="Times New Roman"/>
          <w:szCs w:val="21"/>
        </w:rPr>
        <w:t>[13]</w:t>
      </w:r>
      <w:r>
        <w:rPr>
          <w:rFonts w:cs="Times New Roman"/>
        </w:rPr>
        <w:t xml:space="preserve"> </w:t>
      </w:r>
      <w:r>
        <w:rPr>
          <w:rFonts w:eastAsia="宋体" w:cs="Times New Roman"/>
          <w:szCs w:val="21"/>
        </w:rPr>
        <w:t>Hill JM, Kereiakes DJ, Shlofmitz RA, Klein AJ, Riley RF, Price MJ, Herrmann HC, Bachinsky W, Waksman R, Stone GW; Disrupt CAD III Investigators. Intravascular Lithotripsy for Treatment of Severely Calcified Coronary Artery Disease. J Am Coll Cardiol. 2020 Dec 1;76</w:t>
      </w:r>
      <w:r>
        <w:rPr>
          <w:rFonts w:eastAsia="宋体" w:cs="Times New Roman"/>
          <w:szCs w:val="21"/>
        </w:rPr>
        <w:t>（</w:t>
      </w:r>
      <w:r>
        <w:rPr>
          <w:rFonts w:eastAsia="宋体" w:cs="Times New Roman"/>
          <w:szCs w:val="21"/>
        </w:rPr>
        <w:t>22</w:t>
      </w:r>
      <w:r>
        <w:rPr>
          <w:rFonts w:eastAsia="宋体" w:cs="Times New Roman"/>
          <w:szCs w:val="21"/>
        </w:rPr>
        <w:t>）</w:t>
      </w:r>
      <w:r>
        <w:rPr>
          <w:rFonts w:eastAsia="宋体" w:cs="Times New Roman"/>
          <w:szCs w:val="21"/>
        </w:rPr>
        <w:t xml:space="preserve">:2635-2646. </w:t>
      </w:r>
    </w:p>
    <w:p w:rsidR="00CA2089" w:rsidRDefault="00035E4E">
      <w:pPr>
        <w:pStyle w:val="05220"/>
        <w:rPr>
          <w:rFonts w:eastAsia="宋体" w:cs="Times New Roman"/>
          <w:szCs w:val="21"/>
        </w:rPr>
      </w:pPr>
      <w:bookmarkStart w:id="174" w:name="_Hlk166143149"/>
      <w:r>
        <w:rPr>
          <w:rFonts w:eastAsia="宋体" w:cs="Times New Roman" w:hint="eastAsia"/>
          <w:szCs w:val="21"/>
        </w:rPr>
        <w:t>[</w:t>
      </w:r>
      <w:r>
        <w:rPr>
          <w:rFonts w:eastAsia="宋体" w:cs="Times New Roman"/>
          <w:szCs w:val="21"/>
        </w:rPr>
        <w:t xml:space="preserve">14] </w:t>
      </w:r>
      <w:r>
        <w:rPr>
          <w:rFonts w:eastAsia="宋体" w:cs="Times New Roman" w:hint="eastAsia"/>
          <w:szCs w:val="21"/>
        </w:rPr>
        <w:t>谭梦琴</w:t>
      </w:r>
      <w:r>
        <w:rPr>
          <w:rFonts w:eastAsia="宋体" w:cs="Times New Roman" w:hint="eastAsia"/>
          <w:szCs w:val="21"/>
        </w:rPr>
        <w:t>,</w:t>
      </w:r>
      <w:r>
        <w:rPr>
          <w:rFonts w:eastAsia="宋体" w:cs="Times New Roman" w:hint="eastAsia"/>
          <w:szCs w:val="21"/>
        </w:rPr>
        <w:t>尹春娥</w:t>
      </w:r>
      <w:r>
        <w:rPr>
          <w:rFonts w:eastAsia="宋体" w:cs="Times New Roman" w:hint="eastAsia"/>
          <w:szCs w:val="21"/>
        </w:rPr>
        <w:t>,</w:t>
      </w:r>
      <w:r>
        <w:rPr>
          <w:rFonts w:eastAsia="宋体" w:cs="Times New Roman" w:hint="eastAsia"/>
          <w:szCs w:val="21"/>
        </w:rPr>
        <w:t>王福军等</w:t>
      </w:r>
      <w:r>
        <w:rPr>
          <w:rFonts w:eastAsia="宋体" w:cs="Times New Roman" w:hint="eastAsia"/>
          <w:szCs w:val="21"/>
        </w:rPr>
        <w:t>.2018</w:t>
      </w:r>
      <w:r>
        <w:rPr>
          <w:rFonts w:eastAsia="宋体" w:cs="Times New Roman" w:hint="eastAsia"/>
          <w:szCs w:val="21"/>
        </w:rPr>
        <w:t>年全球心肌梗死统一定义更新解读</w:t>
      </w:r>
      <w:r>
        <w:rPr>
          <w:rFonts w:eastAsia="宋体" w:cs="Times New Roman" w:hint="eastAsia"/>
          <w:szCs w:val="21"/>
        </w:rPr>
        <w:t>[J].</w:t>
      </w:r>
      <w:r>
        <w:rPr>
          <w:rFonts w:eastAsia="宋体" w:cs="Times New Roman" w:hint="eastAsia"/>
          <w:szCs w:val="21"/>
        </w:rPr>
        <w:t>实用心电学杂志</w:t>
      </w:r>
      <w:r>
        <w:rPr>
          <w:rFonts w:eastAsia="宋体" w:cs="Times New Roman" w:hint="eastAsia"/>
          <w:szCs w:val="21"/>
        </w:rPr>
        <w:t>,2018,27(6):381-385.</w:t>
      </w:r>
    </w:p>
    <w:p w:rsidR="00CA2089" w:rsidRDefault="00035E4E">
      <w:pPr>
        <w:pStyle w:val="05220"/>
        <w:jc w:val="left"/>
        <w:rPr>
          <w:rFonts w:eastAsia="宋体" w:cs="Times New Roman"/>
          <w:szCs w:val="21"/>
        </w:rPr>
        <w:sectPr w:rsidR="00CA2089">
          <w:pgSz w:w="11906" w:h="16838"/>
          <w:pgMar w:top="1928" w:right="1531" w:bottom="1814" w:left="1531" w:header="1077" w:footer="1361" w:gutter="0"/>
          <w:cols w:space="720"/>
          <w:docGrid w:type="lines" w:linePitch="312"/>
        </w:sectPr>
      </w:pPr>
      <w:r>
        <w:rPr>
          <w:rFonts w:eastAsia="宋体" w:cs="Times New Roman" w:hint="eastAsia"/>
          <w:szCs w:val="21"/>
        </w:rPr>
        <w:t>[</w:t>
      </w:r>
      <w:r>
        <w:rPr>
          <w:rFonts w:eastAsia="宋体" w:cs="Times New Roman"/>
          <w:szCs w:val="21"/>
        </w:rPr>
        <w:t>15]</w:t>
      </w:r>
      <w:r>
        <w:rPr>
          <w:rFonts w:eastAsia="等线" w:cs="Times New Roman"/>
          <w:color w:val="212121"/>
          <w:sz w:val="22"/>
          <w:szCs w:val="28"/>
          <w:shd w:val="clear" w:color="auto" w:fill="FFFFFF"/>
        </w:rPr>
        <w:t xml:space="preserve"> </w:t>
      </w:r>
      <w:r>
        <w:rPr>
          <w:rFonts w:eastAsia="宋体" w:cs="Times New Roman"/>
          <w:szCs w:val="21"/>
        </w:rPr>
        <w:t xml:space="preserve">Zhang M, Matsumura M, Usui E, Noguchi M, Fujimura T, Fall KN, Zhang Z, Nazif TM, Parikh SA, Rabbani LE, Kirtane AJ, Collins MB, Leon MB, Moses JW, Karmpaliotis D, Ali ZA, Mintz GS, </w:t>
      </w:r>
      <w:r>
        <w:rPr>
          <w:rFonts w:eastAsia="宋体" w:cs="Times New Roman"/>
          <w:szCs w:val="21"/>
        </w:rPr>
        <w:lastRenderedPageBreak/>
        <w:t>Maehara A. Intravascular Ultrasound-Derived Calcium Score to Predict Stent Expansion in Severely Calcified Lesions. Circ Cardiovasc Interv. 2021 Oct;14(10</w:t>
      </w:r>
      <w:proofErr w:type="gramStart"/>
      <w:r>
        <w:rPr>
          <w:rFonts w:eastAsia="宋体" w:cs="Times New Roman"/>
          <w:szCs w:val="21"/>
        </w:rPr>
        <w:t>):e</w:t>
      </w:r>
      <w:proofErr w:type="gramEnd"/>
      <w:r>
        <w:rPr>
          <w:rFonts w:eastAsia="宋体" w:cs="Times New Roman"/>
          <w:szCs w:val="21"/>
        </w:rPr>
        <w:t>010296. doi: 10.1161/CIRCINTERVENTIONS.120.010296. Epub 2021 Oct 19. PMID: 34665658.</w:t>
      </w:r>
      <w:bookmarkEnd w:id="174"/>
    </w:p>
    <w:p w:rsidR="00CA2089" w:rsidRDefault="00035E4E">
      <w:pPr>
        <w:pStyle w:val="1"/>
        <w:ind w:right="210"/>
        <w:rPr>
          <w:rFonts w:ascii="Times New Roman" w:hAnsi="Times New Roman"/>
        </w:rPr>
      </w:pPr>
      <w:bookmarkStart w:id="175" w:name="_Toc9005"/>
      <w:r>
        <w:rPr>
          <w:rFonts w:ascii="Times New Roman" w:hAnsi="Times New Roman"/>
        </w:rPr>
        <w:lastRenderedPageBreak/>
        <w:t>附录</w:t>
      </w:r>
      <w:bookmarkEnd w:id="173"/>
      <w:r>
        <w:rPr>
          <w:rFonts w:ascii="Times New Roman" w:hAnsi="Times New Roman"/>
        </w:rPr>
        <w:t>1</w:t>
      </w:r>
      <w:r>
        <w:rPr>
          <w:rFonts w:ascii="Times New Roman" w:hAnsi="Times New Roman"/>
        </w:rPr>
        <w:t>：震波球囊扩张导管型号规格表</w:t>
      </w:r>
      <w:bookmarkEnd w:id="175"/>
    </w:p>
    <w:tbl>
      <w:tblPr>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3"/>
        <w:gridCol w:w="1147"/>
        <w:gridCol w:w="1160"/>
        <w:gridCol w:w="1046"/>
        <w:gridCol w:w="854"/>
        <w:gridCol w:w="916"/>
        <w:gridCol w:w="1106"/>
        <w:gridCol w:w="1271"/>
        <w:gridCol w:w="987"/>
      </w:tblGrid>
      <w:tr w:rsidR="00CA2089">
        <w:trPr>
          <w:trHeight w:val="1659"/>
          <w:jc w:val="center"/>
        </w:trPr>
        <w:tc>
          <w:tcPr>
            <w:tcW w:w="1333" w:type="dxa"/>
            <w:shd w:val="clear" w:color="auto" w:fill="auto"/>
            <w:vAlign w:val="center"/>
          </w:tcPr>
          <w:p w:rsidR="00CA2089" w:rsidRDefault="00035E4E">
            <w:pPr>
              <w:spacing w:line="360" w:lineRule="auto"/>
              <w:jc w:val="center"/>
              <w:rPr>
                <w:b/>
                <w:color w:val="000000" w:themeColor="text1"/>
                <w:szCs w:val="21"/>
              </w:rPr>
            </w:pPr>
            <w:r>
              <w:rPr>
                <w:b/>
                <w:color w:val="000000" w:themeColor="text1"/>
                <w:szCs w:val="21"/>
              </w:rPr>
              <w:t>型号</w:t>
            </w:r>
            <w:r>
              <w:rPr>
                <w:b/>
                <w:color w:val="000000" w:themeColor="text1"/>
                <w:szCs w:val="21"/>
              </w:rPr>
              <w:t>/</w:t>
            </w:r>
            <w:r>
              <w:rPr>
                <w:b/>
                <w:color w:val="000000" w:themeColor="text1"/>
                <w:szCs w:val="21"/>
              </w:rPr>
              <w:t>规格</w:t>
            </w:r>
          </w:p>
        </w:tc>
        <w:tc>
          <w:tcPr>
            <w:tcW w:w="1147" w:type="dxa"/>
            <w:shd w:val="clear" w:color="auto" w:fill="auto"/>
            <w:vAlign w:val="center"/>
          </w:tcPr>
          <w:p w:rsidR="00CA2089" w:rsidRDefault="00035E4E">
            <w:pPr>
              <w:spacing w:line="360" w:lineRule="auto"/>
              <w:jc w:val="center"/>
              <w:rPr>
                <w:b/>
                <w:color w:val="000000" w:themeColor="text1"/>
                <w:szCs w:val="21"/>
              </w:rPr>
            </w:pPr>
            <w:r>
              <w:rPr>
                <w:b/>
                <w:color w:val="000000" w:themeColor="text1"/>
                <w:szCs w:val="21"/>
              </w:rPr>
              <w:t>球囊标称直径</w:t>
            </w:r>
          </w:p>
          <w:p w:rsidR="00CA2089" w:rsidRDefault="00035E4E">
            <w:pPr>
              <w:spacing w:line="360" w:lineRule="auto"/>
              <w:jc w:val="center"/>
              <w:rPr>
                <w:b/>
                <w:color w:val="000000" w:themeColor="text1"/>
                <w:szCs w:val="21"/>
              </w:rPr>
            </w:pPr>
            <w:r>
              <w:rPr>
                <w:b/>
                <w:color w:val="000000" w:themeColor="text1"/>
                <w:szCs w:val="21"/>
              </w:rPr>
              <w:t>mm</w:t>
            </w:r>
          </w:p>
        </w:tc>
        <w:tc>
          <w:tcPr>
            <w:tcW w:w="1160" w:type="dxa"/>
            <w:vAlign w:val="center"/>
          </w:tcPr>
          <w:p w:rsidR="00CA2089" w:rsidRDefault="00035E4E">
            <w:pPr>
              <w:spacing w:line="360" w:lineRule="auto"/>
              <w:jc w:val="center"/>
              <w:rPr>
                <w:b/>
                <w:color w:val="000000" w:themeColor="text1"/>
                <w:szCs w:val="21"/>
              </w:rPr>
            </w:pPr>
            <w:r>
              <w:rPr>
                <w:b/>
                <w:color w:val="000000" w:themeColor="text1"/>
                <w:szCs w:val="21"/>
              </w:rPr>
              <w:t>球囊标称长度</w:t>
            </w:r>
          </w:p>
          <w:p w:rsidR="00CA2089" w:rsidRDefault="00035E4E">
            <w:pPr>
              <w:spacing w:line="360" w:lineRule="auto"/>
              <w:jc w:val="center"/>
              <w:rPr>
                <w:b/>
                <w:color w:val="000000" w:themeColor="text1"/>
                <w:szCs w:val="21"/>
              </w:rPr>
            </w:pPr>
            <w:r>
              <w:rPr>
                <w:b/>
                <w:color w:val="000000" w:themeColor="text1"/>
                <w:szCs w:val="21"/>
              </w:rPr>
              <w:t>mm</w:t>
            </w:r>
          </w:p>
        </w:tc>
        <w:tc>
          <w:tcPr>
            <w:tcW w:w="1046" w:type="dxa"/>
            <w:vAlign w:val="center"/>
          </w:tcPr>
          <w:p w:rsidR="00CA2089" w:rsidRDefault="00035E4E">
            <w:pPr>
              <w:spacing w:line="360" w:lineRule="auto"/>
              <w:jc w:val="center"/>
              <w:rPr>
                <w:b/>
                <w:color w:val="000000" w:themeColor="text1"/>
                <w:szCs w:val="21"/>
              </w:rPr>
            </w:pPr>
            <w:r>
              <w:rPr>
                <w:b/>
                <w:color w:val="000000" w:themeColor="text1"/>
                <w:szCs w:val="21"/>
              </w:rPr>
              <w:t>导管有效长度</w:t>
            </w:r>
          </w:p>
          <w:p w:rsidR="00CA2089" w:rsidRDefault="00035E4E">
            <w:pPr>
              <w:spacing w:line="360" w:lineRule="auto"/>
              <w:jc w:val="center"/>
              <w:rPr>
                <w:b/>
                <w:color w:val="000000" w:themeColor="text1"/>
                <w:szCs w:val="21"/>
              </w:rPr>
            </w:pPr>
            <w:r>
              <w:rPr>
                <w:b/>
                <w:color w:val="000000" w:themeColor="text1"/>
                <w:szCs w:val="21"/>
              </w:rPr>
              <w:t>mm</w:t>
            </w:r>
          </w:p>
        </w:tc>
        <w:tc>
          <w:tcPr>
            <w:tcW w:w="854" w:type="dxa"/>
            <w:vAlign w:val="center"/>
          </w:tcPr>
          <w:p w:rsidR="00CA2089" w:rsidRDefault="00035E4E">
            <w:pPr>
              <w:spacing w:line="360" w:lineRule="auto"/>
              <w:jc w:val="center"/>
              <w:rPr>
                <w:b/>
                <w:color w:val="000000" w:themeColor="text1"/>
                <w:szCs w:val="21"/>
                <w:vertAlign w:val="superscript"/>
              </w:rPr>
            </w:pPr>
            <w:r>
              <w:rPr>
                <w:b/>
                <w:color w:val="000000" w:themeColor="text1"/>
                <w:szCs w:val="21"/>
              </w:rPr>
              <w:t>治疗压力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916" w:type="dxa"/>
            <w:vAlign w:val="center"/>
          </w:tcPr>
          <w:p w:rsidR="00CA2089" w:rsidRDefault="00035E4E">
            <w:pPr>
              <w:spacing w:line="360" w:lineRule="auto"/>
              <w:jc w:val="center"/>
              <w:rPr>
                <w:b/>
                <w:color w:val="000000" w:themeColor="text1"/>
                <w:szCs w:val="21"/>
              </w:rPr>
            </w:pPr>
            <w:r>
              <w:rPr>
                <w:b/>
                <w:color w:val="000000" w:themeColor="text1"/>
                <w:szCs w:val="21"/>
              </w:rPr>
              <w:t>标称压力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1106" w:type="dxa"/>
            <w:vAlign w:val="center"/>
          </w:tcPr>
          <w:p w:rsidR="00CA2089" w:rsidRDefault="00035E4E">
            <w:pPr>
              <w:spacing w:line="360" w:lineRule="auto"/>
              <w:jc w:val="center"/>
              <w:rPr>
                <w:b/>
                <w:color w:val="000000" w:themeColor="text1"/>
                <w:szCs w:val="21"/>
              </w:rPr>
            </w:pPr>
            <w:r>
              <w:rPr>
                <w:b/>
                <w:color w:val="000000" w:themeColor="text1"/>
                <w:szCs w:val="21"/>
              </w:rPr>
              <w:t>额定爆破压力</w:t>
            </w:r>
            <w:r>
              <w:rPr>
                <w:b/>
                <w:color w:val="000000" w:themeColor="text1"/>
                <w:szCs w:val="21"/>
                <w:vertAlign w:val="superscript"/>
              </w:rPr>
              <w:t>1</w:t>
            </w:r>
          </w:p>
          <w:p w:rsidR="00CA2089" w:rsidRDefault="00035E4E">
            <w:pPr>
              <w:spacing w:line="360" w:lineRule="auto"/>
              <w:jc w:val="center"/>
              <w:rPr>
                <w:b/>
                <w:color w:val="000000" w:themeColor="text1"/>
                <w:szCs w:val="21"/>
              </w:rPr>
            </w:pPr>
            <w:r>
              <w:rPr>
                <w:b/>
                <w:color w:val="000000" w:themeColor="text1"/>
                <w:szCs w:val="21"/>
              </w:rPr>
              <w:t>atm</w:t>
            </w:r>
          </w:p>
        </w:tc>
        <w:tc>
          <w:tcPr>
            <w:tcW w:w="1271" w:type="dxa"/>
            <w:vAlign w:val="center"/>
          </w:tcPr>
          <w:p w:rsidR="00CA2089" w:rsidRDefault="00035E4E">
            <w:pPr>
              <w:spacing w:line="360" w:lineRule="auto"/>
              <w:jc w:val="center"/>
              <w:rPr>
                <w:b/>
                <w:color w:val="000000" w:themeColor="text1"/>
                <w:szCs w:val="21"/>
              </w:rPr>
            </w:pPr>
            <w:r>
              <w:rPr>
                <w:b/>
                <w:color w:val="000000" w:themeColor="text1"/>
                <w:szCs w:val="21"/>
              </w:rPr>
              <w:t>兼容导引导管</w:t>
            </w:r>
          </w:p>
          <w:p w:rsidR="00CA2089" w:rsidRDefault="00035E4E">
            <w:pPr>
              <w:spacing w:line="360" w:lineRule="auto"/>
              <w:jc w:val="center"/>
              <w:rPr>
                <w:b/>
                <w:color w:val="000000" w:themeColor="text1"/>
                <w:szCs w:val="21"/>
              </w:rPr>
            </w:pPr>
            <w:r>
              <w:rPr>
                <w:b/>
                <w:color w:val="000000" w:themeColor="text1"/>
                <w:szCs w:val="21"/>
              </w:rPr>
              <w:t>Fr</w:t>
            </w:r>
          </w:p>
        </w:tc>
        <w:tc>
          <w:tcPr>
            <w:tcW w:w="987" w:type="dxa"/>
            <w:vAlign w:val="center"/>
          </w:tcPr>
          <w:p w:rsidR="00CA2089" w:rsidRDefault="00035E4E">
            <w:pPr>
              <w:spacing w:line="360" w:lineRule="auto"/>
              <w:jc w:val="center"/>
              <w:rPr>
                <w:b/>
                <w:color w:val="000000" w:themeColor="text1"/>
                <w:szCs w:val="21"/>
              </w:rPr>
            </w:pPr>
            <w:r>
              <w:rPr>
                <w:b/>
                <w:color w:val="000000" w:themeColor="text1"/>
                <w:szCs w:val="21"/>
              </w:rPr>
              <w:t>兼容导引导丝</w:t>
            </w:r>
          </w:p>
          <w:p w:rsidR="00CA2089" w:rsidRDefault="00035E4E">
            <w:pPr>
              <w:spacing w:line="360" w:lineRule="auto"/>
              <w:jc w:val="center"/>
              <w:rPr>
                <w:b/>
                <w:color w:val="000000" w:themeColor="text1"/>
                <w:szCs w:val="21"/>
              </w:rPr>
            </w:pPr>
            <w:r>
              <w:rPr>
                <w:b/>
                <w:color w:val="000000" w:themeColor="text1"/>
                <w:szCs w:val="21"/>
              </w:rPr>
              <w:t>”</w:t>
            </w:r>
          </w:p>
        </w:tc>
      </w:tr>
      <w:tr w:rsidR="00CA2089">
        <w:trPr>
          <w:trHeight w:val="2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SPC2012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7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SPC2512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2.50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SPC2712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2.75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SPC3012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SPC3212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3.25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SPC 3512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3.50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SPC3712</w:t>
            </w:r>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3.75</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r w:rsidR="00CA2089">
        <w:trPr>
          <w:trHeight w:val="20"/>
          <w:jc w:val="center"/>
        </w:trPr>
        <w:tc>
          <w:tcPr>
            <w:tcW w:w="1333" w:type="dxa"/>
            <w:shd w:val="clear" w:color="auto" w:fill="auto"/>
          </w:tcPr>
          <w:p w:rsidR="00CA2089" w:rsidRDefault="00035E4E">
            <w:pPr>
              <w:pStyle w:val="afa"/>
              <w:rPr>
                <w:rFonts w:ascii="Times New Roman" w:hAnsi="Times New Roman" w:cs="Times New Roman"/>
                <w:color w:val="000000" w:themeColor="text1"/>
                <w:sz w:val="21"/>
                <w:szCs w:val="21"/>
                <w:u w:val="single"/>
              </w:rPr>
            </w:pPr>
            <w:bookmarkStart w:id="176" w:name="OLE_LINK4"/>
            <w:bookmarkStart w:id="177" w:name="OLE_LINK5"/>
            <w:r>
              <w:rPr>
                <w:rFonts w:ascii="Times New Roman" w:hAnsi="Times New Roman" w:cs="Times New Roman"/>
                <w:color w:val="000000" w:themeColor="text1"/>
                <w:sz w:val="21"/>
                <w:szCs w:val="21"/>
                <w:u w:val="single"/>
              </w:rPr>
              <w:t>SPC4012</w:t>
            </w:r>
            <w:bookmarkEnd w:id="176"/>
            <w:bookmarkEnd w:id="177"/>
          </w:p>
        </w:tc>
        <w:tc>
          <w:tcPr>
            <w:tcW w:w="1147" w:type="dxa"/>
            <w:shd w:val="clear" w:color="auto" w:fill="auto"/>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4.00</w:t>
            </w:r>
          </w:p>
        </w:tc>
        <w:tc>
          <w:tcPr>
            <w:tcW w:w="1160"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12.0</w:t>
            </w:r>
          </w:p>
        </w:tc>
        <w:tc>
          <w:tcPr>
            <w:tcW w:w="1046"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1400</w:t>
            </w:r>
          </w:p>
        </w:tc>
        <w:tc>
          <w:tcPr>
            <w:tcW w:w="854"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4</w:t>
            </w:r>
          </w:p>
        </w:tc>
        <w:tc>
          <w:tcPr>
            <w:tcW w:w="91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6</w:t>
            </w:r>
          </w:p>
        </w:tc>
        <w:tc>
          <w:tcPr>
            <w:tcW w:w="1106" w:type="dxa"/>
            <w:vAlign w:val="center"/>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10</w:t>
            </w:r>
          </w:p>
        </w:tc>
        <w:tc>
          <w:tcPr>
            <w:tcW w:w="1271"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5</w:t>
            </w:r>
            <w:r>
              <w:rPr>
                <w:rFonts w:ascii="Times New Roman" w:hAnsi="Times New Roman" w:cs="Times New Roman"/>
                <w:color w:val="000000" w:themeColor="text1"/>
                <w:sz w:val="21"/>
                <w:szCs w:val="21"/>
                <w:u w:val="single"/>
              </w:rPr>
              <w:t>及以上</w:t>
            </w:r>
          </w:p>
        </w:tc>
        <w:tc>
          <w:tcPr>
            <w:tcW w:w="987" w:type="dxa"/>
          </w:tcPr>
          <w:p w:rsidR="00CA2089" w:rsidRDefault="00035E4E">
            <w:pPr>
              <w:pStyle w:val="afa"/>
              <w:rPr>
                <w:rFonts w:ascii="Times New Roman" w:hAnsi="Times New Roman" w:cs="Times New Roman"/>
                <w:color w:val="000000" w:themeColor="text1"/>
                <w:sz w:val="21"/>
                <w:szCs w:val="21"/>
                <w:u w:val="single"/>
              </w:rPr>
            </w:pPr>
            <w:r>
              <w:rPr>
                <w:rFonts w:ascii="Times New Roman" w:hAnsi="Times New Roman" w:cs="Times New Roman"/>
                <w:color w:val="000000" w:themeColor="text1"/>
                <w:sz w:val="21"/>
                <w:szCs w:val="21"/>
                <w:u w:val="single"/>
              </w:rPr>
              <w:t>0.014</w:t>
            </w:r>
          </w:p>
        </w:tc>
      </w:tr>
    </w:tbl>
    <w:p w:rsidR="00CA2089" w:rsidRDefault="00035E4E">
      <w:pPr>
        <w:rPr>
          <w:szCs w:val="21"/>
        </w:rPr>
      </w:pPr>
      <w:r>
        <w:rPr>
          <w:szCs w:val="21"/>
        </w:rPr>
        <w:t>注：球囊治疗压力为</w:t>
      </w:r>
      <w:r>
        <w:rPr>
          <w:szCs w:val="21"/>
        </w:rPr>
        <w:t>4atm</w:t>
      </w:r>
      <w:r>
        <w:rPr>
          <w:szCs w:val="21"/>
        </w:rPr>
        <w:t>，球囊标称压力为</w:t>
      </w:r>
      <w:r>
        <w:rPr>
          <w:szCs w:val="21"/>
        </w:rPr>
        <w:t>6atm</w:t>
      </w:r>
      <w:r>
        <w:rPr>
          <w:szCs w:val="21"/>
        </w:rPr>
        <w:t>，额定爆破压力为</w:t>
      </w:r>
      <w:r>
        <w:rPr>
          <w:szCs w:val="21"/>
        </w:rPr>
        <w:t>10atm;</w:t>
      </w:r>
      <w:r>
        <w:rPr>
          <w:szCs w:val="21"/>
        </w:rPr>
        <w:t>球囊最大的充盈压力不能超过说明书中标明的额定爆破压力</w:t>
      </w:r>
    </w:p>
    <w:p w:rsidR="00CA2089" w:rsidRDefault="00CA2089">
      <w:pPr>
        <w:sectPr w:rsidR="00CA2089">
          <w:pgSz w:w="11906" w:h="16838"/>
          <w:pgMar w:top="1928" w:right="1531" w:bottom="1814" w:left="1531" w:header="1077" w:footer="1361" w:gutter="0"/>
          <w:cols w:space="720"/>
          <w:docGrid w:type="lines" w:linePitch="312"/>
        </w:sectPr>
      </w:pPr>
    </w:p>
    <w:p w:rsidR="00CA2089" w:rsidRDefault="00CA2089"/>
    <w:p w:rsidR="00CA2089" w:rsidRDefault="00035E4E">
      <w:pPr>
        <w:outlineLvl w:val="0"/>
        <w:rPr>
          <w:b/>
          <w:bCs/>
          <w:sz w:val="28"/>
          <w:szCs w:val="28"/>
        </w:rPr>
      </w:pPr>
      <w:bookmarkStart w:id="178" w:name="_Toc3304"/>
      <w:r>
        <w:rPr>
          <w:b/>
          <w:bCs/>
          <w:sz w:val="28"/>
          <w:szCs w:val="28"/>
        </w:rPr>
        <w:t>附录</w:t>
      </w:r>
      <w:r>
        <w:rPr>
          <w:b/>
          <w:bCs/>
          <w:sz w:val="28"/>
          <w:szCs w:val="28"/>
        </w:rPr>
        <w:t>2</w:t>
      </w:r>
      <w:r>
        <w:rPr>
          <w:b/>
          <w:bCs/>
          <w:sz w:val="28"/>
          <w:szCs w:val="28"/>
        </w:rPr>
        <w:t>：各项分级</w:t>
      </w:r>
      <w:bookmarkEnd w:id="178"/>
    </w:p>
    <w:p w:rsidR="00CA2089" w:rsidRDefault="00035E4E">
      <w:pPr>
        <w:spacing w:line="360" w:lineRule="auto"/>
        <w:outlineLvl w:val="2"/>
        <w:rPr>
          <w:sz w:val="24"/>
        </w:rPr>
      </w:pPr>
      <w:bookmarkStart w:id="179" w:name="_Hlk90153737"/>
      <w:r>
        <w:rPr>
          <w:b/>
          <w:bCs/>
          <w:sz w:val="24"/>
        </w:rPr>
        <w:t>1.</w:t>
      </w:r>
      <w:r>
        <w:rPr>
          <w:b/>
          <w:bCs/>
          <w:sz w:val="24"/>
        </w:rPr>
        <w:t>心功能</w:t>
      </w:r>
      <w:r>
        <w:rPr>
          <w:b/>
          <w:bCs/>
          <w:sz w:val="24"/>
        </w:rPr>
        <w:t>NYHA</w:t>
      </w:r>
      <w:r>
        <w:rPr>
          <w:b/>
          <w:bCs/>
          <w:sz w:val="24"/>
        </w:rPr>
        <w:t>分级标准：</w:t>
      </w:r>
      <w:r>
        <w:rPr>
          <w:sz w:val="24"/>
        </w:rPr>
        <w:t xml:space="preserve"> </w:t>
      </w:r>
    </w:p>
    <w:p w:rsidR="00CA2089" w:rsidRDefault="00035E4E">
      <w:pPr>
        <w:spacing w:line="360" w:lineRule="auto"/>
        <w:rPr>
          <w:sz w:val="24"/>
        </w:rPr>
      </w:pPr>
      <w:r>
        <w:rPr>
          <w:sz w:val="24"/>
        </w:rPr>
        <w:t>Ⅰ</w:t>
      </w:r>
      <w:r>
        <w:rPr>
          <w:sz w:val="24"/>
        </w:rPr>
        <w:t>级：患者有心脏病，但日常活动量不受限制，一般体力活动不引起过度疲劳、心悸、气喘或心绞痛。</w:t>
      </w:r>
    </w:p>
    <w:p w:rsidR="00CA2089" w:rsidRDefault="00035E4E">
      <w:pPr>
        <w:spacing w:line="360" w:lineRule="auto"/>
        <w:rPr>
          <w:sz w:val="24"/>
        </w:rPr>
      </w:pPr>
      <w:r>
        <w:rPr>
          <w:sz w:val="24"/>
        </w:rPr>
        <w:t>Ⅱ</w:t>
      </w:r>
      <w:r>
        <w:rPr>
          <w:sz w:val="24"/>
        </w:rPr>
        <w:t>级：心脏病患者的体力活动轻度受限制，休息时无自觉症状，一般体力活动引起过度疲劳、心悸、气喘或心绞痛。</w:t>
      </w:r>
    </w:p>
    <w:p w:rsidR="00CA2089" w:rsidRDefault="00035E4E">
      <w:pPr>
        <w:spacing w:line="360" w:lineRule="auto"/>
        <w:rPr>
          <w:sz w:val="24"/>
        </w:rPr>
      </w:pPr>
      <w:r>
        <w:rPr>
          <w:sz w:val="24"/>
        </w:rPr>
        <w:t>Ⅲ</w:t>
      </w:r>
      <w:r>
        <w:rPr>
          <w:sz w:val="24"/>
        </w:rPr>
        <w:t>级：患者有心脏病，以致体力活动明显受限制，休息时无症状，但小于一般体力活动即可引起过度疲劳、心悸、气喘或心绞痛。</w:t>
      </w:r>
    </w:p>
    <w:p w:rsidR="00CA2089" w:rsidRDefault="00035E4E">
      <w:pPr>
        <w:spacing w:line="360" w:lineRule="auto"/>
        <w:rPr>
          <w:sz w:val="24"/>
        </w:rPr>
      </w:pPr>
      <w:r>
        <w:rPr>
          <w:sz w:val="24"/>
        </w:rPr>
        <w:t>Ⅳ</w:t>
      </w:r>
      <w:r>
        <w:rPr>
          <w:sz w:val="24"/>
        </w:rPr>
        <w:t>级：心脏病患者不能从事任何体力活动，休息状态下也出现心力衰竭症状，体力活动后加重。</w:t>
      </w:r>
    </w:p>
    <w:p w:rsidR="00CA2089" w:rsidRDefault="00035E4E">
      <w:pPr>
        <w:spacing w:line="360" w:lineRule="auto"/>
        <w:outlineLvl w:val="2"/>
        <w:rPr>
          <w:b/>
          <w:bCs/>
          <w:sz w:val="24"/>
        </w:rPr>
      </w:pPr>
      <w:r>
        <w:rPr>
          <w:b/>
          <w:bCs/>
          <w:sz w:val="24"/>
        </w:rPr>
        <w:t>2.</w:t>
      </w:r>
      <w:r>
        <w:rPr>
          <w:b/>
          <w:bCs/>
          <w:sz w:val="24"/>
        </w:rPr>
        <w:t>加拿大心血管学会（</w:t>
      </w:r>
      <w:r>
        <w:rPr>
          <w:b/>
          <w:bCs/>
          <w:sz w:val="24"/>
        </w:rPr>
        <w:t>CCSC</w:t>
      </w:r>
      <w:r>
        <w:rPr>
          <w:b/>
          <w:bCs/>
          <w:sz w:val="24"/>
        </w:rPr>
        <w:t>）对心绞痛的分级</w:t>
      </w:r>
    </w:p>
    <w:p w:rsidR="00CA2089" w:rsidRDefault="00035E4E">
      <w:pPr>
        <w:spacing w:line="360" w:lineRule="auto"/>
        <w:rPr>
          <w:sz w:val="24"/>
        </w:rPr>
      </w:pPr>
      <w:r>
        <w:rPr>
          <w:sz w:val="24"/>
        </w:rPr>
        <w:t>I</w:t>
      </w:r>
      <w:r>
        <w:rPr>
          <w:sz w:val="24"/>
        </w:rPr>
        <w:t>级：日常的体力活动，如走路或爬楼梯，并不会导致心绞痛。在工作或娱乐时，因剧烈、快速或长时间的体力活动而诱发的心绞痛。</w:t>
      </w:r>
    </w:p>
    <w:p w:rsidR="00CA2089" w:rsidRDefault="00035E4E">
      <w:pPr>
        <w:spacing w:line="360" w:lineRule="auto"/>
        <w:rPr>
          <w:sz w:val="24"/>
        </w:rPr>
      </w:pPr>
      <w:r>
        <w:rPr>
          <w:sz w:val="24"/>
        </w:rPr>
        <w:t>Ⅱ</w:t>
      </w:r>
      <w:r>
        <w:rPr>
          <w:sz w:val="24"/>
        </w:rPr>
        <w:t>级：</w:t>
      </w:r>
      <w:r>
        <w:rPr>
          <w:sz w:val="24"/>
        </w:rPr>
        <w:t xml:space="preserve"> </w:t>
      </w:r>
      <w:r>
        <w:rPr>
          <w:sz w:val="24"/>
        </w:rPr>
        <w:t>日常活动轻微受限。快速步行或爬楼梯、步行上坡、饭后步行或爬楼梯诱发的或在寒冷，风吹，有精神压力，或醒后最初几个小时发生的心绞痛。正常状态下以正常节奉，平地步行超过两个街区，或攀爬超过一段以上的普通楼梯诱发的心绞痛。</w:t>
      </w:r>
    </w:p>
    <w:p w:rsidR="00CA2089" w:rsidRDefault="00035E4E">
      <w:pPr>
        <w:spacing w:line="360" w:lineRule="auto"/>
        <w:rPr>
          <w:sz w:val="24"/>
        </w:rPr>
      </w:pPr>
      <w:r>
        <w:rPr>
          <w:sz w:val="24"/>
        </w:rPr>
        <w:t>III</w:t>
      </w:r>
      <w:r>
        <w:rPr>
          <w:sz w:val="24"/>
        </w:rPr>
        <w:t>级：日常的体力活动显著受限。在正常状态下以正常节奏，平地步行</w:t>
      </w:r>
      <w:r>
        <w:rPr>
          <w:sz w:val="24"/>
        </w:rPr>
        <w:t>1-2</w:t>
      </w:r>
      <w:r>
        <w:rPr>
          <w:sz w:val="24"/>
        </w:rPr>
        <w:t>个街区，或攀爬一段楼梯诱发的心绞痛。</w:t>
      </w:r>
    </w:p>
    <w:p w:rsidR="00CA2089" w:rsidRDefault="00035E4E">
      <w:pPr>
        <w:spacing w:line="360" w:lineRule="auto"/>
        <w:rPr>
          <w:sz w:val="24"/>
        </w:rPr>
      </w:pPr>
      <w:r>
        <w:rPr>
          <w:sz w:val="24"/>
        </w:rPr>
        <w:t>IV</w:t>
      </w:r>
      <w:r>
        <w:rPr>
          <w:sz w:val="24"/>
        </w:rPr>
        <w:t>级：不能进行任何体力活动，否则会导致不适。即使在静息条件下也可能出现心绞痛症状。</w:t>
      </w:r>
    </w:p>
    <w:p w:rsidR="00CA2089" w:rsidRDefault="00035E4E">
      <w:pPr>
        <w:spacing w:line="360" w:lineRule="auto"/>
        <w:outlineLvl w:val="2"/>
        <w:rPr>
          <w:b/>
          <w:bCs/>
          <w:sz w:val="24"/>
        </w:rPr>
      </w:pPr>
      <w:r>
        <w:rPr>
          <w:b/>
          <w:bCs/>
          <w:sz w:val="24"/>
        </w:rPr>
        <w:t>3.</w:t>
      </w:r>
      <w:r>
        <w:rPr>
          <w:b/>
          <w:bCs/>
          <w:sz w:val="24"/>
        </w:rPr>
        <w:t>夹层分级，</w:t>
      </w:r>
      <w:r>
        <w:rPr>
          <w:b/>
          <w:bCs/>
          <w:sz w:val="24"/>
        </w:rPr>
        <w:t>NHLBI</w:t>
      </w:r>
      <w:r>
        <w:rPr>
          <w:b/>
          <w:bCs/>
          <w:sz w:val="24"/>
        </w:rPr>
        <w:t>（国立心肺及血液研究院）分类</w:t>
      </w:r>
    </w:p>
    <w:p w:rsidR="00CA2089" w:rsidRDefault="00035E4E">
      <w:pPr>
        <w:spacing w:line="360" w:lineRule="auto"/>
        <w:rPr>
          <w:sz w:val="24"/>
        </w:rPr>
      </w:pPr>
      <w:r>
        <w:rPr>
          <w:sz w:val="24"/>
        </w:rPr>
        <w:t>A</w:t>
      </w:r>
      <w:r>
        <w:rPr>
          <w:sz w:val="24"/>
        </w:rPr>
        <w:t>级</w:t>
      </w:r>
      <w:r>
        <w:rPr>
          <w:sz w:val="24"/>
        </w:rPr>
        <w:t xml:space="preserve"> </w:t>
      </w:r>
      <w:r>
        <w:rPr>
          <w:sz w:val="24"/>
        </w:rPr>
        <w:t>管腔内小的透光区，造影剂排空后消失。</w:t>
      </w:r>
    </w:p>
    <w:p w:rsidR="00CA2089" w:rsidRDefault="00035E4E">
      <w:pPr>
        <w:spacing w:line="360" w:lineRule="auto"/>
        <w:rPr>
          <w:sz w:val="24"/>
        </w:rPr>
      </w:pPr>
      <w:r>
        <w:rPr>
          <w:sz w:val="24"/>
        </w:rPr>
        <w:t>B</w:t>
      </w:r>
      <w:r>
        <w:rPr>
          <w:sz w:val="24"/>
        </w:rPr>
        <w:t>级</w:t>
      </w:r>
      <w:r>
        <w:rPr>
          <w:sz w:val="24"/>
        </w:rPr>
        <w:t xml:space="preserve"> </w:t>
      </w:r>
      <w:r>
        <w:rPr>
          <w:sz w:val="24"/>
        </w:rPr>
        <w:t>造影剂与管腔平行，几个心动周期后消失。</w:t>
      </w:r>
      <w:r>
        <w:rPr>
          <w:sz w:val="24"/>
        </w:rPr>
        <w:t xml:space="preserve"> </w:t>
      </w:r>
    </w:p>
    <w:p w:rsidR="00CA2089" w:rsidRDefault="00035E4E">
      <w:pPr>
        <w:spacing w:line="360" w:lineRule="auto"/>
        <w:rPr>
          <w:sz w:val="24"/>
        </w:rPr>
      </w:pPr>
      <w:r>
        <w:rPr>
          <w:sz w:val="24"/>
        </w:rPr>
        <w:t>C</w:t>
      </w:r>
      <w:r>
        <w:rPr>
          <w:sz w:val="24"/>
        </w:rPr>
        <w:t>级</w:t>
      </w:r>
      <w:r>
        <w:rPr>
          <w:sz w:val="24"/>
        </w:rPr>
        <w:t xml:space="preserve"> </w:t>
      </w:r>
      <w:r>
        <w:rPr>
          <w:sz w:val="24"/>
        </w:rPr>
        <w:t>夹层</w:t>
      </w:r>
      <w:proofErr w:type="gramStart"/>
      <w:r>
        <w:rPr>
          <w:sz w:val="24"/>
        </w:rPr>
        <w:t>延伸至管腔</w:t>
      </w:r>
      <w:proofErr w:type="gramEnd"/>
      <w:r>
        <w:rPr>
          <w:sz w:val="24"/>
        </w:rPr>
        <w:t>外，造影剂排空后持续存在。</w:t>
      </w:r>
      <w:r>
        <w:rPr>
          <w:sz w:val="24"/>
        </w:rPr>
        <w:t xml:space="preserve"> </w:t>
      </w:r>
    </w:p>
    <w:p w:rsidR="00CA2089" w:rsidRDefault="00035E4E">
      <w:pPr>
        <w:spacing w:line="360" w:lineRule="auto"/>
        <w:rPr>
          <w:sz w:val="24"/>
        </w:rPr>
      </w:pPr>
      <w:r>
        <w:rPr>
          <w:sz w:val="24"/>
        </w:rPr>
        <w:t>D</w:t>
      </w:r>
      <w:r>
        <w:rPr>
          <w:sz w:val="24"/>
        </w:rPr>
        <w:t>级</w:t>
      </w:r>
      <w:r>
        <w:rPr>
          <w:sz w:val="24"/>
        </w:rPr>
        <w:t xml:space="preserve"> </w:t>
      </w:r>
      <w:r>
        <w:rPr>
          <w:sz w:val="24"/>
        </w:rPr>
        <w:t>螺旋形充盈缺损，伴或不伴前向造影剂清除延迟。</w:t>
      </w:r>
      <w:r>
        <w:rPr>
          <w:sz w:val="24"/>
        </w:rPr>
        <w:t xml:space="preserve"> </w:t>
      </w:r>
    </w:p>
    <w:p w:rsidR="00CA2089" w:rsidRDefault="00035E4E">
      <w:pPr>
        <w:spacing w:line="360" w:lineRule="auto"/>
        <w:rPr>
          <w:sz w:val="24"/>
        </w:rPr>
      </w:pPr>
      <w:r>
        <w:rPr>
          <w:sz w:val="24"/>
        </w:rPr>
        <w:t>E</w:t>
      </w:r>
      <w:r>
        <w:rPr>
          <w:sz w:val="24"/>
        </w:rPr>
        <w:t>级</w:t>
      </w:r>
      <w:r>
        <w:rPr>
          <w:sz w:val="24"/>
        </w:rPr>
        <w:t xml:space="preserve"> </w:t>
      </w:r>
      <w:r>
        <w:rPr>
          <w:sz w:val="24"/>
        </w:rPr>
        <w:t>持续性管腔充盈缺损，伴有远端管腔的造影剂清除延迟。</w:t>
      </w:r>
      <w:r>
        <w:rPr>
          <w:sz w:val="24"/>
        </w:rPr>
        <w:t xml:space="preserve"> </w:t>
      </w:r>
    </w:p>
    <w:p w:rsidR="00CA2089" w:rsidRDefault="00035E4E">
      <w:pPr>
        <w:spacing w:line="360" w:lineRule="auto"/>
        <w:rPr>
          <w:sz w:val="24"/>
        </w:rPr>
      </w:pPr>
      <w:r>
        <w:rPr>
          <w:sz w:val="24"/>
        </w:rPr>
        <w:t>F</w:t>
      </w:r>
      <w:r>
        <w:rPr>
          <w:sz w:val="24"/>
        </w:rPr>
        <w:t>级</w:t>
      </w:r>
      <w:r>
        <w:rPr>
          <w:sz w:val="24"/>
        </w:rPr>
        <w:t xml:space="preserve"> </w:t>
      </w:r>
      <w:r>
        <w:rPr>
          <w:sz w:val="24"/>
        </w:rPr>
        <w:t>充盈缺损伴冠脉的完全闭塞。</w:t>
      </w:r>
    </w:p>
    <w:p w:rsidR="00CA2089" w:rsidRDefault="00035E4E">
      <w:pPr>
        <w:spacing w:line="360" w:lineRule="auto"/>
        <w:outlineLvl w:val="2"/>
        <w:rPr>
          <w:sz w:val="24"/>
        </w:rPr>
      </w:pPr>
      <w:r>
        <w:rPr>
          <w:b/>
          <w:bCs/>
          <w:sz w:val="24"/>
        </w:rPr>
        <w:lastRenderedPageBreak/>
        <w:t>4.</w:t>
      </w:r>
      <w:r>
        <w:rPr>
          <w:b/>
          <w:bCs/>
          <w:sz w:val="24"/>
        </w:rPr>
        <w:t>心肌梗死溶栓（</w:t>
      </w:r>
      <w:r>
        <w:rPr>
          <w:b/>
          <w:bCs/>
          <w:sz w:val="24"/>
        </w:rPr>
        <w:t>TIMI</w:t>
      </w:r>
      <w:r>
        <w:rPr>
          <w:b/>
          <w:bCs/>
          <w:sz w:val="24"/>
        </w:rPr>
        <w:t>）血流分级</w:t>
      </w:r>
    </w:p>
    <w:p w:rsidR="00CA2089" w:rsidRDefault="00035E4E">
      <w:pPr>
        <w:spacing w:line="360" w:lineRule="auto"/>
        <w:rPr>
          <w:sz w:val="24"/>
        </w:rPr>
      </w:pPr>
      <w:r>
        <w:rPr>
          <w:sz w:val="24"/>
        </w:rPr>
        <w:t xml:space="preserve">TIMI0 </w:t>
      </w:r>
      <w:r>
        <w:rPr>
          <w:sz w:val="24"/>
        </w:rPr>
        <w:t>无灌注</w:t>
      </w:r>
      <w:r>
        <w:rPr>
          <w:sz w:val="24"/>
        </w:rPr>
        <w:t xml:space="preserve"> </w:t>
      </w:r>
    </w:p>
    <w:p w:rsidR="00CA2089" w:rsidRDefault="00035E4E">
      <w:pPr>
        <w:spacing w:line="360" w:lineRule="auto"/>
        <w:rPr>
          <w:sz w:val="24"/>
        </w:rPr>
      </w:pPr>
      <w:r>
        <w:rPr>
          <w:sz w:val="24"/>
        </w:rPr>
        <w:t xml:space="preserve">TIMI1 </w:t>
      </w:r>
      <w:r>
        <w:rPr>
          <w:sz w:val="24"/>
        </w:rPr>
        <w:t>渗透而无灌注。造影过程中，造影</w:t>
      </w:r>
      <w:proofErr w:type="gramStart"/>
      <w:r>
        <w:rPr>
          <w:sz w:val="24"/>
        </w:rPr>
        <w:t>剂无法</w:t>
      </w:r>
      <w:proofErr w:type="gramEnd"/>
      <w:r>
        <w:rPr>
          <w:sz w:val="24"/>
        </w:rPr>
        <w:t>通过狭窄部位使远端的血管床显影。</w:t>
      </w:r>
    </w:p>
    <w:p w:rsidR="00CA2089" w:rsidRDefault="00035E4E">
      <w:pPr>
        <w:spacing w:line="360" w:lineRule="auto"/>
        <w:rPr>
          <w:sz w:val="24"/>
        </w:rPr>
      </w:pPr>
      <w:r>
        <w:rPr>
          <w:sz w:val="24"/>
        </w:rPr>
        <w:t xml:space="preserve">TIMI2 </w:t>
      </w:r>
      <w:r>
        <w:rPr>
          <w:sz w:val="24"/>
        </w:rPr>
        <w:t>部分灌注。造影剂可以使狭窄部位远端的冠脉血管</w:t>
      </w:r>
      <w:proofErr w:type="gramStart"/>
      <w:r>
        <w:rPr>
          <w:sz w:val="24"/>
        </w:rPr>
        <w:t>床完全</w:t>
      </w:r>
      <w:proofErr w:type="gramEnd"/>
      <w:r>
        <w:rPr>
          <w:sz w:val="24"/>
        </w:rPr>
        <w:t>显影。但狭窄部位远端的造影剂充盈和</w:t>
      </w:r>
      <w:r>
        <w:rPr>
          <w:sz w:val="24"/>
        </w:rPr>
        <w:t>/</w:t>
      </w:r>
      <w:r>
        <w:rPr>
          <w:sz w:val="24"/>
        </w:rPr>
        <w:t>或清除速度比正常血管同等部位要慢。</w:t>
      </w:r>
    </w:p>
    <w:p w:rsidR="00CA2089" w:rsidRDefault="00035E4E">
      <w:pPr>
        <w:spacing w:line="360" w:lineRule="auto"/>
        <w:rPr>
          <w:sz w:val="24"/>
        </w:rPr>
      </w:pPr>
      <w:r>
        <w:rPr>
          <w:sz w:val="24"/>
        </w:rPr>
        <w:t xml:space="preserve">TIMI3 </w:t>
      </w:r>
      <w:r>
        <w:rPr>
          <w:sz w:val="24"/>
        </w:rPr>
        <w:t>完全灌注。狭窄部位远端冠脉血管床的造影剂充盈和</w:t>
      </w:r>
      <w:r>
        <w:rPr>
          <w:sz w:val="24"/>
        </w:rPr>
        <w:t>/</w:t>
      </w:r>
      <w:r>
        <w:rPr>
          <w:sz w:val="24"/>
        </w:rPr>
        <w:t>或清除速度与其他冠脉血管相同。</w:t>
      </w:r>
    </w:p>
    <w:p w:rsidR="00CA2089" w:rsidRDefault="00035E4E">
      <w:pPr>
        <w:spacing w:line="360" w:lineRule="auto"/>
        <w:outlineLvl w:val="2"/>
        <w:rPr>
          <w:b/>
          <w:bCs/>
          <w:sz w:val="24"/>
        </w:rPr>
      </w:pPr>
      <w:bookmarkStart w:id="180" w:name="_Hlk166074072"/>
      <w:r>
        <w:rPr>
          <w:rFonts w:hint="eastAsia"/>
          <w:b/>
          <w:bCs/>
          <w:sz w:val="24"/>
        </w:rPr>
        <w:t>5</w:t>
      </w:r>
      <w:r>
        <w:rPr>
          <w:b/>
          <w:bCs/>
          <w:sz w:val="24"/>
        </w:rPr>
        <w:t>. IVUS</w:t>
      </w:r>
      <w:r>
        <w:rPr>
          <w:b/>
          <w:bCs/>
          <w:sz w:val="24"/>
        </w:rPr>
        <w:t>的钙化评分</w:t>
      </w:r>
      <w:r>
        <w:rPr>
          <w:rFonts w:hint="eastAsia"/>
          <w:b/>
          <w:bCs/>
          <w:sz w:val="24"/>
        </w:rPr>
        <w:t>标准</w:t>
      </w:r>
    </w:p>
    <w:p w:rsidR="00CA2089" w:rsidRDefault="00035E4E">
      <w:pPr>
        <w:spacing w:line="360" w:lineRule="auto"/>
        <w:rPr>
          <w:sz w:val="24"/>
        </w:rPr>
      </w:pPr>
      <w:r>
        <w:rPr>
          <w:sz w:val="24"/>
        </w:rPr>
        <w:t>1</w:t>
      </w:r>
      <w:r>
        <w:rPr>
          <w:rFonts w:hint="eastAsia"/>
          <w:sz w:val="24"/>
        </w:rPr>
        <w:t>分：</w:t>
      </w:r>
      <w:r>
        <w:rPr>
          <w:spacing w:val="8"/>
          <w:sz w:val="22"/>
          <w:szCs w:val="22"/>
          <w:shd w:val="clear" w:color="auto" w:fill="FFFFFF"/>
        </w:rPr>
        <w:t>钙化角度＞</w:t>
      </w:r>
      <w:r>
        <w:rPr>
          <w:spacing w:val="8"/>
          <w:sz w:val="22"/>
          <w:szCs w:val="22"/>
          <w:shd w:val="clear" w:color="auto" w:fill="FFFFFF"/>
        </w:rPr>
        <w:t>270°</w:t>
      </w:r>
      <w:r>
        <w:rPr>
          <w:spacing w:val="8"/>
          <w:sz w:val="22"/>
          <w:szCs w:val="22"/>
          <w:shd w:val="clear" w:color="auto" w:fill="FFFFFF"/>
        </w:rPr>
        <w:t>的长度超过</w:t>
      </w:r>
      <w:r>
        <w:rPr>
          <w:spacing w:val="8"/>
          <w:sz w:val="22"/>
          <w:szCs w:val="22"/>
          <w:shd w:val="clear" w:color="auto" w:fill="FFFFFF"/>
        </w:rPr>
        <w:t>5mm</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存在</w:t>
      </w:r>
      <w:r>
        <w:rPr>
          <w:spacing w:val="8"/>
          <w:sz w:val="22"/>
          <w:szCs w:val="22"/>
          <w:shd w:val="clear" w:color="auto" w:fill="FFFFFF"/>
        </w:rPr>
        <w:t>360</w:t>
      </w:r>
      <w:r>
        <w:rPr>
          <w:spacing w:val="8"/>
          <w:sz w:val="22"/>
          <w:szCs w:val="22"/>
          <w:shd w:val="clear" w:color="auto" w:fill="FFFFFF"/>
        </w:rPr>
        <w:t>度环形钙化</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存在钙化结节</w:t>
      </w:r>
    </w:p>
    <w:p w:rsidR="00CA2089" w:rsidRDefault="00035E4E">
      <w:pPr>
        <w:spacing w:line="360" w:lineRule="auto"/>
        <w:rPr>
          <w:sz w:val="24"/>
        </w:rPr>
      </w:pPr>
      <w:r>
        <w:rPr>
          <w:rFonts w:hint="eastAsia"/>
          <w:sz w:val="24"/>
        </w:rPr>
        <w:t>1</w:t>
      </w:r>
      <w:r>
        <w:rPr>
          <w:rFonts w:hint="eastAsia"/>
          <w:sz w:val="24"/>
        </w:rPr>
        <w:t>分：</w:t>
      </w:r>
      <w:r>
        <w:rPr>
          <w:spacing w:val="8"/>
          <w:sz w:val="22"/>
          <w:szCs w:val="22"/>
          <w:shd w:val="clear" w:color="auto" w:fill="FFFFFF"/>
        </w:rPr>
        <w:t>参考血管直径</w:t>
      </w:r>
      <w:r>
        <w:rPr>
          <w:spacing w:val="8"/>
          <w:sz w:val="22"/>
          <w:szCs w:val="22"/>
          <w:shd w:val="clear" w:color="auto" w:fill="FFFFFF"/>
        </w:rPr>
        <w:t>&lt;3.5mm</w:t>
      </w:r>
    </w:p>
    <w:bookmarkEnd w:id="180"/>
    <w:p w:rsidR="00CA2089" w:rsidRDefault="00CA2089">
      <w:pPr>
        <w:spacing w:line="360" w:lineRule="auto"/>
        <w:rPr>
          <w:sz w:val="24"/>
        </w:rPr>
      </w:pPr>
    </w:p>
    <w:p w:rsidR="00CA2089" w:rsidRDefault="00CA2089">
      <w:pPr>
        <w:pStyle w:val="a8"/>
        <w:spacing w:after="0" w:line="360" w:lineRule="auto"/>
        <w:ind w:leftChars="0" w:left="0"/>
        <w:jc w:val="center"/>
        <w:outlineLvl w:val="0"/>
        <w:rPr>
          <w:rFonts w:ascii="Times New Roman" w:eastAsia="宋体" w:hAnsi="Times New Roman" w:cs="Times New Roman"/>
          <w:b/>
          <w:bCs/>
          <w:sz w:val="28"/>
          <w:szCs w:val="28"/>
        </w:rPr>
        <w:sectPr w:rsidR="00CA2089">
          <w:pgSz w:w="11906" w:h="16838"/>
          <w:pgMar w:top="1928" w:right="1531" w:bottom="1814" w:left="1531" w:header="1077" w:footer="1361" w:gutter="0"/>
          <w:cols w:space="720"/>
          <w:docGrid w:type="lines" w:linePitch="312"/>
        </w:sectPr>
      </w:pPr>
      <w:bookmarkStart w:id="181" w:name="_Toc134753849"/>
      <w:bookmarkStart w:id="182" w:name="_Toc32313"/>
      <w:bookmarkEnd w:id="179"/>
    </w:p>
    <w:p w:rsidR="00CA2089" w:rsidRDefault="00035E4E">
      <w:pPr>
        <w:pStyle w:val="a8"/>
        <w:spacing w:after="0" w:line="360" w:lineRule="auto"/>
        <w:ind w:leftChars="0" w:left="0"/>
        <w:jc w:val="center"/>
        <w:outlineLvl w:val="0"/>
        <w:rPr>
          <w:rFonts w:ascii="Times New Roman" w:eastAsia="宋体" w:hAnsi="Times New Roman" w:cs="Times New Roman"/>
          <w:b/>
          <w:bCs/>
          <w:sz w:val="28"/>
          <w:szCs w:val="28"/>
        </w:rPr>
      </w:pPr>
      <w:r>
        <w:rPr>
          <w:rFonts w:ascii="Times New Roman" w:eastAsia="宋体" w:hAnsi="Times New Roman" w:cs="Times New Roman"/>
          <w:b/>
          <w:bCs/>
          <w:sz w:val="28"/>
          <w:szCs w:val="28"/>
        </w:rPr>
        <w:lastRenderedPageBreak/>
        <w:t>研究者声明</w:t>
      </w:r>
      <w:bookmarkEnd w:id="181"/>
      <w:bookmarkEnd w:id="182"/>
    </w:p>
    <w:p w:rsidR="00CA2089" w:rsidRDefault="00035E4E">
      <w:pPr>
        <w:pStyle w:val="a8"/>
        <w:spacing w:after="0" w:line="276" w:lineRule="auto"/>
        <w:ind w:leftChars="0"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我同意：</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sz w:val="24"/>
          <w:szCs w:val="24"/>
        </w:rPr>
        <w:t>严格按照赫尔辛基宣言、中国现行法规、以及试验方案的要求进行本次临床试验。</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将所要求的全部数据准确记录于病例报告表（</w:t>
      </w:r>
      <w:r>
        <w:rPr>
          <w:rFonts w:ascii="Times New Roman" w:eastAsia="宋体" w:hAnsi="Times New Roman" w:cs="Times New Roman"/>
          <w:sz w:val="24"/>
          <w:szCs w:val="24"/>
        </w:rPr>
        <w:t>CRF</w:t>
      </w:r>
      <w:r>
        <w:rPr>
          <w:rFonts w:ascii="Times New Roman" w:eastAsia="宋体" w:hAnsi="Times New Roman" w:cs="Times New Roman"/>
          <w:sz w:val="24"/>
          <w:szCs w:val="24"/>
        </w:rPr>
        <w:t>）中，配合完成临床试验报告。</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试验医疗器械仅用于本次临床试验，在临床试验过程中完整准确地记录试验医疗器械的接收和使用情况，并保存记录。</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4.</w:t>
      </w:r>
      <w:r>
        <w:rPr>
          <w:rFonts w:ascii="Times New Roman" w:eastAsia="宋体" w:hAnsi="Times New Roman" w:cs="Times New Roman"/>
          <w:sz w:val="24"/>
          <w:szCs w:val="24"/>
        </w:rPr>
        <w:t>允许申办者授权或派遣的监查员、稽查员和监管部门对该项临床试验进行监查、稽查和检查。</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5.</w:t>
      </w:r>
      <w:r>
        <w:rPr>
          <w:rFonts w:ascii="Times New Roman" w:eastAsia="宋体" w:hAnsi="Times New Roman" w:cs="Times New Roman"/>
          <w:sz w:val="24"/>
          <w:szCs w:val="24"/>
        </w:rPr>
        <w:t>严格履行各方签署的临床试验合同</w:t>
      </w:r>
      <w:r>
        <w:rPr>
          <w:rFonts w:ascii="Times New Roman" w:eastAsia="宋体" w:hAnsi="Times New Roman" w:cs="Times New Roman"/>
          <w:sz w:val="24"/>
          <w:szCs w:val="24"/>
        </w:rPr>
        <w:t>/</w:t>
      </w:r>
      <w:r>
        <w:rPr>
          <w:rFonts w:ascii="Times New Roman" w:eastAsia="宋体" w:hAnsi="Times New Roman" w:cs="Times New Roman"/>
          <w:sz w:val="24"/>
          <w:szCs w:val="24"/>
        </w:rPr>
        <w:t>协议条款。</w:t>
      </w:r>
    </w:p>
    <w:p w:rsidR="00CA2089" w:rsidRDefault="00035E4E">
      <w:pPr>
        <w:pStyle w:val="af0"/>
        <w:spacing w:line="276" w:lineRule="auto"/>
        <w:ind w:left="0"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我已全部阅读了临床试验方案，包括以上的声明，我同意以上全部内容。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CA2089">
        <w:trPr>
          <w:trHeight w:val="1941"/>
          <w:jc w:val="center"/>
        </w:trPr>
        <w:tc>
          <w:tcPr>
            <w:tcW w:w="7920" w:type="dxa"/>
            <w:tcBorders>
              <w:top w:val="single" w:sz="4" w:space="0" w:color="auto"/>
              <w:left w:val="single" w:sz="4" w:space="0" w:color="auto"/>
              <w:bottom w:val="single" w:sz="4" w:space="0" w:color="auto"/>
              <w:right w:val="single" w:sz="4" w:space="0" w:color="auto"/>
            </w:tcBorders>
          </w:tcPr>
          <w:p w:rsidR="00CA2089" w:rsidRDefault="00035E4E">
            <w:pPr>
              <w:spacing w:line="360" w:lineRule="auto"/>
              <w:rPr>
                <w:sz w:val="24"/>
              </w:rPr>
            </w:pPr>
            <w:r>
              <w:rPr>
                <w:sz w:val="24"/>
              </w:rPr>
              <w:t>主要研究者</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right="960"/>
              <w:jc w:val="center"/>
              <w:rPr>
                <w:sz w:val="24"/>
              </w:rPr>
            </w:pPr>
            <w:r>
              <w:rPr>
                <w:sz w:val="24"/>
              </w:rPr>
              <w:t xml:space="preserve">                                                </w:t>
            </w:r>
            <w:r>
              <w:rPr>
                <w:sz w:val="24"/>
              </w:rPr>
              <w:t>签名</w:t>
            </w:r>
          </w:p>
          <w:p w:rsidR="00CA2089" w:rsidRDefault="00035E4E">
            <w:pPr>
              <w:spacing w:line="360" w:lineRule="auto"/>
              <w:jc w:val="right"/>
              <w:rPr>
                <w:sz w:val="24"/>
              </w:rPr>
            </w:pPr>
            <w:r>
              <w:rPr>
                <w:sz w:val="24"/>
              </w:rPr>
              <w:t>年　　月　　日</w:t>
            </w:r>
          </w:p>
        </w:tc>
      </w:tr>
    </w:tbl>
    <w:p w:rsidR="00CA2089" w:rsidRDefault="00CA2089">
      <w:pPr>
        <w:ind w:firstLineChars="200" w:firstLine="48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0"/>
      </w:tblGrid>
      <w:tr w:rsidR="00CA2089">
        <w:trPr>
          <w:trHeight w:val="2674"/>
          <w:jc w:val="center"/>
        </w:trPr>
        <w:tc>
          <w:tcPr>
            <w:tcW w:w="7920" w:type="dxa"/>
          </w:tcPr>
          <w:p w:rsidR="00CA2089" w:rsidRDefault="00035E4E">
            <w:pPr>
              <w:spacing w:line="360" w:lineRule="auto"/>
              <w:rPr>
                <w:sz w:val="24"/>
              </w:rPr>
            </w:pPr>
            <w:r>
              <w:rPr>
                <w:sz w:val="24"/>
              </w:rPr>
              <w:t>医疗器械临床试验机构</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right="960"/>
              <w:rPr>
                <w:sz w:val="24"/>
              </w:rPr>
            </w:pPr>
            <w:r>
              <w:rPr>
                <w:sz w:val="24"/>
              </w:rPr>
              <w:t xml:space="preserve">                                                </w:t>
            </w:r>
            <w:r>
              <w:rPr>
                <w:sz w:val="24"/>
              </w:rPr>
              <w:t xml:space="preserve">　签章</w:t>
            </w:r>
          </w:p>
          <w:p w:rsidR="00CA2089" w:rsidRDefault="00035E4E">
            <w:pPr>
              <w:spacing w:line="360" w:lineRule="auto"/>
              <w:jc w:val="right"/>
              <w:rPr>
                <w:sz w:val="24"/>
              </w:rPr>
            </w:pPr>
            <w:r>
              <w:rPr>
                <w:sz w:val="24"/>
              </w:rPr>
              <w:t xml:space="preserve">　　　　　　　　　　　　　　　　年　　月　　日</w:t>
            </w:r>
          </w:p>
        </w:tc>
      </w:tr>
    </w:tbl>
    <w:p w:rsidR="00CA2089" w:rsidRDefault="00CA2089">
      <w:pPr>
        <w:ind w:firstLineChars="200" w:firstLine="480"/>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2"/>
      </w:tblGrid>
      <w:tr w:rsidR="00CA2089">
        <w:trPr>
          <w:trHeight w:val="1979"/>
          <w:jc w:val="center"/>
        </w:trPr>
        <w:tc>
          <w:tcPr>
            <w:tcW w:w="7932" w:type="dxa"/>
          </w:tcPr>
          <w:p w:rsidR="00CA2089" w:rsidRDefault="00035E4E">
            <w:pPr>
              <w:spacing w:line="360" w:lineRule="auto"/>
              <w:rPr>
                <w:sz w:val="24"/>
              </w:rPr>
            </w:pPr>
            <w:r>
              <w:rPr>
                <w:sz w:val="24"/>
              </w:rPr>
              <w:t>申办者</w:t>
            </w:r>
          </w:p>
          <w:p w:rsidR="00CA2089" w:rsidRDefault="00CA2089">
            <w:pPr>
              <w:spacing w:line="360" w:lineRule="auto"/>
              <w:rPr>
                <w:sz w:val="24"/>
              </w:rPr>
            </w:pPr>
          </w:p>
          <w:p w:rsidR="00CA2089" w:rsidRDefault="00CA2089">
            <w:pPr>
              <w:spacing w:line="360" w:lineRule="auto"/>
              <w:rPr>
                <w:sz w:val="24"/>
              </w:rPr>
            </w:pPr>
          </w:p>
          <w:p w:rsidR="00CA2089" w:rsidRDefault="00035E4E">
            <w:pPr>
              <w:spacing w:line="360" w:lineRule="auto"/>
              <w:ind w:leftChars="100" w:left="210" w:firstLineChars="100" w:firstLine="240"/>
              <w:rPr>
                <w:sz w:val="24"/>
              </w:rPr>
            </w:pPr>
            <w:r>
              <w:rPr>
                <w:sz w:val="24"/>
              </w:rPr>
              <w:t xml:space="preserve">　　　　　　　　　　　　　　　</w:t>
            </w:r>
            <w:r>
              <w:rPr>
                <w:sz w:val="24"/>
              </w:rPr>
              <w:t xml:space="preserve"> </w:t>
            </w:r>
            <w:r>
              <w:rPr>
                <w:sz w:val="24"/>
              </w:rPr>
              <w:t xml:space="preserve">　</w:t>
            </w:r>
            <w:r>
              <w:rPr>
                <w:sz w:val="24"/>
              </w:rPr>
              <w:t xml:space="preserve">             </w:t>
            </w:r>
            <w:r>
              <w:rPr>
                <w:sz w:val="24"/>
              </w:rPr>
              <w:t>签章</w:t>
            </w:r>
          </w:p>
          <w:p w:rsidR="00CA2089" w:rsidRDefault="00035E4E">
            <w:pPr>
              <w:spacing w:line="360" w:lineRule="auto"/>
              <w:ind w:firstLineChars="200" w:firstLine="480"/>
              <w:rPr>
                <w:sz w:val="24"/>
              </w:rPr>
            </w:pPr>
            <w:r>
              <w:rPr>
                <w:sz w:val="24"/>
              </w:rPr>
              <w:t xml:space="preserve">　　　　　　　　　　　　　　　　</w:t>
            </w:r>
            <w:r>
              <w:rPr>
                <w:sz w:val="24"/>
              </w:rPr>
              <w:t xml:space="preserve">              </w:t>
            </w:r>
            <w:r>
              <w:rPr>
                <w:sz w:val="24"/>
              </w:rPr>
              <w:t>年　　月　　日</w:t>
            </w:r>
          </w:p>
        </w:tc>
      </w:tr>
    </w:tbl>
    <w:p w:rsidR="00CA2089" w:rsidRDefault="00CA2089">
      <w:pPr>
        <w:spacing w:line="360" w:lineRule="auto"/>
        <w:ind w:firstLineChars="200" w:firstLine="560"/>
        <w:rPr>
          <w:sz w:val="28"/>
          <w:szCs w:val="28"/>
        </w:rPr>
      </w:pPr>
    </w:p>
    <w:sectPr w:rsidR="00CA2089">
      <w:pgSz w:w="11906" w:h="16838"/>
      <w:pgMar w:top="1928" w:right="1531" w:bottom="1814" w:left="1531" w:header="1077" w:footer="1361"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D58" w:rsidRDefault="00453D58">
      <w:r>
        <w:separator/>
      </w:r>
    </w:p>
  </w:endnote>
  <w:endnote w:type="continuationSeparator" w:id="0">
    <w:p w:rsidR="00453D58" w:rsidRDefault="00453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ì.">
    <w:altName w:val="黑体"/>
    <w:charset w:val="86"/>
    <w:family w:val="modern"/>
    <w:pitch w:val="default"/>
    <w:sig w:usb0="00000000" w:usb1="00000000" w:usb2="00000010" w:usb3="00000000" w:csb0="00040000" w:csb1="00000000"/>
  </w:font>
  <w:font w:name="PMingLiU">
    <w:altName w:val="Microsoft JhengHei"/>
    <w:panose1 w:val="02010601000101010101"/>
    <w:charset w:val="88"/>
    <w:family w:val="roman"/>
    <w:pitch w:val="variable"/>
    <w:sig w:usb0="00000000"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c"/>
      <w:framePr w:wrap="around" w:vAnchor="text" w:hAnchor="margin" w:xAlign="outside" w:y="1"/>
      <w:rPr>
        <w:rStyle w:val="af6"/>
        <w:sz w:val="28"/>
        <w:szCs w:val="28"/>
      </w:rPr>
    </w:pPr>
    <w:r>
      <w:rPr>
        <w:rStyle w:val="af6"/>
        <w:rFonts w:hint="eastAsia"/>
        <w:color w:val="FFFFFF"/>
        <w:sz w:val="28"/>
        <w:szCs w:val="28"/>
      </w:rPr>
      <w:t>—</w:t>
    </w:r>
    <w:r>
      <w:rPr>
        <w:rStyle w:val="af6"/>
        <w:rFonts w:hint="eastAsia"/>
        <w:sz w:val="28"/>
        <w:szCs w:val="28"/>
      </w:rPr>
      <w:t>—</w:t>
    </w:r>
    <w:r>
      <w:rPr>
        <w:rStyle w:val="af6"/>
        <w:rFonts w:hint="eastAsia"/>
        <w:sz w:val="28"/>
        <w:szCs w:val="28"/>
      </w:rPr>
      <w:t xml:space="preserve"> </w:t>
    </w:r>
    <w:r>
      <w:rPr>
        <w:sz w:val="28"/>
        <w:szCs w:val="28"/>
      </w:rPr>
      <w:fldChar w:fldCharType="begin"/>
    </w:r>
    <w:r>
      <w:rPr>
        <w:rStyle w:val="af6"/>
        <w:sz w:val="28"/>
        <w:szCs w:val="28"/>
      </w:rPr>
      <w:instrText xml:space="preserve">PAGE  </w:instrText>
    </w:r>
    <w:r>
      <w:rPr>
        <w:sz w:val="28"/>
        <w:szCs w:val="28"/>
      </w:rPr>
      <w:fldChar w:fldCharType="separate"/>
    </w:r>
    <w:r>
      <w:rPr>
        <w:rStyle w:val="af6"/>
        <w:sz w:val="28"/>
        <w:szCs w:val="28"/>
      </w:rPr>
      <w:t>2</w:t>
    </w:r>
    <w:r>
      <w:rPr>
        <w:sz w:val="28"/>
        <w:szCs w:val="28"/>
      </w:rPr>
      <w:fldChar w:fldCharType="end"/>
    </w:r>
    <w:r>
      <w:rPr>
        <w:rStyle w:val="af6"/>
        <w:rFonts w:hint="eastAsia"/>
        <w:sz w:val="28"/>
        <w:szCs w:val="28"/>
      </w:rPr>
      <w:t xml:space="preserve"> </w:t>
    </w:r>
    <w:r>
      <w:rPr>
        <w:rStyle w:val="af6"/>
        <w:rFonts w:hint="eastAsia"/>
        <w:sz w:val="28"/>
        <w:szCs w:val="28"/>
      </w:rPr>
      <w:t>—</w:t>
    </w:r>
    <w:r>
      <w:rPr>
        <w:rStyle w:val="af6"/>
        <w:rFonts w:hint="eastAsia"/>
        <w:sz w:val="28"/>
        <w:szCs w:val="28"/>
      </w:rPr>
      <w:t xml:space="preserve"> </w:t>
    </w:r>
  </w:p>
  <w:p w:rsidR="00CA2089" w:rsidRDefault="00CA2089">
    <w:pPr>
      <w:pStyle w:val="ac"/>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6266461"/>
      <w:showingPlcHdr/>
    </w:sdtPr>
    <w:sdtEndPr/>
    <w:sdtContent>
      <w:p w:rsidR="00CA2089" w:rsidRDefault="00FC5DBF">
        <w:pPr>
          <w:pStyle w:val="ac"/>
        </w:pPr>
        <w:r>
          <w:t xml:space="preserve">     </w:t>
        </w:r>
      </w:p>
    </w:sdtContent>
  </w:sdt>
  <w:p w:rsidR="00CA2089" w:rsidRDefault="00CA2089">
    <w:pPr>
      <w:pStyle w:val="ac"/>
      <w:wordWrap w:val="0"/>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CA2089">
    <w:pPr>
      <w:pStyle w:val="ac"/>
      <w:jc w:val="center"/>
    </w:pPr>
  </w:p>
  <w:p w:rsidR="00CA2089" w:rsidRDefault="00CA2089">
    <w:pPr>
      <w:pStyle w:val="ac"/>
      <w:wordWrap w:val="0"/>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c"/>
      <w:jc w:val="center"/>
    </w:pPr>
    <w:r>
      <w:ptab w:relativeTo="margin" w:alignment="center" w:leader="none"/>
    </w:r>
    <w:r>
      <w:fldChar w:fldCharType="begin"/>
    </w:r>
    <w:r>
      <w:instrText>PAGE   \* MERGEFORMAT</w:instrText>
    </w:r>
    <w:r>
      <w:fldChar w:fldCharType="separate"/>
    </w:r>
    <w:r w:rsidR="00AC498E" w:rsidRPr="00AC498E">
      <w:rPr>
        <w:noProof/>
        <w:lang w:val="zh-CN"/>
      </w:rPr>
      <w:t>I</w:t>
    </w:r>
    <w:r>
      <w:fldChar w:fldCharType="end"/>
    </w:r>
    <w:r>
      <w:t xml:space="preserve"> </w:t>
    </w:r>
    <w:r>
      <w:ptab w:relativeTo="margin" w:alignment="right" w:leader="none"/>
    </w:r>
    <w:r>
      <w:rPr>
        <w:rFonts w:hint="eastAsia"/>
      </w:rPr>
      <w:t>版本号：</w:t>
    </w:r>
    <w:r>
      <w:rPr>
        <w:rFonts w:hint="eastAsia"/>
      </w:rPr>
      <w:t>V</w:t>
    </w:r>
    <w:r>
      <w:t>1.</w:t>
    </w:r>
    <w:r w:rsidR="000F6BD2">
      <w:t xml:space="preserve">4 </w:t>
    </w:r>
    <w:r>
      <w:rPr>
        <w:rFonts w:hint="eastAsia"/>
      </w:rPr>
      <w:t>版本日期：</w:t>
    </w:r>
    <w:r w:rsidR="000F6BD2">
      <w:rPr>
        <w:rFonts w:hint="eastAsia"/>
      </w:rPr>
      <w:t>2</w:t>
    </w:r>
    <w:r w:rsidR="000F6BD2">
      <w:t>025</w:t>
    </w:r>
    <w:r>
      <w:rPr>
        <w:rFonts w:hint="eastAsia"/>
      </w:rPr>
      <w:t>年</w:t>
    </w:r>
    <w:r w:rsidR="000F6BD2">
      <w:t>07</w:t>
    </w:r>
    <w:r>
      <w:rPr>
        <w:rFonts w:hint="eastAsia"/>
      </w:rPr>
      <w:t>月</w:t>
    </w:r>
    <w:r w:rsidR="00CE738E">
      <w:t>17</w:t>
    </w:r>
    <w:r>
      <w:rPr>
        <w:rFonts w:hint="eastAsia"/>
      </w:rPr>
      <w:t>日</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D58" w:rsidRDefault="00453D58">
      <w:r>
        <w:separator/>
      </w:r>
    </w:p>
  </w:footnote>
  <w:footnote w:type="continuationSeparator" w:id="0">
    <w:p w:rsidR="00453D58" w:rsidRDefault="00453D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r>
      <w:ptab w:relativeTo="margin" w:alignment="left" w:leader="none"/>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2089" w:rsidRDefault="00035E4E">
    <w:pPr>
      <w:pStyle w:val="ae"/>
    </w:pPr>
    <w:r>
      <w:ptab w:relativeTo="margin" w:alignment="left" w:leader="none"/>
    </w:r>
    <w:r>
      <w:rPr>
        <w:rFonts w:hint="eastAsia"/>
      </w:rPr>
      <w:t>血管内冲击波治疗设备和震波球囊扩张导管</w:t>
    </w:r>
    <w:r>
      <w:ptab w:relativeTo="margin" w:alignment="right" w:leader="none"/>
    </w:r>
    <w:r>
      <w:t>IVL2023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FFD16B"/>
    <w:multiLevelType w:val="singleLevel"/>
    <w:tmpl w:val="ABFFD16B"/>
    <w:lvl w:ilvl="0">
      <w:start w:val="2"/>
      <w:numFmt w:val="chineseCounting"/>
      <w:pStyle w:val="num2"/>
      <w:suff w:val="nothing"/>
      <w:lvlText w:val="%1、"/>
      <w:lvlJc w:val="left"/>
      <w:rPr>
        <w:rFonts w:hint="eastAsia"/>
      </w:rPr>
    </w:lvl>
  </w:abstractNum>
  <w:abstractNum w:abstractNumId="1" w15:restartNumberingAfterBreak="0">
    <w:nsid w:val="AE74B371"/>
    <w:multiLevelType w:val="singleLevel"/>
    <w:tmpl w:val="AE74B371"/>
    <w:lvl w:ilvl="0">
      <w:start w:val="1"/>
      <w:numFmt w:val="decimal"/>
      <w:suff w:val="nothing"/>
      <w:lvlText w:val="（%1）"/>
      <w:lvlJc w:val="left"/>
      <w:pPr>
        <w:ind w:left="860" w:hanging="440"/>
      </w:pPr>
      <w:rPr>
        <w:rFonts w:hint="default"/>
        <w:color w:val="auto"/>
      </w:rPr>
    </w:lvl>
  </w:abstractNum>
  <w:abstractNum w:abstractNumId="2" w15:restartNumberingAfterBreak="0">
    <w:nsid w:val="E6620130"/>
    <w:multiLevelType w:val="singleLevel"/>
    <w:tmpl w:val="E6620130"/>
    <w:lvl w:ilvl="0">
      <w:start w:val="1"/>
      <w:numFmt w:val="decimal"/>
      <w:suff w:val="nothing"/>
      <w:lvlText w:val="%1."/>
      <w:lvlJc w:val="left"/>
      <w:pPr>
        <w:ind w:left="0" w:firstLine="0"/>
      </w:pPr>
      <w:rPr>
        <w:rFonts w:ascii="Times New Roman" w:hAnsi="Times New Roman" w:cs="Times New Roman" w:hint="default"/>
      </w:rPr>
    </w:lvl>
  </w:abstractNum>
  <w:abstractNum w:abstractNumId="3" w15:restartNumberingAfterBreak="0">
    <w:nsid w:val="035C0197"/>
    <w:multiLevelType w:val="multilevel"/>
    <w:tmpl w:val="035C0197"/>
    <w:lvl w:ilvl="0">
      <w:start w:val="1"/>
      <w:numFmt w:val="bullet"/>
      <w:lvlText w:val=""/>
      <w:lvlJc w:val="left"/>
      <w:pPr>
        <w:ind w:left="1149"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0AB57FB8"/>
    <w:multiLevelType w:val="singleLevel"/>
    <w:tmpl w:val="0AB57FB8"/>
    <w:lvl w:ilvl="0">
      <w:start w:val="1"/>
      <w:numFmt w:val="decimal"/>
      <w:suff w:val="nothing"/>
      <w:lvlText w:val="%1."/>
      <w:lvlJc w:val="left"/>
      <w:pPr>
        <w:ind w:left="0" w:firstLine="0"/>
      </w:pPr>
      <w:rPr>
        <w:rFonts w:hint="eastAsia"/>
      </w:rPr>
    </w:lvl>
  </w:abstractNum>
  <w:abstractNum w:abstractNumId="5" w15:restartNumberingAfterBreak="0">
    <w:nsid w:val="10FA6A77"/>
    <w:multiLevelType w:val="multilevel"/>
    <w:tmpl w:val="10FA6A77"/>
    <w:lvl w:ilvl="0">
      <w:start w:val="1"/>
      <w:numFmt w:val="decimal"/>
      <w:suff w:val="space"/>
      <w:lvlText w:val="（%1）"/>
      <w:lvlJc w:val="left"/>
      <w:pPr>
        <w:ind w:left="440" w:hanging="440"/>
      </w:pPr>
      <w:rPr>
        <w:rFonts w:ascii="Times New Roman" w:eastAsia="宋体" w:hAnsi="Times New Roman" w:hint="default"/>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BE5B1F"/>
    <w:multiLevelType w:val="singleLevel"/>
    <w:tmpl w:val="15BE5B1F"/>
    <w:lvl w:ilvl="0">
      <w:start w:val="1"/>
      <w:numFmt w:val="decimal"/>
      <w:suff w:val="nothing"/>
      <w:lvlText w:val="%1."/>
      <w:lvlJc w:val="left"/>
      <w:pPr>
        <w:ind w:left="0" w:firstLine="0"/>
      </w:pPr>
      <w:rPr>
        <w:rFonts w:hint="eastAsia"/>
      </w:rPr>
    </w:lvl>
  </w:abstractNum>
  <w:abstractNum w:abstractNumId="7" w15:restartNumberingAfterBreak="0">
    <w:nsid w:val="21E57B70"/>
    <w:multiLevelType w:val="singleLevel"/>
    <w:tmpl w:val="21E57B70"/>
    <w:lvl w:ilvl="0">
      <w:start w:val="1"/>
      <w:numFmt w:val="decimal"/>
      <w:suff w:val="nothing"/>
      <w:lvlText w:val="%1."/>
      <w:lvlJc w:val="left"/>
      <w:pPr>
        <w:ind w:left="0" w:firstLine="0"/>
      </w:pPr>
      <w:rPr>
        <w:rFonts w:hint="eastAsia"/>
      </w:rPr>
    </w:lvl>
  </w:abstractNum>
  <w:abstractNum w:abstractNumId="8" w15:restartNumberingAfterBreak="0">
    <w:nsid w:val="274E2584"/>
    <w:multiLevelType w:val="singleLevel"/>
    <w:tmpl w:val="274E2584"/>
    <w:lvl w:ilvl="0">
      <w:start w:val="1"/>
      <w:numFmt w:val="decimal"/>
      <w:suff w:val="nothing"/>
      <w:lvlText w:val="%1."/>
      <w:lvlJc w:val="left"/>
      <w:pPr>
        <w:ind w:left="0" w:firstLine="0"/>
      </w:pPr>
      <w:rPr>
        <w:rFonts w:hint="eastAsia"/>
      </w:rPr>
    </w:lvl>
  </w:abstractNum>
  <w:abstractNum w:abstractNumId="9" w15:restartNumberingAfterBreak="0">
    <w:nsid w:val="2A1648B1"/>
    <w:multiLevelType w:val="multilevel"/>
    <w:tmpl w:val="2A1648B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455F1AE7"/>
    <w:multiLevelType w:val="singleLevel"/>
    <w:tmpl w:val="455F1AE7"/>
    <w:lvl w:ilvl="0">
      <w:start w:val="1"/>
      <w:numFmt w:val="decimal"/>
      <w:suff w:val="nothing"/>
      <w:lvlText w:val="%1."/>
      <w:lvlJc w:val="left"/>
      <w:pPr>
        <w:ind w:left="0" w:firstLine="0"/>
      </w:pPr>
      <w:rPr>
        <w:rFonts w:hint="eastAsia"/>
      </w:rPr>
    </w:lvl>
  </w:abstractNum>
  <w:abstractNum w:abstractNumId="11" w15:restartNumberingAfterBreak="0">
    <w:nsid w:val="49C667AD"/>
    <w:multiLevelType w:val="multilevel"/>
    <w:tmpl w:val="49C667A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527E635B"/>
    <w:multiLevelType w:val="singleLevel"/>
    <w:tmpl w:val="527E635B"/>
    <w:lvl w:ilvl="0">
      <w:start w:val="1"/>
      <w:numFmt w:val="decimal"/>
      <w:suff w:val="nothing"/>
      <w:lvlText w:val="%1."/>
      <w:lvlJc w:val="left"/>
      <w:pPr>
        <w:ind w:left="0" w:firstLine="0"/>
      </w:pPr>
      <w:rPr>
        <w:rFonts w:hint="eastAsia"/>
      </w:rPr>
    </w:lvl>
  </w:abstractNum>
  <w:abstractNum w:abstractNumId="13" w15:restartNumberingAfterBreak="0">
    <w:nsid w:val="57C4544B"/>
    <w:multiLevelType w:val="multilevel"/>
    <w:tmpl w:val="57C4544B"/>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25C0183"/>
    <w:multiLevelType w:val="multilevel"/>
    <w:tmpl w:val="725C0183"/>
    <w:lvl w:ilvl="0">
      <w:start w:val="1"/>
      <w:numFmt w:val="decimal"/>
      <w:suff w:val="space"/>
      <w:lvlText w:val="（%1）"/>
      <w:lvlJc w:val="left"/>
      <w:pPr>
        <w:ind w:left="440" w:hanging="440"/>
      </w:pPr>
      <w:rPr>
        <w:rFonts w:ascii="Times New Roman" w:eastAsia="宋体" w:hAnsi="Times New Roman" w:hint="default"/>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755E130D"/>
    <w:multiLevelType w:val="singleLevel"/>
    <w:tmpl w:val="755E130D"/>
    <w:lvl w:ilvl="0">
      <w:start w:val="1"/>
      <w:numFmt w:val="decimal"/>
      <w:suff w:val="nothing"/>
      <w:lvlText w:val="（%1）"/>
      <w:lvlJc w:val="left"/>
    </w:lvl>
  </w:abstractNum>
  <w:abstractNum w:abstractNumId="16" w15:restartNumberingAfterBreak="0">
    <w:nsid w:val="7A3E69BC"/>
    <w:multiLevelType w:val="singleLevel"/>
    <w:tmpl w:val="7A3E69BC"/>
    <w:lvl w:ilvl="0">
      <w:start w:val="1"/>
      <w:numFmt w:val="decimal"/>
      <w:suff w:val="nothing"/>
      <w:lvlText w:val="%1."/>
      <w:lvlJc w:val="left"/>
      <w:pPr>
        <w:ind w:left="0" w:firstLine="0"/>
      </w:pPr>
      <w:rPr>
        <w:rFonts w:ascii="Times New Roman" w:hAnsi="Times New Roman" w:cs="Times New Roman" w:hint="default"/>
      </w:rPr>
    </w:lvl>
  </w:abstractNum>
  <w:abstractNum w:abstractNumId="17" w15:restartNumberingAfterBreak="0">
    <w:nsid w:val="7AAF4FF1"/>
    <w:multiLevelType w:val="singleLevel"/>
    <w:tmpl w:val="7AAF4FF1"/>
    <w:lvl w:ilvl="0">
      <w:start w:val="1"/>
      <w:numFmt w:val="decimal"/>
      <w:suff w:val="nothing"/>
      <w:lvlText w:val="%1."/>
      <w:lvlJc w:val="left"/>
      <w:pPr>
        <w:ind w:left="0" w:firstLine="0"/>
      </w:pPr>
      <w:rPr>
        <w:rFonts w:ascii="Times New Roman" w:hAnsi="Times New Roman" w:cs="Times New Roman" w:hint="default"/>
      </w:rPr>
    </w:lvl>
  </w:abstractNum>
  <w:abstractNum w:abstractNumId="18" w15:restartNumberingAfterBreak="0">
    <w:nsid w:val="7BCD41B4"/>
    <w:multiLevelType w:val="singleLevel"/>
    <w:tmpl w:val="7BCD41B4"/>
    <w:lvl w:ilvl="0">
      <w:start w:val="1"/>
      <w:numFmt w:val="decimal"/>
      <w:suff w:val="nothing"/>
      <w:lvlText w:val="%1."/>
      <w:lvlJc w:val="left"/>
      <w:pPr>
        <w:ind w:left="0" w:firstLine="0"/>
      </w:pPr>
      <w:rPr>
        <w:rFonts w:hint="eastAsia"/>
      </w:rPr>
    </w:lvl>
  </w:abstractNum>
  <w:abstractNum w:abstractNumId="19" w15:restartNumberingAfterBreak="0">
    <w:nsid w:val="7DE479F4"/>
    <w:multiLevelType w:val="multilevel"/>
    <w:tmpl w:val="7DE479F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7E030B1A"/>
    <w:multiLevelType w:val="singleLevel"/>
    <w:tmpl w:val="7E030B1A"/>
    <w:lvl w:ilvl="0">
      <w:start w:val="1"/>
      <w:numFmt w:val="decimal"/>
      <w:suff w:val="nothing"/>
      <w:lvlText w:val="%1."/>
      <w:lvlJc w:val="left"/>
      <w:pPr>
        <w:ind w:left="0" w:firstLine="0"/>
      </w:pPr>
      <w:rPr>
        <w:rFonts w:hint="eastAsia"/>
      </w:rPr>
    </w:lvl>
  </w:abstractNum>
  <w:num w:numId="1">
    <w:abstractNumId w:val="0"/>
  </w:num>
  <w:num w:numId="2">
    <w:abstractNumId w:val="5"/>
  </w:num>
  <w:num w:numId="3">
    <w:abstractNumId w:val="14"/>
  </w:num>
  <w:num w:numId="4">
    <w:abstractNumId w:val="9"/>
  </w:num>
  <w:num w:numId="5">
    <w:abstractNumId w:val="3"/>
  </w:num>
  <w:num w:numId="6">
    <w:abstractNumId w:val="19"/>
  </w:num>
  <w:num w:numId="7">
    <w:abstractNumId w:val="11"/>
  </w:num>
  <w:num w:numId="8">
    <w:abstractNumId w:val="2"/>
  </w:num>
  <w:num w:numId="9">
    <w:abstractNumId w:val="10"/>
  </w:num>
  <w:num w:numId="10">
    <w:abstractNumId w:val="12"/>
  </w:num>
  <w:num w:numId="11">
    <w:abstractNumId w:val="1"/>
  </w:num>
  <w:num w:numId="12">
    <w:abstractNumId w:val="4"/>
  </w:num>
  <w:num w:numId="13">
    <w:abstractNumId w:val="20"/>
  </w:num>
  <w:num w:numId="14">
    <w:abstractNumId w:val="13"/>
  </w:num>
  <w:num w:numId="15">
    <w:abstractNumId w:val="15"/>
  </w:num>
  <w:num w:numId="16">
    <w:abstractNumId w:val="8"/>
  </w:num>
  <w:num w:numId="17">
    <w:abstractNumId w:val="16"/>
  </w:num>
  <w:num w:numId="18">
    <w:abstractNumId w:val="18"/>
  </w:num>
  <w:num w:numId="19">
    <w:abstractNumId w:val="17"/>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zMjNmNjI1ODIyOWRhNGZlOTdlMzI3MWYwY2Y0ZDkifQ=="/>
    <w:docVar w:name="KY_MEDREF_DOCUID" w:val="{31FFD514-D845-4776-A8CE-834B042AB30B}"/>
    <w:docVar w:name="KY_MEDREF_VERSION" w:val="3"/>
  </w:docVars>
  <w:rsids>
    <w:rsidRoot w:val="00FA60C8"/>
    <w:rsid w:val="8ACF6BCB"/>
    <w:rsid w:val="9CF779D3"/>
    <w:rsid w:val="9DF74A28"/>
    <w:rsid w:val="9FFF1748"/>
    <w:rsid w:val="ABEE9937"/>
    <w:rsid w:val="AE6DF97C"/>
    <w:rsid w:val="AE9FA30E"/>
    <w:rsid w:val="AF7E3731"/>
    <w:rsid w:val="AFB767AB"/>
    <w:rsid w:val="B59C95A6"/>
    <w:rsid w:val="B956938E"/>
    <w:rsid w:val="BA7C527C"/>
    <w:rsid w:val="BF9F9802"/>
    <w:rsid w:val="BFDEE498"/>
    <w:rsid w:val="BFFFA68C"/>
    <w:rsid w:val="C75BAD50"/>
    <w:rsid w:val="CECEAED5"/>
    <w:rsid w:val="D3FF86D6"/>
    <w:rsid w:val="D7EF4F30"/>
    <w:rsid w:val="DAEFBAC0"/>
    <w:rsid w:val="DBFF303B"/>
    <w:rsid w:val="DFF7A5E7"/>
    <w:rsid w:val="E3D76B8E"/>
    <w:rsid w:val="E597D058"/>
    <w:rsid w:val="E77F02FF"/>
    <w:rsid w:val="E9FC1661"/>
    <w:rsid w:val="EBBCC4B7"/>
    <w:rsid w:val="EBCED0E1"/>
    <w:rsid w:val="EBFA34C8"/>
    <w:rsid w:val="EEEF7F2E"/>
    <w:rsid w:val="EEFFEB2E"/>
    <w:rsid w:val="EF60E42C"/>
    <w:rsid w:val="EFEF64EF"/>
    <w:rsid w:val="F1FECC9D"/>
    <w:rsid w:val="F29F7530"/>
    <w:rsid w:val="F79E546D"/>
    <w:rsid w:val="F7AFF3D0"/>
    <w:rsid w:val="FAB2CB42"/>
    <w:rsid w:val="FB5F26CF"/>
    <w:rsid w:val="FD9F851C"/>
    <w:rsid w:val="FDBD781B"/>
    <w:rsid w:val="FDFFB9D3"/>
    <w:rsid w:val="FE7CEC22"/>
    <w:rsid w:val="FEBF8D61"/>
    <w:rsid w:val="FF6BAC68"/>
    <w:rsid w:val="FF72B169"/>
    <w:rsid w:val="FFAFC933"/>
    <w:rsid w:val="FFBB3DAB"/>
    <w:rsid w:val="FFBFB131"/>
    <w:rsid w:val="FFEB7F66"/>
    <w:rsid w:val="FFFCE808"/>
    <w:rsid w:val="FFFF8F58"/>
    <w:rsid w:val="FFFFA668"/>
    <w:rsid w:val="00002AC9"/>
    <w:rsid w:val="000035AA"/>
    <w:rsid w:val="00007243"/>
    <w:rsid w:val="000076E6"/>
    <w:rsid w:val="00012991"/>
    <w:rsid w:val="00016D27"/>
    <w:rsid w:val="00016E93"/>
    <w:rsid w:val="00020A3B"/>
    <w:rsid w:val="00024774"/>
    <w:rsid w:val="0002483B"/>
    <w:rsid w:val="0002574F"/>
    <w:rsid w:val="00035514"/>
    <w:rsid w:val="00035E4E"/>
    <w:rsid w:val="0004263D"/>
    <w:rsid w:val="00044660"/>
    <w:rsid w:val="0004559B"/>
    <w:rsid w:val="00046FBD"/>
    <w:rsid w:val="000502B3"/>
    <w:rsid w:val="0005302B"/>
    <w:rsid w:val="000579EA"/>
    <w:rsid w:val="00071507"/>
    <w:rsid w:val="00076B33"/>
    <w:rsid w:val="00083042"/>
    <w:rsid w:val="0008637E"/>
    <w:rsid w:val="000904F3"/>
    <w:rsid w:val="0009131F"/>
    <w:rsid w:val="00092C73"/>
    <w:rsid w:val="00096536"/>
    <w:rsid w:val="000A2989"/>
    <w:rsid w:val="000A599D"/>
    <w:rsid w:val="000B0B87"/>
    <w:rsid w:val="000B1917"/>
    <w:rsid w:val="000B3F09"/>
    <w:rsid w:val="000B7784"/>
    <w:rsid w:val="000B7921"/>
    <w:rsid w:val="000C34CC"/>
    <w:rsid w:val="000C6376"/>
    <w:rsid w:val="000D15B5"/>
    <w:rsid w:val="000D4107"/>
    <w:rsid w:val="000E0170"/>
    <w:rsid w:val="000F6BD2"/>
    <w:rsid w:val="00101F08"/>
    <w:rsid w:val="00102DE6"/>
    <w:rsid w:val="0010336D"/>
    <w:rsid w:val="00107F26"/>
    <w:rsid w:val="00126888"/>
    <w:rsid w:val="00127D58"/>
    <w:rsid w:val="00135962"/>
    <w:rsid w:val="00142069"/>
    <w:rsid w:val="00147253"/>
    <w:rsid w:val="00150A17"/>
    <w:rsid w:val="001550D7"/>
    <w:rsid w:val="00157D65"/>
    <w:rsid w:val="00166680"/>
    <w:rsid w:val="00166F2D"/>
    <w:rsid w:val="001829CB"/>
    <w:rsid w:val="00182C43"/>
    <w:rsid w:val="0018638D"/>
    <w:rsid w:val="00186453"/>
    <w:rsid w:val="00186786"/>
    <w:rsid w:val="001933C3"/>
    <w:rsid w:val="001A0133"/>
    <w:rsid w:val="001A5E3A"/>
    <w:rsid w:val="001A77B6"/>
    <w:rsid w:val="001A784B"/>
    <w:rsid w:val="001A7E00"/>
    <w:rsid w:val="001B49B9"/>
    <w:rsid w:val="001B49CA"/>
    <w:rsid w:val="001B692E"/>
    <w:rsid w:val="001C27C6"/>
    <w:rsid w:val="001C2A20"/>
    <w:rsid w:val="001C492C"/>
    <w:rsid w:val="001D095E"/>
    <w:rsid w:val="001D2F6E"/>
    <w:rsid w:val="001D3EDC"/>
    <w:rsid w:val="001F365A"/>
    <w:rsid w:val="001F3FB0"/>
    <w:rsid w:val="00204B69"/>
    <w:rsid w:val="00204BEB"/>
    <w:rsid w:val="00214F56"/>
    <w:rsid w:val="00222547"/>
    <w:rsid w:val="00224C3A"/>
    <w:rsid w:val="00227A72"/>
    <w:rsid w:val="00230287"/>
    <w:rsid w:val="00232A1E"/>
    <w:rsid w:val="00247F9A"/>
    <w:rsid w:val="0026171D"/>
    <w:rsid w:val="002632B0"/>
    <w:rsid w:val="0026510B"/>
    <w:rsid w:val="00266DE6"/>
    <w:rsid w:val="002723DA"/>
    <w:rsid w:val="00275C84"/>
    <w:rsid w:val="00277D15"/>
    <w:rsid w:val="002804E9"/>
    <w:rsid w:val="00281AF2"/>
    <w:rsid w:val="00284CD0"/>
    <w:rsid w:val="00285B35"/>
    <w:rsid w:val="002875CB"/>
    <w:rsid w:val="002A30AE"/>
    <w:rsid w:val="002A510C"/>
    <w:rsid w:val="002A743E"/>
    <w:rsid w:val="002A7F53"/>
    <w:rsid w:val="002B0D2D"/>
    <w:rsid w:val="002B16A6"/>
    <w:rsid w:val="002B28D3"/>
    <w:rsid w:val="002B2C02"/>
    <w:rsid w:val="002B6FA2"/>
    <w:rsid w:val="002D2686"/>
    <w:rsid w:val="002E173B"/>
    <w:rsid w:val="002E5AE6"/>
    <w:rsid w:val="002E6716"/>
    <w:rsid w:val="002F1A72"/>
    <w:rsid w:val="002F2CC3"/>
    <w:rsid w:val="00317075"/>
    <w:rsid w:val="00320ADE"/>
    <w:rsid w:val="00322FF0"/>
    <w:rsid w:val="0033236C"/>
    <w:rsid w:val="003330A7"/>
    <w:rsid w:val="003347A4"/>
    <w:rsid w:val="0033550C"/>
    <w:rsid w:val="003374C6"/>
    <w:rsid w:val="00337577"/>
    <w:rsid w:val="00337DB7"/>
    <w:rsid w:val="00345C2A"/>
    <w:rsid w:val="0035013F"/>
    <w:rsid w:val="0035031B"/>
    <w:rsid w:val="00351116"/>
    <w:rsid w:val="00352FFE"/>
    <w:rsid w:val="0036326B"/>
    <w:rsid w:val="0037530D"/>
    <w:rsid w:val="00377B84"/>
    <w:rsid w:val="00383F83"/>
    <w:rsid w:val="00392769"/>
    <w:rsid w:val="003A2AD3"/>
    <w:rsid w:val="003A6020"/>
    <w:rsid w:val="003B1216"/>
    <w:rsid w:val="003B39DB"/>
    <w:rsid w:val="003B452F"/>
    <w:rsid w:val="003B7EBC"/>
    <w:rsid w:val="003C046C"/>
    <w:rsid w:val="003C27A0"/>
    <w:rsid w:val="003C2BE9"/>
    <w:rsid w:val="003C2EAD"/>
    <w:rsid w:val="003C2FA0"/>
    <w:rsid w:val="003C4A36"/>
    <w:rsid w:val="003C58E0"/>
    <w:rsid w:val="003D08E2"/>
    <w:rsid w:val="003D1CA1"/>
    <w:rsid w:val="003D6285"/>
    <w:rsid w:val="003D7104"/>
    <w:rsid w:val="003D7B8A"/>
    <w:rsid w:val="003E197E"/>
    <w:rsid w:val="003E527D"/>
    <w:rsid w:val="003E6838"/>
    <w:rsid w:val="003E7CB8"/>
    <w:rsid w:val="0040248A"/>
    <w:rsid w:val="00403514"/>
    <w:rsid w:val="004038FC"/>
    <w:rsid w:val="004051A3"/>
    <w:rsid w:val="00405AE4"/>
    <w:rsid w:val="004071BD"/>
    <w:rsid w:val="004160CA"/>
    <w:rsid w:val="004218DC"/>
    <w:rsid w:val="00422FFD"/>
    <w:rsid w:val="0042355A"/>
    <w:rsid w:val="0044137C"/>
    <w:rsid w:val="00443C93"/>
    <w:rsid w:val="00453B18"/>
    <w:rsid w:val="00453D58"/>
    <w:rsid w:val="00465899"/>
    <w:rsid w:val="00465F73"/>
    <w:rsid w:val="00470017"/>
    <w:rsid w:val="00470B88"/>
    <w:rsid w:val="00474854"/>
    <w:rsid w:val="004750C4"/>
    <w:rsid w:val="0047624C"/>
    <w:rsid w:val="004820DF"/>
    <w:rsid w:val="00496573"/>
    <w:rsid w:val="004A48F4"/>
    <w:rsid w:val="004A4F3C"/>
    <w:rsid w:val="004A5D3C"/>
    <w:rsid w:val="004C257F"/>
    <w:rsid w:val="004C5506"/>
    <w:rsid w:val="004D2591"/>
    <w:rsid w:val="004D7576"/>
    <w:rsid w:val="004E6642"/>
    <w:rsid w:val="004E7016"/>
    <w:rsid w:val="004F27D3"/>
    <w:rsid w:val="004F388B"/>
    <w:rsid w:val="00505D0A"/>
    <w:rsid w:val="00507935"/>
    <w:rsid w:val="00527222"/>
    <w:rsid w:val="005303F5"/>
    <w:rsid w:val="005410CE"/>
    <w:rsid w:val="00553844"/>
    <w:rsid w:val="00562041"/>
    <w:rsid w:val="0056324D"/>
    <w:rsid w:val="005635E6"/>
    <w:rsid w:val="00564625"/>
    <w:rsid w:val="0056661D"/>
    <w:rsid w:val="00567953"/>
    <w:rsid w:val="005726B3"/>
    <w:rsid w:val="00576267"/>
    <w:rsid w:val="00581B44"/>
    <w:rsid w:val="00582F9D"/>
    <w:rsid w:val="00584B0D"/>
    <w:rsid w:val="00585C15"/>
    <w:rsid w:val="005876C3"/>
    <w:rsid w:val="005914BC"/>
    <w:rsid w:val="00593B96"/>
    <w:rsid w:val="00593C49"/>
    <w:rsid w:val="00595A28"/>
    <w:rsid w:val="005A0C06"/>
    <w:rsid w:val="005A6233"/>
    <w:rsid w:val="005B242A"/>
    <w:rsid w:val="005B404F"/>
    <w:rsid w:val="005B6E77"/>
    <w:rsid w:val="005B7736"/>
    <w:rsid w:val="005C1BE2"/>
    <w:rsid w:val="005D20CB"/>
    <w:rsid w:val="005D7D24"/>
    <w:rsid w:val="005E02B3"/>
    <w:rsid w:val="005E5689"/>
    <w:rsid w:val="005E7595"/>
    <w:rsid w:val="005E7C93"/>
    <w:rsid w:val="005F10B4"/>
    <w:rsid w:val="005F4214"/>
    <w:rsid w:val="005F4ADA"/>
    <w:rsid w:val="005F6695"/>
    <w:rsid w:val="006022B7"/>
    <w:rsid w:val="006052CA"/>
    <w:rsid w:val="00612531"/>
    <w:rsid w:val="00624F4C"/>
    <w:rsid w:val="00626812"/>
    <w:rsid w:val="0063566D"/>
    <w:rsid w:val="006357F1"/>
    <w:rsid w:val="00636D44"/>
    <w:rsid w:val="00641A88"/>
    <w:rsid w:val="006428CA"/>
    <w:rsid w:val="0064596E"/>
    <w:rsid w:val="00653C7E"/>
    <w:rsid w:val="00657498"/>
    <w:rsid w:val="00665507"/>
    <w:rsid w:val="00665746"/>
    <w:rsid w:val="0067038A"/>
    <w:rsid w:val="0067366B"/>
    <w:rsid w:val="00673EAB"/>
    <w:rsid w:val="00690209"/>
    <w:rsid w:val="006931F6"/>
    <w:rsid w:val="00693710"/>
    <w:rsid w:val="006B0743"/>
    <w:rsid w:val="006B394E"/>
    <w:rsid w:val="006B4C2B"/>
    <w:rsid w:val="006B557A"/>
    <w:rsid w:val="006C1F86"/>
    <w:rsid w:val="006C6235"/>
    <w:rsid w:val="006D11FE"/>
    <w:rsid w:val="006D3D5E"/>
    <w:rsid w:val="006E011D"/>
    <w:rsid w:val="006E0E17"/>
    <w:rsid w:val="006E1DC2"/>
    <w:rsid w:val="006F2CE5"/>
    <w:rsid w:val="006F2F50"/>
    <w:rsid w:val="006F7D72"/>
    <w:rsid w:val="00713C95"/>
    <w:rsid w:val="007140B7"/>
    <w:rsid w:val="00715274"/>
    <w:rsid w:val="007165C6"/>
    <w:rsid w:val="00717066"/>
    <w:rsid w:val="00717B00"/>
    <w:rsid w:val="0072319D"/>
    <w:rsid w:val="00724391"/>
    <w:rsid w:val="00727597"/>
    <w:rsid w:val="007314D1"/>
    <w:rsid w:val="00735046"/>
    <w:rsid w:val="00741B2D"/>
    <w:rsid w:val="00750BD5"/>
    <w:rsid w:val="007511F6"/>
    <w:rsid w:val="00752A7E"/>
    <w:rsid w:val="00760A60"/>
    <w:rsid w:val="00766F07"/>
    <w:rsid w:val="00773E86"/>
    <w:rsid w:val="0078415A"/>
    <w:rsid w:val="0078465C"/>
    <w:rsid w:val="00792388"/>
    <w:rsid w:val="0079320A"/>
    <w:rsid w:val="007956C2"/>
    <w:rsid w:val="007A31E2"/>
    <w:rsid w:val="007A4711"/>
    <w:rsid w:val="007B409A"/>
    <w:rsid w:val="007B56BD"/>
    <w:rsid w:val="007C1621"/>
    <w:rsid w:val="007C6AD7"/>
    <w:rsid w:val="007C72C1"/>
    <w:rsid w:val="007D16A8"/>
    <w:rsid w:val="007D5D98"/>
    <w:rsid w:val="007D62C9"/>
    <w:rsid w:val="007E5FA8"/>
    <w:rsid w:val="007F6C62"/>
    <w:rsid w:val="0080036D"/>
    <w:rsid w:val="00801E67"/>
    <w:rsid w:val="0080309A"/>
    <w:rsid w:val="008044C1"/>
    <w:rsid w:val="0080591C"/>
    <w:rsid w:val="00806347"/>
    <w:rsid w:val="00814F91"/>
    <w:rsid w:val="008165FE"/>
    <w:rsid w:val="00816F9A"/>
    <w:rsid w:val="00820000"/>
    <w:rsid w:val="008223A1"/>
    <w:rsid w:val="00827F7A"/>
    <w:rsid w:val="00832C45"/>
    <w:rsid w:val="00836723"/>
    <w:rsid w:val="00836A33"/>
    <w:rsid w:val="00840DEF"/>
    <w:rsid w:val="00844EA0"/>
    <w:rsid w:val="00845649"/>
    <w:rsid w:val="008457F1"/>
    <w:rsid w:val="00862CF4"/>
    <w:rsid w:val="00863C35"/>
    <w:rsid w:val="00873FA0"/>
    <w:rsid w:val="00880538"/>
    <w:rsid w:val="008815E2"/>
    <w:rsid w:val="0088226D"/>
    <w:rsid w:val="008824A9"/>
    <w:rsid w:val="008857B8"/>
    <w:rsid w:val="00890F78"/>
    <w:rsid w:val="008962EC"/>
    <w:rsid w:val="008A2047"/>
    <w:rsid w:val="008A74F8"/>
    <w:rsid w:val="008A7ECA"/>
    <w:rsid w:val="008B5DCF"/>
    <w:rsid w:val="008C26DC"/>
    <w:rsid w:val="008C461A"/>
    <w:rsid w:val="008C5ECE"/>
    <w:rsid w:val="008C74C4"/>
    <w:rsid w:val="008D0CEE"/>
    <w:rsid w:val="008D4A88"/>
    <w:rsid w:val="008E1012"/>
    <w:rsid w:val="008E361E"/>
    <w:rsid w:val="008F0B68"/>
    <w:rsid w:val="008F30C4"/>
    <w:rsid w:val="008F6D31"/>
    <w:rsid w:val="008F782D"/>
    <w:rsid w:val="009019FD"/>
    <w:rsid w:val="0090337D"/>
    <w:rsid w:val="00906297"/>
    <w:rsid w:val="00911975"/>
    <w:rsid w:val="00923E5E"/>
    <w:rsid w:val="009241F7"/>
    <w:rsid w:val="00925C2B"/>
    <w:rsid w:val="009260E6"/>
    <w:rsid w:val="00926229"/>
    <w:rsid w:val="009317E9"/>
    <w:rsid w:val="0093208A"/>
    <w:rsid w:val="00935FAF"/>
    <w:rsid w:val="00942A57"/>
    <w:rsid w:val="00944645"/>
    <w:rsid w:val="00944679"/>
    <w:rsid w:val="0094486B"/>
    <w:rsid w:val="00956D7A"/>
    <w:rsid w:val="00966FC0"/>
    <w:rsid w:val="00972004"/>
    <w:rsid w:val="00972CCE"/>
    <w:rsid w:val="0097437D"/>
    <w:rsid w:val="00976E21"/>
    <w:rsid w:val="00977067"/>
    <w:rsid w:val="00977DB4"/>
    <w:rsid w:val="00980C13"/>
    <w:rsid w:val="009858AF"/>
    <w:rsid w:val="009869EE"/>
    <w:rsid w:val="00990F3B"/>
    <w:rsid w:val="00991BF3"/>
    <w:rsid w:val="00992D6F"/>
    <w:rsid w:val="00993F91"/>
    <w:rsid w:val="0099563E"/>
    <w:rsid w:val="009A1829"/>
    <w:rsid w:val="009A27D3"/>
    <w:rsid w:val="009A2DB4"/>
    <w:rsid w:val="009A3417"/>
    <w:rsid w:val="009A7A8D"/>
    <w:rsid w:val="009B05F6"/>
    <w:rsid w:val="009C7178"/>
    <w:rsid w:val="009D33D0"/>
    <w:rsid w:val="009D7C65"/>
    <w:rsid w:val="009E3F8E"/>
    <w:rsid w:val="009E7459"/>
    <w:rsid w:val="009F15A9"/>
    <w:rsid w:val="009F4102"/>
    <w:rsid w:val="009F4350"/>
    <w:rsid w:val="00A007CA"/>
    <w:rsid w:val="00A03AD8"/>
    <w:rsid w:val="00A16A2F"/>
    <w:rsid w:val="00A21685"/>
    <w:rsid w:val="00A21815"/>
    <w:rsid w:val="00A22742"/>
    <w:rsid w:val="00A228A3"/>
    <w:rsid w:val="00A235DC"/>
    <w:rsid w:val="00A24E9C"/>
    <w:rsid w:val="00A254E3"/>
    <w:rsid w:val="00A30AB5"/>
    <w:rsid w:val="00A3249E"/>
    <w:rsid w:val="00A336E9"/>
    <w:rsid w:val="00A351E7"/>
    <w:rsid w:val="00A51DB3"/>
    <w:rsid w:val="00A62362"/>
    <w:rsid w:val="00A646C6"/>
    <w:rsid w:val="00A65BFC"/>
    <w:rsid w:val="00A7624B"/>
    <w:rsid w:val="00A7781E"/>
    <w:rsid w:val="00A77B4E"/>
    <w:rsid w:val="00A8280B"/>
    <w:rsid w:val="00A82C8F"/>
    <w:rsid w:val="00A82CA2"/>
    <w:rsid w:val="00A92E23"/>
    <w:rsid w:val="00A952E2"/>
    <w:rsid w:val="00A971C0"/>
    <w:rsid w:val="00AA0EE2"/>
    <w:rsid w:val="00AB76AD"/>
    <w:rsid w:val="00AC0CE0"/>
    <w:rsid w:val="00AC15EC"/>
    <w:rsid w:val="00AC1AC3"/>
    <w:rsid w:val="00AC2D33"/>
    <w:rsid w:val="00AC470D"/>
    <w:rsid w:val="00AC498E"/>
    <w:rsid w:val="00AD192D"/>
    <w:rsid w:val="00AD6624"/>
    <w:rsid w:val="00AE3C0C"/>
    <w:rsid w:val="00AF1FAD"/>
    <w:rsid w:val="00AF75B3"/>
    <w:rsid w:val="00B01D2B"/>
    <w:rsid w:val="00B042F4"/>
    <w:rsid w:val="00B046EB"/>
    <w:rsid w:val="00B064A3"/>
    <w:rsid w:val="00B10065"/>
    <w:rsid w:val="00B11072"/>
    <w:rsid w:val="00B122D8"/>
    <w:rsid w:val="00B124F6"/>
    <w:rsid w:val="00B13B67"/>
    <w:rsid w:val="00B22FCB"/>
    <w:rsid w:val="00B25766"/>
    <w:rsid w:val="00B25838"/>
    <w:rsid w:val="00B35BB1"/>
    <w:rsid w:val="00B361AE"/>
    <w:rsid w:val="00B4108A"/>
    <w:rsid w:val="00B42714"/>
    <w:rsid w:val="00B5104A"/>
    <w:rsid w:val="00B60176"/>
    <w:rsid w:val="00B80404"/>
    <w:rsid w:val="00B82D3E"/>
    <w:rsid w:val="00B84EF7"/>
    <w:rsid w:val="00B90447"/>
    <w:rsid w:val="00BA00D5"/>
    <w:rsid w:val="00BA1FC7"/>
    <w:rsid w:val="00BB0086"/>
    <w:rsid w:val="00BB213C"/>
    <w:rsid w:val="00BB5F27"/>
    <w:rsid w:val="00BB6866"/>
    <w:rsid w:val="00BC315C"/>
    <w:rsid w:val="00BD0216"/>
    <w:rsid w:val="00BE16F8"/>
    <w:rsid w:val="00BE65A8"/>
    <w:rsid w:val="00BF243A"/>
    <w:rsid w:val="00BF3EA7"/>
    <w:rsid w:val="00BF4F2E"/>
    <w:rsid w:val="00C034FB"/>
    <w:rsid w:val="00C05099"/>
    <w:rsid w:val="00C07840"/>
    <w:rsid w:val="00C1570A"/>
    <w:rsid w:val="00C23DC5"/>
    <w:rsid w:val="00C4035F"/>
    <w:rsid w:val="00C403AF"/>
    <w:rsid w:val="00C41F24"/>
    <w:rsid w:val="00C52D8A"/>
    <w:rsid w:val="00C55794"/>
    <w:rsid w:val="00C57201"/>
    <w:rsid w:val="00C578A0"/>
    <w:rsid w:val="00C6102D"/>
    <w:rsid w:val="00C6145A"/>
    <w:rsid w:val="00C726D1"/>
    <w:rsid w:val="00C73833"/>
    <w:rsid w:val="00C82221"/>
    <w:rsid w:val="00C86CB5"/>
    <w:rsid w:val="00C9173B"/>
    <w:rsid w:val="00C9222A"/>
    <w:rsid w:val="00C92BC0"/>
    <w:rsid w:val="00C97D24"/>
    <w:rsid w:val="00CA2089"/>
    <w:rsid w:val="00CA2B21"/>
    <w:rsid w:val="00CC0755"/>
    <w:rsid w:val="00CC2CE8"/>
    <w:rsid w:val="00CC6505"/>
    <w:rsid w:val="00CD0B1A"/>
    <w:rsid w:val="00CD0D66"/>
    <w:rsid w:val="00CD5867"/>
    <w:rsid w:val="00CE41BD"/>
    <w:rsid w:val="00CE738E"/>
    <w:rsid w:val="00CE7A0B"/>
    <w:rsid w:val="00D03FFD"/>
    <w:rsid w:val="00D05C0D"/>
    <w:rsid w:val="00D0628A"/>
    <w:rsid w:val="00D10D63"/>
    <w:rsid w:val="00D11265"/>
    <w:rsid w:val="00D1236C"/>
    <w:rsid w:val="00D169E6"/>
    <w:rsid w:val="00D1744C"/>
    <w:rsid w:val="00D17755"/>
    <w:rsid w:val="00D3088C"/>
    <w:rsid w:val="00D31178"/>
    <w:rsid w:val="00D355A7"/>
    <w:rsid w:val="00D359C1"/>
    <w:rsid w:val="00D45AF9"/>
    <w:rsid w:val="00D45C06"/>
    <w:rsid w:val="00D47082"/>
    <w:rsid w:val="00D5187D"/>
    <w:rsid w:val="00D53A64"/>
    <w:rsid w:val="00D540DE"/>
    <w:rsid w:val="00D570D3"/>
    <w:rsid w:val="00D61B72"/>
    <w:rsid w:val="00D623DC"/>
    <w:rsid w:val="00D636E6"/>
    <w:rsid w:val="00D732DD"/>
    <w:rsid w:val="00D7593C"/>
    <w:rsid w:val="00D75FA8"/>
    <w:rsid w:val="00D818AE"/>
    <w:rsid w:val="00D84C7D"/>
    <w:rsid w:val="00DA2B4C"/>
    <w:rsid w:val="00DA652B"/>
    <w:rsid w:val="00DA73EE"/>
    <w:rsid w:val="00DB06A3"/>
    <w:rsid w:val="00DC42BB"/>
    <w:rsid w:val="00DC43A1"/>
    <w:rsid w:val="00DD5C43"/>
    <w:rsid w:val="00DD7579"/>
    <w:rsid w:val="00DD7B19"/>
    <w:rsid w:val="00DE044B"/>
    <w:rsid w:val="00DE67EE"/>
    <w:rsid w:val="00DE763F"/>
    <w:rsid w:val="00DE7C35"/>
    <w:rsid w:val="00DF1936"/>
    <w:rsid w:val="00DF4293"/>
    <w:rsid w:val="00DF6388"/>
    <w:rsid w:val="00DF72C9"/>
    <w:rsid w:val="00DF73B6"/>
    <w:rsid w:val="00E05A99"/>
    <w:rsid w:val="00E0732E"/>
    <w:rsid w:val="00E102D5"/>
    <w:rsid w:val="00E25CBF"/>
    <w:rsid w:val="00E3406D"/>
    <w:rsid w:val="00E345B3"/>
    <w:rsid w:val="00E3703C"/>
    <w:rsid w:val="00E41A1A"/>
    <w:rsid w:val="00E42D4B"/>
    <w:rsid w:val="00E47A04"/>
    <w:rsid w:val="00E47DC5"/>
    <w:rsid w:val="00E53E7A"/>
    <w:rsid w:val="00E62E52"/>
    <w:rsid w:val="00E66A22"/>
    <w:rsid w:val="00E66C55"/>
    <w:rsid w:val="00E716D1"/>
    <w:rsid w:val="00E721FB"/>
    <w:rsid w:val="00E726B5"/>
    <w:rsid w:val="00E726CF"/>
    <w:rsid w:val="00E73776"/>
    <w:rsid w:val="00E75247"/>
    <w:rsid w:val="00E8091B"/>
    <w:rsid w:val="00E81FCB"/>
    <w:rsid w:val="00E83B70"/>
    <w:rsid w:val="00E83FD0"/>
    <w:rsid w:val="00E914E4"/>
    <w:rsid w:val="00E971A7"/>
    <w:rsid w:val="00EA3837"/>
    <w:rsid w:val="00EA3F94"/>
    <w:rsid w:val="00EA4048"/>
    <w:rsid w:val="00EA5CF4"/>
    <w:rsid w:val="00EA66A4"/>
    <w:rsid w:val="00EB34F1"/>
    <w:rsid w:val="00EB499F"/>
    <w:rsid w:val="00EC0E52"/>
    <w:rsid w:val="00EC419F"/>
    <w:rsid w:val="00EC499E"/>
    <w:rsid w:val="00ED2031"/>
    <w:rsid w:val="00ED4DCD"/>
    <w:rsid w:val="00EE37FE"/>
    <w:rsid w:val="00EE79F9"/>
    <w:rsid w:val="00EF7657"/>
    <w:rsid w:val="00F00815"/>
    <w:rsid w:val="00F03954"/>
    <w:rsid w:val="00F05E34"/>
    <w:rsid w:val="00F11C35"/>
    <w:rsid w:val="00F16731"/>
    <w:rsid w:val="00F25C7E"/>
    <w:rsid w:val="00F26928"/>
    <w:rsid w:val="00F32649"/>
    <w:rsid w:val="00F33350"/>
    <w:rsid w:val="00F333CB"/>
    <w:rsid w:val="00F34C6B"/>
    <w:rsid w:val="00F40FD1"/>
    <w:rsid w:val="00F43951"/>
    <w:rsid w:val="00F47E1E"/>
    <w:rsid w:val="00F521A8"/>
    <w:rsid w:val="00F5707B"/>
    <w:rsid w:val="00F64776"/>
    <w:rsid w:val="00F65535"/>
    <w:rsid w:val="00F66220"/>
    <w:rsid w:val="00F6624B"/>
    <w:rsid w:val="00F7284E"/>
    <w:rsid w:val="00F76F54"/>
    <w:rsid w:val="00F8685B"/>
    <w:rsid w:val="00F872B2"/>
    <w:rsid w:val="00F8739A"/>
    <w:rsid w:val="00FA2348"/>
    <w:rsid w:val="00FA4350"/>
    <w:rsid w:val="00FA4654"/>
    <w:rsid w:val="00FA60C8"/>
    <w:rsid w:val="00FB2B5C"/>
    <w:rsid w:val="00FB67BB"/>
    <w:rsid w:val="00FC1B1D"/>
    <w:rsid w:val="00FC5DBF"/>
    <w:rsid w:val="00FC66FF"/>
    <w:rsid w:val="00FD22E5"/>
    <w:rsid w:val="00FD443E"/>
    <w:rsid w:val="00FD55F4"/>
    <w:rsid w:val="00FD754D"/>
    <w:rsid w:val="00FE278A"/>
    <w:rsid w:val="00FE635A"/>
    <w:rsid w:val="00FF47DD"/>
    <w:rsid w:val="00FF6452"/>
    <w:rsid w:val="02753E85"/>
    <w:rsid w:val="06D278C3"/>
    <w:rsid w:val="06E4493B"/>
    <w:rsid w:val="12681CD2"/>
    <w:rsid w:val="1616507C"/>
    <w:rsid w:val="1BF7D3D6"/>
    <w:rsid w:val="1DE7393D"/>
    <w:rsid w:val="27F41AFC"/>
    <w:rsid w:val="2B5116FB"/>
    <w:rsid w:val="2BEFAEE5"/>
    <w:rsid w:val="2DBEA235"/>
    <w:rsid w:val="33F5D4D3"/>
    <w:rsid w:val="34182773"/>
    <w:rsid w:val="36840F9A"/>
    <w:rsid w:val="3B453BCD"/>
    <w:rsid w:val="3EDD547D"/>
    <w:rsid w:val="3EFE6701"/>
    <w:rsid w:val="3F1D51A5"/>
    <w:rsid w:val="3FD14A26"/>
    <w:rsid w:val="3FE32350"/>
    <w:rsid w:val="45386969"/>
    <w:rsid w:val="45492E01"/>
    <w:rsid w:val="45E79B50"/>
    <w:rsid w:val="466F7F34"/>
    <w:rsid w:val="4FDDB3FD"/>
    <w:rsid w:val="50FD4D3F"/>
    <w:rsid w:val="525725EC"/>
    <w:rsid w:val="53EB1CFE"/>
    <w:rsid w:val="5CFD1998"/>
    <w:rsid w:val="5DBD2B85"/>
    <w:rsid w:val="5DDF058A"/>
    <w:rsid w:val="5EF17F99"/>
    <w:rsid w:val="5F8C32F3"/>
    <w:rsid w:val="67EC3F4F"/>
    <w:rsid w:val="68550B54"/>
    <w:rsid w:val="6E80219E"/>
    <w:rsid w:val="6EF7404B"/>
    <w:rsid w:val="6F7B6BCB"/>
    <w:rsid w:val="71BB448E"/>
    <w:rsid w:val="737FCC71"/>
    <w:rsid w:val="738F858F"/>
    <w:rsid w:val="73CC2AC7"/>
    <w:rsid w:val="758F27DE"/>
    <w:rsid w:val="767FC11C"/>
    <w:rsid w:val="77E3854C"/>
    <w:rsid w:val="7B353E95"/>
    <w:rsid w:val="7B880374"/>
    <w:rsid w:val="7BDEBD2E"/>
    <w:rsid w:val="7BED1CE6"/>
    <w:rsid w:val="7BF38D75"/>
    <w:rsid w:val="7DCFDC20"/>
    <w:rsid w:val="7E3F5584"/>
    <w:rsid w:val="7EBEFE31"/>
    <w:rsid w:val="7F9936EE"/>
    <w:rsid w:val="7FBFBB83"/>
    <w:rsid w:val="7FD7F33C"/>
    <w:rsid w:val="7FDA4245"/>
    <w:rsid w:val="7FE7BA17"/>
    <w:rsid w:val="7FED0E12"/>
    <w:rsid w:val="7FF60759"/>
    <w:rsid w:val="7FFE36C4"/>
    <w:rsid w:val="7FFFF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0B384A6-25BB-4AF3-85BD-D21CD1111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List" w:qFormat="1"/>
    <w:lsdException w:name="List 2" w:qFormat="1"/>
    <w:lsdException w:name="List 3" w:qFormat="1"/>
    <w:lsdException w:name="Title" w:qFormat="1"/>
    <w:lsdException w:name="Default Paragraph Font" w:semiHidden="1" w:uiPriority="1" w:unhideWhenUsed="1"/>
    <w:lsdException w:name="Body Text" w:qFormat="1"/>
    <w:lsdException w:name="Body Text Indent" w:qFormat="1"/>
    <w:lsdException w:name="List Continue" w:qFormat="1"/>
    <w:lsdException w:name="List Continue 2" w:qFormat="1"/>
    <w:lsdException w:name="Subtitle" w:qFormat="1"/>
    <w:lsdException w:name="Body Text First Indent" w:qFormat="1"/>
    <w:lsdException w:name="Body Text First Indent 2" w:qFormat="1"/>
    <w:lsdException w:name="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line="360" w:lineRule="auto"/>
      <w:ind w:rightChars="100" w:right="300"/>
      <w:outlineLvl w:val="0"/>
    </w:pPr>
    <w:rPr>
      <w:rFonts w:ascii="宋体" w:hAnsi="宋体"/>
      <w:b/>
      <w:color w:val="000000"/>
      <w:kern w:val="44"/>
      <w:sz w:val="28"/>
      <w:szCs w:val="28"/>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List 3"/>
    <w:basedOn w:val="a"/>
    <w:qFormat/>
    <w:pPr>
      <w:ind w:leftChars="400" w:left="100" w:hangingChars="200" w:hanging="200"/>
    </w:pPr>
    <w:rPr>
      <w:rFonts w:ascii="仿宋_GB2312" w:eastAsia="仿宋_GB2312" w:hAnsi="宋体" w:cs="宋体"/>
      <w:color w:val="000000"/>
      <w:kern w:val="0"/>
      <w:sz w:val="30"/>
      <w:szCs w:val="30"/>
    </w:rPr>
  </w:style>
  <w:style w:type="paragraph" w:styleId="a3">
    <w:name w:val="Document Map"/>
    <w:basedOn w:val="a"/>
    <w:semiHidden/>
    <w:qFormat/>
    <w:pPr>
      <w:shd w:val="clear" w:color="auto" w:fill="000080"/>
    </w:pPr>
  </w:style>
  <w:style w:type="paragraph" w:styleId="a4">
    <w:name w:val="annotation text"/>
    <w:basedOn w:val="a"/>
    <w:link w:val="a5"/>
    <w:qFormat/>
    <w:pPr>
      <w:jc w:val="left"/>
    </w:pPr>
    <w:rPr>
      <w:rFonts w:ascii="仿宋_GB2312" w:eastAsia="仿宋_GB2312" w:hAnsi="宋体"/>
      <w:color w:val="000000"/>
      <w:kern w:val="0"/>
      <w:sz w:val="30"/>
      <w:szCs w:val="30"/>
    </w:rPr>
  </w:style>
  <w:style w:type="paragraph" w:styleId="a6">
    <w:name w:val="Body Text"/>
    <w:basedOn w:val="a"/>
    <w:qFormat/>
    <w:pPr>
      <w:spacing w:after="120"/>
    </w:pPr>
    <w:rPr>
      <w:rFonts w:ascii="仿宋_GB2312" w:eastAsia="仿宋_GB2312" w:hAnsi="宋体" w:cs="宋体"/>
      <w:color w:val="000000"/>
      <w:kern w:val="0"/>
      <w:sz w:val="30"/>
      <w:szCs w:val="30"/>
    </w:rPr>
  </w:style>
  <w:style w:type="paragraph" w:styleId="a7">
    <w:name w:val="Body Text Indent"/>
    <w:basedOn w:val="a"/>
    <w:qFormat/>
    <w:pPr>
      <w:widowControl/>
      <w:spacing w:beforeLines="50" w:before="120" w:afterLines="50" w:after="120" w:line="560" w:lineRule="exact"/>
      <w:ind w:firstLineChars="200" w:firstLine="480"/>
      <w:jc w:val="left"/>
    </w:pPr>
    <w:rPr>
      <w:rFonts w:ascii="宋体" w:hAnsi="宋体" w:cs="宋体"/>
      <w:color w:val="000000"/>
      <w:kern w:val="0"/>
      <w:sz w:val="24"/>
    </w:rPr>
  </w:style>
  <w:style w:type="paragraph" w:styleId="21">
    <w:name w:val="List 2"/>
    <w:basedOn w:val="a"/>
    <w:qFormat/>
    <w:pPr>
      <w:ind w:leftChars="200" w:left="100" w:hangingChars="200" w:hanging="200"/>
    </w:pPr>
    <w:rPr>
      <w:rFonts w:ascii="仿宋_GB2312" w:eastAsia="仿宋_GB2312" w:hAnsi="宋体" w:cs="宋体"/>
      <w:color w:val="000000"/>
      <w:kern w:val="0"/>
      <w:sz w:val="30"/>
      <w:szCs w:val="30"/>
    </w:rPr>
  </w:style>
  <w:style w:type="paragraph" w:styleId="a8">
    <w:name w:val="List Continue"/>
    <w:basedOn w:val="a"/>
    <w:qFormat/>
    <w:pPr>
      <w:spacing w:after="120"/>
      <w:ind w:leftChars="200" w:left="420"/>
    </w:pPr>
    <w:rPr>
      <w:rFonts w:ascii="仿宋_GB2312" w:eastAsia="仿宋_GB2312" w:hAnsi="宋体" w:cs="宋体"/>
      <w:color w:val="000000"/>
      <w:kern w:val="0"/>
      <w:sz w:val="30"/>
      <w:szCs w:val="30"/>
    </w:rPr>
  </w:style>
  <w:style w:type="paragraph" w:styleId="a9">
    <w:name w:val="endnote text"/>
    <w:basedOn w:val="a"/>
    <w:link w:val="aa"/>
    <w:qFormat/>
    <w:pPr>
      <w:snapToGrid w:val="0"/>
      <w:jc w:val="left"/>
    </w:pPr>
  </w:style>
  <w:style w:type="paragraph" w:styleId="ab">
    <w:name w:val="Balloon Text"/>
    <w:basedOn w:val="a"/>
    <w:semiHidden/>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tabs>
        <w:tab w:val="right" w:leader="dot" w:pos="8296"/>
      </w:tabs>
      <w:spacing w:line="360" w:lineRule="auto"/>
    </w:pPr>
  </w:style>
  <w:style w:type="paragraph" w:styleId="af0">
    <w:name w:val="List"/>
    <w:basedOn w:val="a"/>
    <w:qFormat/>
    <w:pPr>
      <w:ind w:left="200" w:hangingChars="200" w:hanging="200"/>
    </w:pPr>
    <w:rPr>
      <w:rFonts w:ascii="仿宋_GB2312" w:eastAsia="仿宋_GB2312" w:hAnsi="宋体" w:cs="宋体"/>
      <w:color w:val="000000"/>
      <w:kern w:val="0"/>
      <w:sz w:val="30"/>
      <w:szCs w:val="30"/>
    </w:rPr>
  </w:style>
  <w:style w:type="paragraph" w:styleId="22">
    <w:name w:val="toc 2"/>
    <w:basedOn w:val="a"/>
    <w:next w:val="a"/>
    <w:uiPriority w:val="39"/>
    <w:unhideWhenUsed/>
    <w:qFormat/>
    <w:pPr>
      <w:tabs>
        <w:tab w:val="right" w:leader="dot" w:pos="8296"/>
      </w:tabs>
      <w:spacing w:line="360" w:lineRule="auto"/>
      <w:ind w:leftChars="200" w:left="600"/>
    </w:pPr>
    <w:rPr>
      <w:rFonts w:ascii="宋体" w:hAnsi="宋体"/>
      <w:sz w:val="28"/>
      <w:szCs w:val="28"/>
    </w:rPr>
  </w:style>
  <w:style w:type="paragraph" w:styleId="23">
    <w:name w:val="List Continue 2"/>
    <w:basedOn w:val="a"/>
    <w:qFormat/>
    <w:pPr>
      <w:spacing w:after="120"/>
      <w:ind w:leftChars="400" w:left="840"/>
    </w:pPr>
    <w:rPr>
      <w:rFonts w:ascii="仿宋_GB2312" w:eastAsia="仿宋_GB2312" w:hAnsi="宋体" w:cs="宋体"/>
      <w:color w:val="000000"/>
      <w:kern w:val="0"/>
      <w:sz w:val="30"/>
      <w:szCs w:val="30"/>
    </w:rPr>
  </w:style>
  <w:style w:type="paragraph" w:styleId="af1">
    <w:name w:val="Normal (Web)"/>
    <w:basedOn w:val="a"/>
    <w:qFormat/>
    <w:pPr>
      <w:widowControl/>
      <w:spacing w:before="100" w:beforeAutospacing="1" w:after="100" w:afterAutospacing="1"/>
      <w:jc w:val="left"/>
    </w:pPr>
    <w:rPr>
      <w:rFonts w:ascii="宋体" w:eastAsia="仿宋_GB2312" w:hAnsi="宋体" w:cs="宋体"/>
      <w:color w:val="000000"/>
      <w:kern w:val="0"/>
      <w:sz w:val="24"/>
      <w:szCs w:val="30"/>
    </w:rPr>
  </w:style>
  <w:style w:type="paragraph" w:styleId="af2">
    <w:name w:val="annotation subject"/>
    <w:basedOn w:val="a4"/>
    <w:next w:val="a4"/>
    <w:link w:val="af3"/>
    <w:qFormat/>
    <w:rPr>
      <w:rFonts w:ascii="Times New Roman" w:eastAsia="宋体" w:hAnsi="Times New Roman"/>
      <w:b/>
      <w:bCs/>
      <w:color w:val="auto"/>
      <w:kern w:val="2"/>
      <w:sz w:val="21"/>
      <w:szCs w:val="24"/>
    </w:rPr>
  </w:style>
  <w:style w:type="paragraph" w:styleId="af4">
    <w:name w:val="Body Text First Indent"/>
    <w:basedOn w:val="a6"/>
    <w:qFormat/>
    <w:pPr>
      <w:ind w:firstLineChars="100" w:firstLine="420"/>
    </w:pPr>
    <w:rPr>
      <w:rFonts w:cs="Times New Roman"/>
    </w:rPr>
  </w:style>
  <w:style w:type="paragraph" w:styleId="24">
    <w:name w:val="Body Text First Indent 2"/>
    <w:basedOn w:val="a7"/>
    <w:qFormat/>
    <w:pPr>
      <w:widowControl w:val="0"/>
      <w:spacing w:beforeLines="0" w:before="0" w:afterLines="0" w:line="240" w:lineRule="auto"/>
      <w:ind w:leftChars="200" w:left="420" w:firstLine="420"/>
      <w:jc w:val="both"/>
    </w:pPr>
    <w:rPr>
      <w:rFonts w:ascii="仿宋_GB2312" w:eastAsia="仿宋_GB2312"/>
      <w:sz w:val="30"/>
      <w:szCs w:val="30"/>
    </w:rPr>
  </w:style>
  <w:style w:type="table" w:styleId="af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0"/>
    <w:qFormat/>
  </w:style>
  <w:style w:type="character" w:styleId="af7">
    <w:name w:val="Hyperlink"/>
    <w:uiPriority w:val="99"/>
    <w:unhideWhenUsed/>
    <w:qFormat/>
    <w:rPr>
      <w:color w:val="0000FF"/>
      <w:u w:val="single"/>
    </w:rPr>
  </w:style>
  <w:style w:type="character" w:styleId="af8">
    <w:name w:val="annotation reference"/>
    <w:basedOn w:val="a0"/>
    <w:qFormat/>
    <w:rPr>
      <w:sz w:val="21"/>
      <w:szCs w:val="21"/>
    </w:rPr>
  </w:style>
  <w:style w:type="character" w:customStyle="1" w:styleId="ad">
    <w:name w:val="页脚 字符"/>
    <w:link w:val="ac"/>
    <w:uiPriority w:val="99"/>
    <w:qFormat/>
    <w:rPr>
      <w:kern w:val="2"/>
      <w:sz w:val="18"/>
      <w:szCs w:val="18"/>
    </w:rPr>
  </w:style>
  <w:style w:type="character" w:customStyle="1" w:styleId="af">
    <w:name w:val="页眉 字符"/>
    <w:link w:val="ae"/>
    <w:uiPriority w:val="99"/>
    <w:qFormat/>
    <w:rPr>
      <w:kern w:val="2"/>
      <w:sz w:val="18"/>
      <w:szCs w:val="18"/>
    </w:rPr>
  </w:style>
  <w:style w:type="paragraph" w:customStyle="1" w:styleId="Default">
    <w:name w:val="Default"/>
    <w:qFormat/>
    <w:pPr>
      <w:widowControl w:val="0"/>
      <w:autoSpaceDE w:val="0"/>
      <w:autoSpaceDN w:val="0"/>
      <w:adjustRightInd w:val="0"/>
    </w:pPr>
    <w:rPr>
      <w:rFonts w:ascii="..ì." w:eastAsia="..ì." w:cs="..ì."/>
      <w:color w:val="000000"/>
      <w:sz w:val="24"/>
      <w:szCs w:val="24"/>
    </w:rPr>
  </w:style>
  <w:style w:type="paragraph" w:customStyle="1" w:styleId="11">
    <w:name w:val="正文1"/>
    <w:basedOn w:val="a"/>
    <w:qFormat/>
    <w:pPr>
      <w:widowControl/>
      <w:spacing w:before="100" w:beforeAutospacing="1" w:after="100" w:afterAutospacing="1"/>
      <w:jc w:val="left"/>
    </w:pPr>
    <w:rPr>
      <w:rFonts w:ascii="宋体"/>
      <w:sz w:val="24"/>
    </w:rPr>
  </w:style>
  <w:style w:type="paragraph" w:styleId="af9">
    <w:name w:val="List Paragraph"/>
    <w:basedOn w:val="a"/>
    <w:uiPriority w:val="99"/>
    <w:qFormat/>
    <w:pPr>
      <w:ind w:firstLineChars="200" w:firstLine="420"/>
    </w:pPr>
  </w:style>
  <w:style w:type="paragraph" w:customStyle="1" w:styleId="BodyText12">
    <w:name w:val="BodyText12"/>
    <w:link w:val="BodyText12Char"/>
    <w:qFormat/>
    <w:pPr>
      <w:spacing w:after="200" w:line="300" w:lineRule="auto"/>
      <w:ind w:left="850"/>
      <w:jc w:val="both"/>
    </w:pPr>
    <w:rPr>
      <w:rFonts w:eastAsia="PMingLiU"/>
      <w:sz w:val="24"/>
      <w:szCs w:val="22"/>
      <w:lang w:eastAsia="en-US"/>
    </w:rPr>
  </w:style>
  <w:style w:type="character" w:customStyle="1" w:styleId="BodyText12Char">
    <w:name w:val="BodyText12 Char"/>
    <w:link w:val="BodyText12"/>
    <w:qFormat/>
    <w:rPr>
      <w:rFonts w:eastAsia="PMingLiU"/>
      <w:sz w:val="24"/>
      <w:szCs w:val="22"/>
      <w:lang w:eastAsia="en-US"/>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table" w:customStyle="1" w:styleId="PlainTable21">
    <w:name w:val="Plain Table 21"/>
    <w:basedOn w:val="a1"/>
    <w:uiPriority w:val="42"/>
    <w:qFormat/>
    <w:rPr>
      <w:sz w:val="22"/>
      <w:lang w:eastAsia="en-US"/>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a">
    <w:name w:val="尾注文本 字符"/>
    <w:basedOn w:val="a0"/>
    <w:link w:val="a9"/>
    <w:autoRedefine/>
    <w:qFormat/>
    <w:rPr>
      <w:kern w:val="2"/>
      <w:sz w:val="21"/>
      <w:szCs w:val="24"/>
    </w:rPr>
  </w:style>
  <w:style w:type="paragraph" w:customStyle="1" w:styleId="12">
    <w:name w:val="修订1"/>
    <w:hidden/>
    <w:uiPriority w:val="99"/>
    <w:semiHidden/>
    <w:qFormat/>
    <w:rPr>
      <w:kern w:val="2"/>
      <w:sz w:val="21"/>
      <w:szCs w:val="24"/>
    </w:rPr>
  </w:style>
  <w:style w:type="character" w:customStyle="1" w:styleId="a5">
    <w:name w:val="批注文字 字符"/>
    <w:basedOn w:val="a0"/>
    <w:link w:val="a4"/>
    <w:qFormat/>
    <w:rPr>
      <w:rFonts w:ascii="仿宋_GB2312" w:eastAsia="仿宋_GB2312" w:hAnsi="宋体"/>
      <w:color w:val="000000"/>
      <w:sz w:val="30"/>
      <w:szCs w:val="30"/>
    </w:rPr>
  </w:style>
  <w:style w:type="character" w:customStyle="1" w:styleId="af3">
    <w:name w:val="批注主题 字符"/>
    <w:basedOn w:val="a5"/>
    <w:link w:val="af2"/>
    <w:qFormat/>
    <w:rPr>
      <w:rFonts w:ascii="仿宋_GB2312" w:eastAsia="仿宋_GB2312" w:hAnsi="宋体"/>
      <w:b/>
      <w:bCs/>
      <w:color w:val="000000"/>
      <w:kern w:val="2"/>
      <w:sz w:val="21"/>
      <w:szCs w:val="24"/>
    </w:rPr>
  </w:style>
  <w:style w:type="paragraph" w:customStyle="1" w:styleId="25">
    <w:name w:val="修订2"/>
    <w:hidden/>
    <w:uiPriority w:val="99"/>
    <w:semiHidden/>
    <w:qFormat/>
    <w:rPr>
      <w:kern w:val="2"/>
      <w:sz w:val="21"/>
      <w:szCs w:val="24"/>
    </w:rPr>
  </w:style>
  <w:style w:type="paragraph" w:customStyle="1" w:styleId="30">
    <w:name w:val="修订3"/>
    <w:hidden/>
    <w:uiPriority w:val="99"/>
    <w:semiHidden/>
    <w:qFormat/>
    <w:rPr>
      <w:kern w:val="2"/>
      <w:sz w:val="21"/>
      <w:szCs w:val="24"/>
    </w:rPr>
  </w:style>
  <w:style w:type="paragraph" w:customStyle="1" w:styleId="num2">
    <w:name w:val="样式.num2"/>
    <w:basedOn w:val="af9"/>
    <w:qFormat/>
    <w:pPr>
      <w:numPr>
        <w:numId w:val="1"/>
      </w:numPr>
      <w:ind w:firstLineChars="0" w:firstLine="0"/>
    </w:pPr>
    <w:rPr>
      <w:rFonts w:ascii="Calibri" w:hAnsi="Calibri"/>
    </w:rPr>
  </w:style>
  <w:style w:type="paragraph" w:customStyle="1" w:styleId="05220">
    <w:name w:val="样式 样式 样式 行距: 多倍行距 0.5 字行 首行缩进:  2 字符 + 首行缩进:  2 字符 + 首行缩进:  0 字符"/>
    <w:basedOn w:val="a"/>
    <w:qFormat/>
    <w:pPr>
      <w:tabs>
        <w:tab w:val="left" w:pos="0"/>
      </w:tabs>
    </w:pPr>
    <w:rPr>
      <w:rFonts w:eastAsia="黑体" w:cs="宋体"/>
      <w:szCs w:val="20"/>
    </w:rPr>
  </w:style>
  <w:style w:type="paragraph" w:customStyle="1" w:styleId="afa">
    <w:name w:val="表中的数字文字"/>
    <w:basedOn w:val="a"/>
    <w:qFormat/>
    <w:pPr>
      <w:spacing w:line="360" w:lineRule="auto"/>
      <w:jc w:val="center"/>
    </w:pPr>
    <w:rPr>
      <w:rFonts w:ascii="宋体" w:hAnsi="宋体" w:cs="宋体"/>
      <w:sz w:val="18"/>
      <w:szCs w:val="18"/>
    </w:rPr>
  </w:style>
  <w:style w:type="paragraph" w:styleId="afb">
    <w:name w:val="No Spacing"/>
    <w:qFormat/>
    <w:rPr>
      <w:szCs w:val="22"/>
      <w:lang w:eastAsia="en-US"/>
    </w:rPr>
  </w:style>
  <w:style w:type="paragraph" w:customStyle="1" w:styleId="Para">
    <w:name w:val="Para"/>
    <w:qFormat/>
    <w:pPr>
      <w:suppressAutoHyphens/>
      <w:spacing w:after="180" w:line="320" w:lineRule="exact"/>
    </w:pPr>
    <w:rPr>
      <w:rFonts w:ascii="Calibri Light" w:eastAsia="等线" w:hAnsi="Calibri Light" w:cs="Calibri Light"/>
      <w:sz w:val="24"/>
      <w:lang w:eastAsia="en-US"/>
    </w:rPr>
  </w:style>
  <w:style w:type="paragraph" w:customStyle="1" w:styleId="4">
    <w:name w:val="修订4"/>
    <w:hidden/>
    <w:uiPriority w:val="99"/>
    <w:unhideWhenUsed/>
    <w:qFormat/>
    <w:rPr>
      <w:kern w:val="2"/>
      <w:sz w:val="21"/>
      <w:szCs w:val="24"/>
    </w:rPr>
  </w:style>
  <w:style w:type="paragraph" w:customStyle="1" w:styleId="5">
    <w:name w:val="修订5"/>
    <w:hidden/>
    <w:uiPriority w:val="99"/>
    <w:unhideWhenUsed/>
    <w:rPr>
      <w:kern w:val="2"/>
      <w:sz w:val="21"/>
      <w:szCs w:val="24"/>
    </w:rPr>
  </w:style>
  <w:style w:type="paragraph" w:customStyle="1" w:styleId="6">
    <w:name w:val="修订6"/>
    <w:hidden/>
    <w:uiPriority w:val="99"/>
    <w:unhideWhenUsed/>
    <w:qFormat/>
    <w:rPr>
      <w:kern w:val="2"/>
      <w:sz w:val="21"/>
      <w:szCs w:val="24"/>
    </w:rPr>
  </w:style>
  <w:style w:type="paragraph" w:customStyle="1" w:styleId="110">
    <w:name w:val="列出段落11"/>
    <w:basedOn w:val="a"/>
    <w:uiPriority w:val="34"/>
    <w:qFormat/>
    <w:pPr>
      <w:spacing w:after="200" w:line="276" w:lineRule="auto"/>
      <w:ind w:firstLineChars="200" w:firstLine="420"/>
      <w:jc w:val="left"/>
    </w:pPr>
    <w:rPr>
      <w:rFonts w:ascii="Calibri"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38007-2E45-4728-A6C3-6C39891E2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78</Pages>
  <Words>7101</Words>
  <Characters>40480</Characters>
  <Application>Microsoft Office Word</Application>
  <DocSecurity>0</DocSecurity>
  <Lines>337</Lines>
  <Paragraphs>94</Paragraphs>
  <ScaleCrop>false</ScaleCrop>
  <Company>Xtzj.Com</Company>
  <LinksUpToDate>false</LinksUpToDate>
  <CharactersWithSpaces>47487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（局发文式样）</dc:title>
  <dc:creator>Xtzj.User</dc:creator>
  <cp:lastModifiedBy>lenovo</cp:lastModifiedBy>
  <cp:revision>32</cp:revision>
  <cp:lastPrinted>2022-04-02T01:19:00Z</cp:lastPrinted>
  <dcterms:created xsi:type="dcterms:W3CDTF">2025-07-17T10:19:00Z</dcterms:created>
  <dcterms:modified xsi:type="dcterms:W3CDTF">2025-07-17T10:25:00Z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D62064FB76594F82888639998D7468A6_13</vt:lpwstr>
  </property>
  <property fmtid="{D5CDD505-2E9C-101B-9397-08002B2CF9AE}" pid="4" name="KSOTemplateDocerSaveRecord">
    <vt:lpwstr>eyJoZGlkIjoiZDBmMDQ4NTc1NDI2NjQzOTRiOGFkMTZkZTNlMTI2YjciLCJ1c2VySWQiOiIzMzYwNzQxMjEifQ==</vt:lpwstr>
  </property>
</Properties>
</file>