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41F38"/>
          <w:sz w:val="60"/>
        </w:rPr>
        <w:t>BluelineGPT</w:t>
      </w:r>
    </w:p>
    <w:p>
      <w:pPr>
        <w:jc w:val="center"/>
      </w:pPr>
      <w:r>
        <w:rPr>
          <w:rFonts w:ascii="Aptos Display" w:hAnsi="Aptos Display"/>
          <w:b/>
          <w:color w:val="4A5CE6"/>
          <w:sz w:val="40"/>
        </w:rPr>
        <w:t>Project Handover Report</w:t>
      </w:r>
    </w:p>
    <w:p>
      <w:pPr>
        <w:jc w:val="center"/>
      </w:pPr>
      <w:r>
        <w:rPr>
          <w:color w:val="5A6273"/>
          <w:sz w:val="24"/>
        </w:rPr>
        <w:t>Prepared for continuation in Claude Code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EF1F7"/>
            <w:vAlign w:val="center"/>
          </w:tcPr>
          <w:p>
            <w:r/>
            <w:r>
              <w:rPr>
                <w:rFonts w:ascii="Aptos" w:hAnsi="Aptos"/>
                <w:b/>
                <w:color w:val="141F38"/>
                <w:sz w:val="18"/>
              </w:rPr>
              <w:t>Project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BluelineGPT</w:t>
            </w:r>
          </w:p>
        </w:tc>
      </w:tr>
      <w:tr>
        <w:tc>
          <w:tcPr>
            <w:tcW w:type="dxa" w:w="5040"/>
            <w:shd w:fill="EEF1F7"/>
            <w:vAlign w:val="center"/>
          </w:tcPr>
          <w:p>
            <w:r/>
            <w:r>
              <w:rPr>
                <w:rFonts w:ascii="Aptos" w:hAnsi="Aptos"/>
                <w:b/>
                <w:color w:val="141F38"/>
                <w:sz w:val="18"/>
              </w:rPr>
              <w:t>Report 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18 July 2026</w:t>
            </w:r>
          </w:p>
        </w:tc>
      </w:tr>
      <w:tr>
        <w:tc>
          <w:tcPr>
            <w:tcW w:type="dxa" w:w="5040"/>
            <w:shd w:fill="EEF1F7"/>
            <w:vAlign w:val="center"/>
          </w:tcPr>
          <w:p>
            <w:r/>
            <w:r>
              <w:rPr>
                <w:rFonts w:ascii="Aptos" w:hAnsi="Aptos"/>
                <w:b/>
                <w:color w:val="141F38"/>
                <w:sz w:val="18"/>
              </w:rPr>
              <w:t>Current phase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Users, Roles, Permissions and Access Control - prompt prepared; pre-execution review pending</w:t>
            </w:r>
          </w:p>
        </w:tc>
      </w:tr>
      <w:tr>
        <w:tc>
          <w:tcPr>
            <w:tcW w:type="dxa" w:w="5040"/>
            <w:shd w:fill="EEF1F7"/>
            <w:vAlign w:val="center"/>
          </w:tcPr>
          <w:p>
            <w:r/>
            <w:r>
              <w:rPr>
                <w:rFonts w:ascii="Aptos" w:hAnsi="Aptos"/>
                <w:b/>
                <w:color w:val="141F38"/>
                <w:sz w:val="18"/>
              </w:rPr>
              <w:t>Overall 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Core configuration and master-data modules substantially implemented; operational and closure phases remain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BluelineGPT is a multi-tenant delivery management system. The project has progressed through the main configuration and master-data foundations, including Employees, Drivers, commissions, Traders, Trader pricing, and Customers. The next planned phase is Users, Roles, Permissions, and Access Control.</w:t>
      </w:r>
    </w:p>
    <w:p>
      <w:r>
        <w:t>The current implementation is reported as stable: migrations, tests, linting, type checking, and production builds have passed for the completed phases. Some protected-page visual verification remains open where a valid browser login was not available.</w:t>
      </w:r>
    </w:p>
    <w:p>
      <w:pPr>
        <w:pStyle w:val="Heading1"/>
      </w:pPr>
      <w:r>
        <w:t>2. Non-Negotiable Project Rules</w:t>
      </w:r>
    </w:p>
    <w:p>
      <w:pPr>
        <w:pStyle w:val="ListBullet"/>
      </w:pPr>
      <w:r>
        <w:t>Use BluelineGPT as the only project and system name. Do not mix in concepts, terminology, schemas, or assumptions from any other project.</w:t>
      </w:r>
    </w:p>
    <w:p>
      <w:pPr>
        <w:pStyle w:val="ListBullet"/>
      </w:pPr>
      <w:r>
        <w:t>Use modular architecture, clear code structure, secure design, readable naming, functions where appropriate, and maintained documentation.</w:t>
      </w:r>
    </w:p>
    <w:p>
      <w:pPr>
        <w:pStyle w:val="ListBullet"/>
      </w:pPr>
      <w:r>
        <w:t>Do not place all code in one file.</w:t>
      </w:r>
    </w:p>
    <w:p>
      <w:pPr>
        <w:pStyle w:val="ListBullet"/>
      </w:pPr>
      <w:r>
        <w:t>Use one Name field only for people and master records; the field must accept English, Arabic, or mixed text.</w:t>
      </w:r>
    </w:p>
    <w:p>
      <w:pPr>
        <w:pStyle w:val="ListBullet"/>
      </w:pPr>
      <w:r>
        <w:t>Use Active/Disabled rather than destructive deletion when historical records exist.</w:t>
      </w:r>
    </w:p>
    <w:p>
      <w:pPr>
        <w:pStyle w:val="ListBullet"/>
      </w:pPr>
      <w:r>
        <w:t>All business data and APIs must remain company-scoped and tenant-isolated.</w:t>
      </w:r>
    </w:p>
    <w:p>
      <w:pPr>
        <w:pStyle w:val="ListBullet"/>
      </w:pPr>
      <w:r>
        <w:t>Historical orders, settlements, payments, prices, and snapshots must not be rewritten or fabricated.</w:t>
      </w:r>
    </w:p>
    <w:p>
      <w:pPr>
        <w:pStyle w:val="ListBullet"/>
      </w:pPr>
      <w:r>
        <w:t>Audit history must be append-only. Never invent historical actor, source, or role values.</w:t>
      </w:r>
    </w:p>
    <w:p>
      <w:pPr>
        <w:pStyle w:val="ListBullet"/>
      </w:pPr>
      <w:r>
        <w:t>Backend authorization is mandatory; frontend visibility is not security.</w:t>
      </w:r>
    </w:p>
    <w:p>
      <w:pPr>
        <w:pStyle w:val="ListBullet"/>
      </w:pPr>
      <w:r>
        <w:t>Do not invent unsupported workflows, permissions, file-storage providers, or financial formulas.</w:t>
      </w:r>
    </w:p>
    <w:p>
      <w:pPr>
        <w:pStyle w:val="Heading1"/>
      </w:pPr>
      <w:r>
        <w:t>3. Current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DE4FF"/>
            <w:vAlign w:val="center"/>
          </w:tcPr>
          <w:p>
            <w:r/>
            <w:r>
              <w:rPr>
                <w:rFonts w:ascii="Aptos" w:hAnsi="Aptos"/>
                <w:b/>
                <w:color w:val="141F38"/>
                <w:sz w:val="18"/>
              </w:rPr>
              <w:t>Component</w:t>
            </w:r>
          </w:p>
        </w:tc>
        <w:tc>
          <w:tcPr>
            <w:tcW w:type="dxa" w:w="3360"/>
            <w:shd w:fill="DDE4FF"/>
            <w:vAlign w:val="center"/>
          </w:tcPr>
          <w:p>
            <w:r/>
            <w:r>
              <w:rPr>
                <w:rFonts w:ascii="Aptos" w:hAnsi="Aptos"/>
                <w:b/>
                <w:color w:val="141F38"/>
                <w:sz w:val="18"/>
              </w:rPr>
              <w:t>Address</w:t>
            </w:r>
          </w:p>
        </w:tc>
        <w:tc>
          <w:tcPr>
            <w:tcW w:type="dxa" w:w="3360"/>
            <w:shd w:fill="DDE4FF"/>
            <w:vAlign w:val="center"/>
          </w:tcPr>
          <w:p>
            <w:r/>
            <w:r>
              <w:rPr>
                <w:rFonts w:ascii="Aptos" w:hAnsi="Aptos"/>
                <w:b/>
                <w:color w:val="141F38"/>
                <w:sz w:val="18"/>
              </w:rPr>
              <w:t>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http://127.0.0.1:3000/api/v1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Running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Web application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http://127.0.0.1:5174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Running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Unused ports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5173 and 8787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Not used</w:t>
            </w:r>
          </w:p>
        </w:tc>
      </w:tr>
    </w:tbl>
    <w:p>
      <w:pPr>
        <w:pStyle w:val="Heading1"/>
      </w:pPr>
      <w:r>
        <w:t>4. Completed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DE4FF"/>
            <w:vAlign w:val="center"/>
          </w:tcPr>
          <w:p>
            <w:r/>
            <w:r>
              <w:rPr>
                <w:rFonts w:ascii="Aptos" w:hAnsi="Aptos"/>
                <w:b/>
                <w:color w:val="141F38"/>
                <w:sz w:val="18"/>
              </w:rPr>
              <w:t>Phase</w:t>
            </w:r>
          </w:p>
        </w:tc>
        <w:tc>
          <w:tcPr>
            <w:tcW w:type="dxa" w:w="2520"/>
            <w:shd w:fill="DDE4FF"/>
            <w:vAlign w:val="center"/>
          </w:tcPr>
          <w:p>
            <w:r/>
            <w:r>
              <w:rPr>
                <w:rFonts w:ascii="Aptos" w:hAnsi="Aptos"/>
                <w:b/>
                <w:color w:val="141F38"/>
                <w:sz w:val="18"/>
              </w:rPr>
              <w:t>Status</w:t>
            </w:r>
          </w:p>
        </w:tc>
        <w:tc>
          <w:tcPr>
            <w:tcW w:type="dxa" w:w="2520"/>
            <w:shd w:fill="DDE4FF"/>
            <w:vAlign w:val="center"/>
          </w:tcPr>
          <w:p>
            <w:r/>
            <w:r>
              <w:rPr>
                <w:rFonts w:ascii="Aptos" w:hAnsi="Aptos"/>
                <w:b/>
                <w:color w:val="141F38"/>
                <w:sz w:val="18"/>
              </w:rPr>
              <w:t>Delivered</w:t>
            </w:r>
          </w:p>
        </w:tc>
        <w:tc>
          <w:tcPr>
            <w:tcW w:type="dxa" w:w="2520"/>
            <w:shd w:fill="DDE4FF"/>
            <w:vAlign w:val="center"/>
          </w:tcPr>
          <w:p>
            <w:r/>
            <w:r>
              <w:rPr>
                <w:rFonts w:ascii="Aptos" w:hAnsi="Aptos"/>
                <w:b/>
                <w:color w:val="141F38"/>
                <w:sz w:val="18"/>
              </w:rPr>
              <w:t>Open items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Employees, Drivers and Commission Configuration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Implemented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Employee and Driver pages; employee vs outsourced driver models; salary and up to four allowances; fixed or percentage commission; daily accrual and monthly payroll treatment; outsourced non-overlapping daily/monthly payment; HR document expiry warnings; audit and tenant controls.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Real document uploads, granular permissions, payroll approval/payment screens, advanced reporting, some visual verification.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Trader Configuration and Pricing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Implemented and visually verified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Trader list/details; create/edit/disable/reactivate; generated Trader and Area codes; flat and area-based effective pricing; pricing provenance; beneficiary bank accounts; settlement bank snapshots; inline Add Area and Set Trader Price modals; audit history.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Granular Trader permissions, payment conditions, settlement frequency, attachments and secure uploads.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Customer Configuration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Functionally complete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Customer master; multiple addresses; customer codes; Create Order integration; historical order snapshots; duplicate detection; audit events; tenant isolation; tests and builds.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Requested screenshots and final protected-page visual verification pending because a valid aisha.admin password was unavailable.</w:t>
            </w:r>
          </w:p>
        </w:tc>
      </w:tr>
    </w:tbl>
    <w:p>
      <w:pPr>
        <w:pStyle w:val="Heading1"/>
      </w:pPr>
      <w:r>
        <w:t>5. Important Implemented Business Decisions</w:t>
      </w:r>
    </w:p>
    <w:p>
      <w:r>
        <w:rPr>
          <w:b/>
          <w:color w:val="141F38"/>
        </w:rPr>
        <w:t xml:space="preserve">Driver models: </w:t>
      </w:r>
      <w:r>
        <w:t>Employee Driver and Outsourced Driver remain separate. Employee Drivers may receive salary, up to four optional allowances, and commission. Outsourced Drivers receive no salary and use commission-based payment.</w:t>
      </w:r>
    </w:p>
    <w:p>
      <w:r>
        <w:rPr>
          <w:b/>
          <w:color w:val="141F38"/>
        </w:rPr>
        <w:t xml:space="preserve">Commission basis: </w:t>
      </w:r>
      <w:r>
        <w:t>Percentage commission is based on Service Fee.</w:t>
      </w:r>
    </w:p>
    <w:p>
      <w:r>
        <w:rPr>
          <w:b/>
          <w:color w:val="141F38"/>
        </w:rPr>
        <w:t xml:space="preserve">Commission timing: </w:t>
      </w:r>
      <w:r>
        <w:t>Employee Driver daily commission is accrual-only; monthly payroll is the payment channel. Outsourced Drivers may use daily or monthly processing, but the periods cannot overlap.</w:t>
      </w:r>
    </w:p>
    <w:p>
      <w:r>
        <w:rPr>
          <w:b/>
          <w:color w:val="141F38"/>
        </w:rPr>
        <w:t xml:space="preserve">Eligibility date: </w:t>
      </w:r>
      <w:r>
        <w:t>Delivery Date controls commission eligibility.</w:t>
      </w:r>
    </w:p>
    <w:p>
      <w:r>
        <w:rPr>
          <w:b/>
          <w:color w:val="141F38"/>
        </w:rPr>
        <w:t xml:space="preserve">Expired documents: </w:t>
      </w:r>
      <w:r>
        <w:t>Warnings only in the current phase; no automatic assignment block.</w:t>
      </w:r>
    </w:p>
    <w:p>
      <w:r>
        <w:rPr>
          <w:b/>
          <w:color w:val="141F38"/>
        </w:rPr>
        <w:t xml:space="preserve">Payroll period: </w:t>
      </w:r>
      <w:r>
        <w:t>Calendar month, with no partial-month proration in the current scope.</w:t>
      </w:r>
    </w:p>
    <w:p>
      <w:r>
        <w:rPr>
          <w:b/>
          <w:color w:val="141F38"/>
        </w:rPr>
        <w:t xml:space="preserve">Outsourced adjustments: </w:t>
      </w:r>
      <w:r>
        <w:t>Audited additions and deductions require reasons.</w:t>
      </w:r>
    </w:p>
    <w:p>
      <w:r>
        <w:rPr>
          <w:b/>
          <w:color w:val="141F38"/>
        </w:rPr>
        <w:t xml:space="preserve">Document storage: </w:t>
      </w:r>
      <w:r>
        <w:t>Real uploads remain deferred until private secure storage is configured.</w:t>
      </w:r>
    </w:p>
    <w:p>
      <w:r>
        <w:rPr>
          <w:b/>
          <w:color w:val="141F38"/>
        </w:rPr>
        <w:t xml:space="preserve">Trader pricing: </w:t>
      </w:r>
      <w:r>
        <w:t>Flat and Area-Based pricing are effective-dated. Orders must preserve pricing provenance and final pricing snapshots.</w:t>
      </w:r>
    </w:p>
    <w:p>
      <w:r>
        <w:rPr>
          <w:b/>
          <w:color w:val="141F38"/>
        </w:rPr>
        <w:t xml:space="preserve">Area creation: </w:t>
      </w:r>
      <w:r>
        <w:t>Area code is backend-generated. Add Area opens a small modal, saves, closes, and returns the selected Area to the parent form.</w:t>
      </w:r>
    </w:p>
    <w:p>
      <w:r>
        <w:rPr>
          <w:b/>
          <w:color w:val="141F38"/>
        </w:rPr>
        <w:t xml:space="preserve">Customer model: </w:t>
      </w:r>
      <w:r>
        <w:t>Customers are company-scoped and reusable across Traders through Orders. Orders preserve immutable customer snapshots.</w:t>
      </w:r>
    </w:p>
    <w:p>
      <w:pPr>
        <w:pStyle w:val="Heading1"/>
      </w:pPr>
      <w:r>
        <w:t>6. Current Orders and Status Model</w:t>
      </w:r>
    </w:p>
    <w:p>
      <w:r>
        <w:t>Approved delivery statuses are: New, Assigned to Driver, Out for Delivery, Delivered, Returned to Branch, Returned to Trader, Cancelled, and Closed. Processing must not remain as an active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DE4FF"/>
            <w:vAlign w:val="center"/>
          </w:tcPr>
          <w:p>
            <w:r/>
            <w:r>
              <w:rPr>
                <w:rFonts w:ascii="Aptos" w:hAnsi="Aptos"/>
                <w:b/>
                <w:color w:val="141F38"/>
                <w:sz w:val="18"/>
              </w:rPr>
              <w:t>Dimension</w:t>
            </w:r>
          </w:p>
        </w:tc>
        <w:tc>
          <w:tcPr>
            <w:tcW w:type="dxa" w:w="3360"/>
            <w:shd w:fill="DDE4FF"/>
            <w:vAlign w:val="center"/>
          </w:tcPr>
          <w:p>
            <w:r/>
            <w:r>
              <w:rPr>
                <w:rFonts w:ascii="Aptos" w:hAnsi="Aptos"/>
                <w:b/>
                <w:color w:val="141F38"/>
                <w:sz w:val="18"/>
              </w:rPr>
              <w:t>Approved values</w:t>
            </w:r>
          </w:p>
        </w:tc>
        <w:tc>
          <w:tcPr>
            <w:tcW w:type="dxa" w:w="3360"/>
            <w:shd w:fill="DDE4FF"/>
            <w:vAlign w:val="center"/>
          </w:tcPr>
          <w:p>
            <w:r/>
            <w:r>
              <w:rPr>
                <w:rFonts w:ascii="Aptos" w:hAnsi="Aptos"/>
                <w:b/>
                <w:color w:val="141F38"/>
                <w:sz w:val="18"/>
              </w:rPr>
              <w:t>Notes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Delivery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New; Assigned to Driver; Out for Delivery; Delivered; Returned to Branch; Returned to Trader; Cancelled; Closed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automatic closure.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Driver Cash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Not Required; Pending Collection; Money Received from Driver; Reversed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Reversal action only where a real workflow exists.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Trader Settlement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Unsettled; Money Sent to Trader; Money Received by Trader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Historical mappings must preserve meaning.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Return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Not Required; Returned to Branch; Returned to Trader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Returned to Branch and Cancelled require reasons.</w:t>
            </w:r>
          </w:p>
        </w:tc>
      </w:tr>
    </w:tbl>
    <w:p>
      <w:pPr>
        <w:pStyle w:val="Heading1"/>
      </w:pPr>
      <w:r>
        <w:t>7. Current Phase: Users, Roles, Permissions and Access Control</w:t>
      </w:r>
    </w:p>
    <w:p>
      <w:r>
        <w:t>The complete implementation prompt for this phase has been prepared. Claude Code should begin with a read-only pre-execution review and must not modify files or database objects until unresolved questions are answered and explicit approval is given.</w:t>
      </w:r>
    </w:p>
    <w:p>
      <w:pPr>
        <w:pStyle w:val="ListBullet"/>
      </w:pPr>
      <w:r>
        <w:t>Users list, details, create, edit, disable/reactivate, lock/unlock.</w:t>
      </w:r>
    </w:p>
    <w:p>
      <w:pPr>
        <w:pStyle w:val="ListBullet"/>
      </w:pPr>
      <w:r>
        <w:t>Password reset and force-password-change workflows.</w:t>
      </w:r>
    </w:p>
    <w:p>
      <w:pPr>
        <w:pStyle w:val="ListBullet"/>
      </w:pPr>
      <w:r>
        <w:t>Optional one-to-one Employee linkage.</w:t>
      </w:r>
    </w:p>
    <w:p>
      <w:pPr>
        <w:pStyle w:val="ListBullet"/>
      </w:pPr>
      <w:r>
        <w:t>Role assignment and Role management.</w:t>
      </w:r>
    </w:p>
    <w:p>
      <w:pPr>
        <w:pStyle w:val="ListBullet"/>
      </w:pPr>
      <w:r>
        <w:t>Permission matrix based on existing permission codes.</w:t>
      </w:r>
    </w:p>
    <w:p>
      <w:pPr>
        <w:pStyle w:val="ListBullet"/>
      </w:pPr>
      <w:r>
        <w:t>Company-scoped access and tenant isolation.</w:t>
      </w:r>
    </w:p>
    <w:p>
      <w:pPr>
        <w:pStyle w:val="ListBullet"/>
      </w:pPr>
      <w:r>
        <w:t>Last-login and authentication activity.</w:t>
      </w:r>
    </w:p>
    <w:p>
      <w:pPr>
        <w:pStyle w:val="ListBullet"/>
      </w:pPr>
      <w:r>
        <w:t>Session visibility and revocation only where technically supported.</w:t>
      </w:r>
    </w:p>
    <w:p>
      <w:pPr>
        <w:pStyle w:val="ListBullet"/>
      </w:pPr>
      <w:r>
        <w:t>Protection against disabling or locking the last active administrator.</w:t>
      </w:r>
    </w:p>
    <w:p>
      <w:pPr>
        <w:pStyle w:val="ListBullet"/>
      </w:pPr>
      <w:r>
        <w:t>Append-only security audit history with no passwords, hashes, tokens, or secrets.</w:t>
      </w:r>
    </w:p>
    <w:p>
      <w:pPr>
        <w:pStyle w:val="Heading1"/>
      </w:pPr>
      <w:r>
        <w:t>8. Mandatory Pre-Execution Review for Claude Code</w:t>
      </w:r>
    </w:p>
    <w:p>
      <w:pPr>
        <w:pStyle w:val="ListNumber"/>
      </w:pPr>
      <w:r>
        <w:t>Inspect users, roles, permissions, role_permissions, user-role relations, company membership, authentication, password hashing, reset behavior, lockout, sessions/refresh tokens, Employee linkage, UI, guards, migrations and tests.</w:t>
      </w:r>
    </w:p>
    <w:p>
      <w:pPr>
        <w:pStyle w:val="ListNumber"/>
      </w:pPr>
      <w:r>
        <w:t>Report whether Roles are company-scoped and Permissions are global definitions.</w:t>
      </w:r>
    </w:p>
    <w:p>
      <w:pPr>
        <w:pStyle w:val="ListNumber"/>
      </w:pPr>
      <w:r>
        <w:t>Report whether multiple Roles per User already exist.</w:t>
      </w:r>
    </w:p>
    <w:p>
      <w:pPr>
        <w:pStyle w:val="ListNumber"/>
      </w:pPr>
      <w:r>
        <w:t>Report the existing password reset mechanism and whether email infrastructure exists.</w:t>
      </w:r>
    </w:p>
    <w:p>
      <w:pPr>
        <w:pStyle w:val="ListNumber"/>
      </w:pPr>
      <w:r>
        <w:t>Report the current session/token model and whether revocation is possible.</w:t>
      </w:r>
    </w:p>
    <w:p>
      <w:pPr>
        <w:pStyle w:val="ListNumber"/>
      </w:pPr>
      <w:r>
        <w:t>Report duplicate usernames/emails, invalid mobiles, Users without Roles, orphaned assignments, administrator counts, and Users with users_roles.manage.</w:t>
      </w:r>
    </w:p>
    <w:p>
      <w:pPr>
        <w:pStyle w:val="ListNumber"/>
      </w:pPr>
      <w:r>
        <w:t>Do not create new permission codes unless a gap is explicitly reported and later approved.</w:t>
      </w:r>
    </w:p>
    <w:p>
      <w:pPr>
        <w:pStyle w:val="ListNumber"/>
      </w:pPr>
      <w:r>
        <w:t>Use users_roles.manage as the current administrative fallback where granular permissions are absent.</w:t>
      </w:r>
    </w:p>
    <w:p>
      <w:pPr>
        <w:pStyle w:val="Heading1"/>
      </w:pPr>
      <w:r>
        <w:t>9. Remaining Major Work to Finish the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DE4FF"/>
            <w:vAlign w:val="center"/>
          </w:tcPr>
          <w:p>
            <w:r/>
            <w:r>
              <w:rPr>
                <w:rFonts w:ascii="Aptos" w:hAnsi="Aptos"/>
                <w:b/>
                <w:color w:val="141F38"/>
                <w:sz w:val="18"/>
              </w:rPr>
              <w:t>Priority</w:t>
            </w:r>
          </w:p>
        </w:tc>
        <w:tc>
          <w:tcPr>
            <w:tcW w:type="dxa" w:w="3360"/>
            <w:shd w:fill="DDE4FF"/>
            <w:vAlign w:val="center"/>
          </w:tcPr>
          <w:p>
            <w:r/>
            <w:r>
              <w:rPr>
                <w:rFonts w:ascii="Aptos" w:hAnsi="Aptos"/>
                <w:b/>
                <w:color w:val="141F38"/>
                <w:sz w:val="18"/>
              </w:rPr>
              <w:t>Remaining phase</w:t>
            </w:r>
          </w:p>
        </w:tc>
        <w:tc>
          <w:tcPr>
            <w:tcW w:type="dxa" w:w="3360"/>
            <w:shd w:fill="DDE4FF"/>
            <w:vAlign w:val="center"/>
          </w:tcPr>
          <w:p>
            <w:r/>
            <w:r>
              <w:rPr>
                <w:rFonts w:ascii="Aptos" w:hAnsi="Aptos"/>
                <w:b/>
                <w:color w:val="141F38"/>
                <w:sz w:val="18"/>
              </w:rPr>
              <w:t>Expected outcome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Users, Roles, Permissions and Access Control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Secure administration, login-account lifecycle, role assignment, permission matrix and last-administrator protection.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Driver Cash Reconciliation completion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Operational reconciliation screen, multiple payments, driver expenses, exact balancing, atomic confirmation and audit.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Trader Settlement operational completion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End-to-end settlement screens, beneficiary handling, receipt confirmation, history and exception handling.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Payroll and Outsourced Driver Payments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Monthly employee payroll payment/approval screens, commission consumption, outsourced-driver payment processing and duplicate-payment prevention.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Reports and Alerts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Document expiry, payroll, commissions, outsourced payments, operational and financial summaries.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Secure file storage and attachments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Private storage provider, size/MIME rules, malware scanning, retention, authorization, upload/download and audit.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Granular permissions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Replace broad administrative fallback with approved module-level permissions.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Full end-to-end validation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Browser screenshots, role-based UAT, security testing, regression, accessibility, RTL, performance and deployment readiness.</w:t>
            </w:r>
          </w:p>
        </w:tc>
      </w:tr>
    </w:tbl>
    <w:p>
      <w:pPr>
        <w:pStyle w:val="Heading1"/>
      </w:pPr>
      <w:r>
        <w:t>10. Known Open Limitations and Technical Debt</w:t>
      </w:r>
    </w:p>
    <w:p>
      <w:pPr>
        <w:pStyle w:val="ListBullet"/>
      </w:pPr>
      <w:r>
        <w:t>Customer protected-page screenshots and final visual closure are pending because a valid aisha.admin password was unavailable.</w:t>
      </w:r>
    </w:p>
    <w:p>
      <w:pPr>
        <w:pStyle w:val="ListBullet"/>
      </w:pPr>
      <w:r>
        <w:t>Real secure file uploads are deferred.</w:t>
      </w:r>
    </w:p>
    <w:p>
      <w:pPr>
        <w:pStyle w:val="ListBullet"/>
      </w:pPr>
      <w:r>
        <w:t>Granular permissions for several configuration modules are deferred.</w:t>
      </w:r>
    </w:p>
    <w:p>
      <w:pPr>
        <w:pStyle w:val="ListBullet"/>
      </w:pPr>
      <w:r>
        <w:t>Payroll approval/payment screens are deferred.</w:t>
      </w:r>
    </w:p>
    <w:p>
      <w:pPr>
        <w:pStyle w:val="ListBullet"/>
      </w:pPr>
      <w:r>
        <w:t>Advanced reporting is deferred.</w:t>
      </w:r>
    </w:p>
    <w:p>
      <w:pPr>
        <w:pStyle w:val="ListBullet"/>
      </w:pPr>
      <w:r>
        <w:t>A JavaScript production bundle warning of approximately 581.59 kB remains; it is not a blocker but should be addressed through later code splitting.</w:t>
      </w:r>
    </w:p>
    <w:p>
      <w:pPr>
        <w:pStyle w:val="ListBullet"/>
      </w:pPr>
      <w:r>
        <w:t>Eight unrelated pre-existing formatting issues were reported outside the Trader phase; changed files in that phase were formatted.</w:t>
      </w:r>
    </w:p>
    <w:p>
      <w:pPr>
        <w:pStyle w:val="Heading1"/>
      </w:pPr>
      <w:r>
        <w:t>11. Data Preservation and Migration Guardrails</w:t>
      </w:r>
    </w:p>
    <w:p>
      <w:pPr>
        <w:pStyle w:val="ListBullet"/>
      </w:pPr>
      <w:r>
        <w:t>Do not alter historical Order financial values.</w:t>
      </w:r>
    </w:p>
    <w:p>
      <w:pPr>
        <w:pStyle w:val="ListBullet"/>
      </w:pPr>
      <w:r>
        <w:t>Do not fabricate pricing history, Customer identity, actor role, source, settlement bank, or other missing provenance.</w:t>
      </w:r>
    </w:p>
    <w:p>
      <w:pPr>
        <w:pStyle w:val="ListBullet"/>
      </w:pPr>
      <w:r>
        <w:t>Existing unattributed records remain marked legacy_unattributed with nullable references.</w:t>
      </w:r>
    </w:p>
    <w:p>
      <w:pPr>
        <w:pStyle w:val="ListBullet"/>
      </w:pPr>
      <w:r>
        <w:t>Existing invalid legacy mobiles may remain with warnings; new or edited values must comply with 9715XXXXXXXX.</w:t>
      </w:r>
    </w:p>
    <w:p>
      <w:pPr>
        <w:pStyle w:val="ListBullet"/>
      </w:pPr>
      <w:r>
        <w:t>Generated codes are company-scoped and immutable after creation.</w:t>
      </w:r>
    </w:p>
    <w:p>
      <w:pPr>
        <w:pStyle w:val="ListBullet"/>
      </w:pPr>
      <w:r>
        <w:t>Historical Orders use their own Trader pricing and Customer snapshots, not current master values.</w:t>
      </w:r>
    </w:p>
    <w:p>
      <w:pPr>
        <w:pStyle w:val="ListBullet"/>
      </w:pPr>
      <w:r>
        <w:t>Confirmed settlements and paid calculations must remain immutable except through an approved reversal workflow.</w:t>
      </w:r>
    </w:p>
    <w:p>
      <w:pPr>
        <w:pStyle w:val="Heading1"/>
      </w:pPr>
      <w:r>
        <w:t>12. Recommended Claude Code Working Method</w:t>
      </w:r>
    </w:p>
    <w:p>
      <w:pPr>
        <w:pStyle w:val="ListNumber"/>
      </w:pPr>
      <w:r>
        <w:t>Read this handover and the latest governing BluelineGPT requirements before making changes.</w:t>
      </w:r>
    </w:p>
    <w:p>
      <w:pPr>
        <w:pStyle w:val="ListNumber"/>
      </w:pPr>
      <w:r>
        <w:t>Start each phase with a read-only repository and database review.</w:t>
      </w:r>
    </w:p>
    <w:p>
      <w:pPr>
        <w:pStyle w:val="ListNumber"/>
      </w:pPr>
      <w:r>
        <w:t>List findings, conflicts, data risks, migration impact, missing permissions and exact business questions.</w:t>
      </w:r>
    </w:p>
    <w:p>
      <w:pPr>
        <w:pStyle w:val="ListNumber"/>
      </w:pPr>
      <w:r>
        <w:t>Wait for explicit approval before execution whenever the phase prompt requires it.</w:t>
      </w:r>
    </w:p>
    <w:p>
      <w:pPr>
        <w:pStyle w:val="ListNumber"/>
      </w:pPr>
      <w:r>
        <w:t>Implement in small, verifiable steps rather than one large batch.</w:t>
      </w:r>
    </w:p>
    <w:p>
      <w:pPr>
        <w:pStyle w:val="ListNumber"/>
      </w:pPr>
      <w:r>
        <w:t>Preserve unrelated working modules and avoid broad refactoring.</w:t>
      </w:r>
    </w:p>
    <w:p>
      <w:pPr>
        <w:pStyle w:val="ListNumber"/>
      </w:pPr>
      <w:r>
        <w:t>Run migrations, schema verification, database tests, API tests, web tests, tenant-isolation tests, lint, type checking and production builds.</w:t>
      </w:r>
    </w:p>
    <w:p>
      <w:pPr>
        <w:pStyle w:val="ListNumber"/>
      </w:pPr>
      <w:r>
        <w:t>Perform browser verification with a valid authenticated session and capture the required screenshots.</w:t>
      </w:r>
    </w:p>
    <w:p>
      <w:pPr>
        <w:pStyle w:val="ListNumber"/>
      </w:pPr>
      <w:r>
        <w:t>Report files added/modified, migrations, tests, results, limitations, and deferred items honestly.</w:t>
      </w:r>
    </w:p>
    <w:p>
      <w:pPr>
        <w:pStyle w:val="Heading1"/>
      </w:pPr>
      <w:r>
        <w:t>13. Definition of Project Completion</w:t>
      </w:r>
    </w:p>
    <w:p>
      <w:r>
        <w:t>BluelineGPT should be considered complete only when all planned operational, financial, security, reporting, attachment, and end-to-end validation phases are implemented and accepted.</w:t>
      </w:r>
    </w:p>
    <w:p>
      <w:pPr>
        <w:pStyle w:val="ListBullet"/>
      </w:pPr>
      <w:r>
        <w:t>All required Configuration modules are complete and visually verified.</w:t>
      </w:r>
    </w:p>
    <w:p>
      <w:pPr>
        <w:pStyle w:val="ListBullet"/>
      </w:pPr>
      <w:r>
        <w:t>Users and Roles are secure and cannot cause administrative lockout.</w:t>
      </w:r>
    </w:p>
    <w:p>
      <w:pPr>
        <w:pStyle w:val="ListBullet"/>
      </w:pPr>
      <w:r>
        <w:t>Orders support the approved lifecycle, assignment, details, bulk operations and complete audit history.</w:t>
      </w:r>
    </w:p>
    <w:p>
      <w:pPr>
        <w:pStyle w:val="ListBullet"/>
      </w:pPr>
      <w:r>
        <w:t>Driver cash reconciliation is atomic and balances exactly.</w:t>
      </w:r>
    </w:p>
    <w:p>
      <w:pPr>
        <w:pStyle w:val="ListBullet"/>
      </w:pPr>
      <w:r>
        <w:t>Trader settlements and receipt confirmation are operational.</w:t>
      </w:r>
    </w:p>
    <w:p>
      <w:pPr>
        <w:pStyle w:val="ListBullet"/>
      </w:pPr>
      <w:r>
        <w:t>Employee payroll and outsourced-driver payments prevent duplicate commission payment.</w:t>
      </w:r>
    </w:p>
    <w:p>
      <w:pPr>
        <w:pStyle w:val="ListBullet"/>
      </w:pPr>
      <w:r>
        <w:t>Secure private file storage is implemented where documents are required.</w:t>
      </w:r>
    </w:p>
    <w:p>
      <w:pPr>
        <w:pStyle w:val="ListBullet"/>
      </w:pPr>
      <w:r>
        <w:t>Granular permissions are approved and enforced by the backend.</w:t>
      </w:r>
    </w:p>
    <w:p>
      <w:pPr>
        <w:pStyle w:val="ListBullet"/>
      </w:pPr>
      <w:r>
        <w:t>Reports and expiry alerts are available.</w:t>
      </w:r>
    </w:p>
    <w:p>
      <w:pPr>
        <w:pStyle w:val="ListBullet"/>
      </w:pPr>
      <w:r>
        <w:t>Tenant isolation, security, RTL, accessibility, performance and regression testing pass.</w:t>
      </w:r>
    </w:p>
    <w:p>
      <w:pPr>
        <w:pStyle w:val="ListBullet"/>
      </w:pPr>
      <w:r>
        <w:t>Deployment, backup, monitoring and operational documentation are ready.</w:t>
      </w:r>
    </w:p>
    <w:p>
      <w:pPr>
        <w:pStyle w:val="Heading1"/>
      </w:pPr>
      <w:r>
        <w:t>14. Immediate Next Action</w:t>
      </w:r>
    </w:p>
    <w:p>
      <w:r>
        <w:rPr>
          <w:b/>
          <w:color w:val="4A5CE6"/>
        </w:rPr>
        <w:t>Claude Code should now execute the Users, Roles, Permissions and Access Control pre-execution review only.</w:t>
      </w:r>
    </w:p>
    <w:p>
      <w:r>
        <w:t>It should return the requested current-state findings, data-quality results, security risks, required migrations, clarification questions and safe implementation sequence. No files or database objects should be modified until approval.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273"/>
        <w:sz w:val="16"/>
      </w:rPr>
      <w:t>BluelineGPT Project Handover Report | 18 July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1F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A5CE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1F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1F3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tusLabel">
    <w:name w:val="Status Label"/>
    <w:rPr>
      <w:rFonts w:ascii="Aptos" w:hAnsi="Aptos"/>
      <w:b/>
      <w:color w:val="4A5CE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