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2AFA1">
      <w:pPr>
        <w:adjustRightInd w:val="0"/>
        <w:snapToGrid w:val="0"/>
        <w:jc w:val="left"/>
        <w:rPr>
          <w:rFonts w:hint="eastAsia" w:cstheme="minorBidi"/>
          <w:szCs w:val="22"/>
        </w:rPr>
      </w:pPr>
      <w:sdt>
        <w:sdtPr>
          <w:rPr>
            <w:rFonts w:ascii="微软雅黑" w:hAnsi="微软雅黑" w:eastAsia="微软雅黑" w:cs="微软雅黑"/>
            <w:sz w:val="28"/>
            <w:szCs w:val="28"/>
          </w:rPr>
          <w:id w:val="147456607"/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Fonts w:asciiTheme="minorHAnsi" w:hAnsiTheme="minorHAnsi" w:eastAsiaTheme="minorEastAsia" w:cstheme="minorBidi"/>
            <w:sz w:val="21"/>
            <w:szCs w:val="22"/>
          </w:rPr>
        </w:sdtEndPr>
        <w:sdtContent>
          <w:r>
            <w:rPr>
              <w:rFonts w:ascii="微软雅黑" w:hAnsi="微软雅黑" w:eastAsia="微软雅黑" w:cs="微软雅黑"/>
              <w:sz w:val="28"/>
              <w:szCs w:val="28"/>
            </w:rPr>
            <w:t xml:space="preserve">     </w:t>
          </w:r>
        </w:sdtContent>
      </w:sdt>
      <w:r>
        <w:rPr>
          <w:rFonts w:hint="eastAsia" w:cstheme="minorBidi"/>
          <w:szCs w:val="22"/>
        </w:rPr>
        <w:t xml:space="preserve"> </w:t>
      </w:r>
    </w:p>
    <w:p w14:paraId="0FEF5220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5CE7E846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69506DBD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49C71AEB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335420F0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4FDEA78B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50E9BB7F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0A5057DF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2BC139F4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4E32A3EC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2314A26E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1DA1FD1A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2D7E5515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0AD9907B">
      <w:pPr>
        <w:adjustRightInd w:val="0"/>
        <w:snapToGrid w:val="0"/>
        <w:jc w:val="left"/>
        <w:rPr>
          <w:rFonts w:hint="eastAsia" w:cstheme="minorBidi"/>
          <w:szCs w:val="22"/>
        </w:rPr>
      </w:pPr>
    </w:p>
    <w:p w14:paraId="6F0B8CF6">
      <w:pPr>
        <w:adjustRightInd w:val="0"/>
        <w:snapToGrid w:val="0"/>
        <w:jc w:val="left"/>
        <w:rPr>
          <w:rFonts w:asciiTheme="minorHAnsi" w:hAnsiTheme="minorHAnsi" w:eastAsiaTheme="minorEastAsia" w:cstheme="minorBidi"/>
          <w:szCs w:val="22"/>
        </w:rPr>
      </w:pPr>
      <w:r>
        <w:rPr>
          <w:rFonts w:hint="eastAsia" w:cstheme="minorBidi"/>
          <w:szCs w:val="22"/>
        </w:rPr>
        <w:t xml:space="preserve">                                     </w:t>
      </w:r>
    </w:p>
    <w:sdt>
      <w:sdtPr>
        <w:rPr>
          <w:rFonts w:asciiTheme="minorHAnsi" w:hAnsiTheme="minorHAnsi" w:eastAsiaTheme="minorEastAsia" w:cstheme="minorBidi"/>
          <w:szCs w:val="22"/>
        </w:rPr>
        <w:id w:val="147462856"/>
        <w:placeholder>
          <w:docPart w:val="{1683b804-80d3-4f14-973e-de88f785f9be}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Fonts w:asciiTheme="minorHAnsi" w:hAnsiTheme="minorHAnsi" w:eastAsiaTheme="minorEastAsia" w:cstheme="minorBidi"/>
          <w:sz w:val="28"/>
          <w:szCs w:val="32"/>
        </w:rPr>
      </w:sdtEndPr>
      <w:sdtContent>
        <w:p w14:paraId="191FC173">
          <w:pPr>
            <w:adjustRightInd w:val="0"/>
            <w:snapToGrid w:val="0"/>
            <w:jc w:val="center"/>
            <w:rPr>
              <w:rFonts w:hint="eastAsia" w:asciiTheme="minorHAnsi" w:hAnsiTheme="minorHAnsi" w:eastAsiaTheme="minorEastAsia" w:cstheme="minorBidi"/>
              <w:sz w:val="52"/>
              <w:szCs w:val="52"/>
              <w:lang w:eastAsia="zh-CN"/>
            </w:rPr>
          </w:pPr>
          <w:r>
            <w:rPr>
              <w:rFonts w:hint="eastAsia" w:ascii="微软雅黑" w:hAnsi="微软雅黑" w:eastAsia="微软雅黑" w:cs="微软雅黑"/>
              <w:b/>
              <w:bCs/>
              <w:color w:val="2D4CE7"/>
              <w:sz w:val="86"/>
              <w:szCs w:val="86"/>
              <w:lang w:val="en-US" w:eastAsia="zh-CN"/>
            </w:rPr>
            <w:t>Bluelm-Shopguard</w:t>
          </w:r>
          <w:r>
            <w:rPr>
              <w:rFonts w:hint="eastAsia" w:ascii="微软雅黑" w:hAnsi="微软雅黑" w:eastAsia="微软雅黑" w:cs="微软雅黑"/>
              <w:b/>
              <w:bCs/>
              <w:color w:val="2D4CE7"/>
              <w:sz w:val="52"/>
              <w:szCs w:val="52"/>
              <w:lang w:val="en-US" w:eastAsia="zh-CN"/>
            </w:rPr>
            <w:t>作品策划团队：SIGAI39</w:t>
          </w:r>
        </w:p>
        <w:p w14:paraId="6337362E">
          <w:pPr>
            <w:rPr>
              <w:rFonts w:asciiTheme="minorHAnsi" w:hAnsiTheme="minorHAnsi" w:eastAsiaTheme="minorEastAsia" w:cstheme="minorBidi"/>
              <w:sz w:val="28"/>
              <w:szCs w:val="32"/>
            </w:rPr>
          </w:pPr>
        </w:p>
      </w:sdtContent>
    </w:sdt>
    <w:p w14:paraId="7B906E61">
      <w:pPr>
        <w:rPr>
          <w:rFonts w:asciiTheme="minorHAnsi" w:hAnsiTheme="minorHAnsi" w:eastAsiaTheme="minorEastAsia" w:cstheme="minorBidi"/>
          <w:sz w:val="28"/>
          <w:szCs w:val="32"/>
        </w:rPr>
      </w:pPr>
    </w:p>
    <w:p w14:paraId="0E527E2A"/>
    <w:p w14:paraId="0DBED00D"/>
    <w:p w14:paraId="6C403E70"/>
    <w:p w14:paraId="77A845F8"/>
    <w:p w14:paraId="0D9141E5"/>
    <w:p w14:paraId="189998FA"/>
    <w:p w14:paraId="578E7DCB"/>
    <w:p w14:paraId="107CBFD2"/>
    <w:p w14:paraId="1CD7A46C"/>
    <w:p w14:paraId="17CB8181"/>
    <w:sdt>
      <w:sdtPr>
        <w:rPr>
          <w:rFonts w:asciiTheme="minorHAnsi" w:hAnsiTheme="minorHAnsi" w:eastAsiaTheme="minorEastAsia" w:cstheme="minorBidi"/>
          <w:szCs w:val="22"/>
        </w:rPr>
        <w:id w:val="147452328"/>
        <w:placeholder>
          <w:docPart w:val="{1683b804-80d3-4f14-973e-de88f785f9be}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Fonts w:asciiTheme="minorHAnsi" w:hAnsiTheme="minorHAnsi" w:eastAsiaTheme="minorEastAsia" w:cstheme="minorBidi"/>
          <w:sz w:val="28"/>
          <w:szCs w:val="32"/>
        </w:rPr>
      </w:sdtEndPr>
      <w:sdtContent>
        <w:p w14:paraId="3DDA0F80">
          <w:pPr>
            <w:adjustRightInd w:val="0"/>
            <w:snapToGrid w:val="0"/>
            <w:jc w:val="left"/>
            <w:rPr>
              <w:rFonts w:hint="eastAsia" w:asciiTheme="minorHAnsi" w:hAnsiTheme="minorHAnsi" w:eastAsiaTheme="minorEastAsia" w:cstheme="minorBidi"/>
              <w:sz w:val="28"/>
              <w:szCs w:val="32"/>
              <w:lang w:eastAsia="zh-CN"/>
            </w:rPr>
          </w:pPr>
        </w:p>
        <w:p w14:paraId="7E8D4261">
          <w:pPr>
            <w:rPr>
              <w:rFonts w:asciiTheme="minorHAnsi" w:hAnsiTheme="minorHAnsi" w:eastAsiaTheme="minorEastAsia" w:cstheme="minorBidi"/>
              <w:sz w:val="28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sz w:val="28"/>
              <w:szCs w:val="32"/>
              <w:lang w:eastAsia="zh-CN"/>
            </w:rPr>
            <w:t xml:space="preserve">     </w:t>
          </w:r>
        </w:p>
      </w:sdtContent>
    </w:sdt>
    <w:sdt>
      <w:sdtPr>
        <w:rPr>
          <w:rFonts w:asciiTheme="minorHAnsi" w:hAnsiTheme="minorHAnsi" w:eastAsiaTheme="minorEastAsia" w:cstheme="minorBidi"/>
          <w:szCs w:val="22"/>
        </w:rPr>
        <w:id w:val="147455767"/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Fonts w:asciiTheme="minorHAnsi" w:hAnsiTheme="minorHAnsi" w:eastAsiaTheme="minorEastAsia" w:cstheme="minorBidi"/>
          <w:sz w:val="28"/>
          <w:szCs w:val="32"/>
        </w:rPr>
      </w:sdtEndPr>
      <w:sdtContent>
        <w:p w14:paraId="7533E32A">
          <w:pPr>
            <w:rPr>
              <w:rFonts w:asciiTheme="minorHAnsi" w:hAnsiTheme="minorHAnsi" w:eastAsiaTheme="minorEastAsia" w:cstheme="minorBidi"/>
              <w:szCs w:val="22"/>
            </w:rPr>
          </w:pPr>
          <w:r>
            <w:rPr>
              <w:rFonts w:hint="eastAsia" w:asciiTheme="minorHAnsi" w:hAnsiTheme="minorHAnsi" w:eastAsiaTheme="minorEastAsia" w:cstheme="minorBidi"/>
              <w:szCs w:val="22"/>
              <w:lang w:eastAsia="zh-CN"/>
            </w:rPr>
            <w:t xml:space="preserve">     </w:t>
          </w:r>
        </w:p>
      </w:sdtContent>
    </w:sdt>
    <w:p w14:paraId="629EB007"/>
    <w:p w14:paraId="7CD3DA6D"/>
    <w:p w14:paraId="666F784A"/>
    <w:p w14:paraId="3DF0660B"/>
    <w:p w14:paraId="4A877974"/>
    <w:sdt>
      <w:sdtPr>
        <w:rPr>
          <w:rFonts w:ascii="宋体" w:hAnsi="宋体"/>
        </w:rPr>
        <w:id w:val="147474760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/>
        </w:rPr>
      </w:sdtEndPr>
      <w:sdtContent>
        <w:p w14:paraId="4A4B3F97">
          <w:pPr>
            <w:jc w:val="center"/>
          </w:pPr>
          <w:r>
            <w:rPr>
              <w:rFonts w:ascii="宋体" w:hAnsi="宋体"/>
            </w:rPr>
            <w:t>目录</w:t>
          </w:r>
        </w:p>
        <w:p w14:paraId="43D365A3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"_Toc28438" </w:instrText>
          </w:r>
          <w:r>
            <w:fldChar w:fldCharType="separate"/>
          </w:r>
          <w:r>
            <w:rPr>
              <w:rFonts w:hint="eastAsia"/>
            </w:rPr>
            <w:t>1. 团队介绍</w:t>
          </w:r>
          <w:r>
            <w:tab/>
          </w:r>
          <w:r>
            <w:fldChar w:fldCharType="begin"/>
          </w:r>
          <w:r>
            <w:instrText xml:space="preserve"> PAGEREF _Toc28438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EEF9A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"_Toc7873" </w:instrText>
          </w:r>
          <w:r>
            <w:fldChar w:fldCharType="separate"/>
          </w:r>
          <w:r>
            <w:rPr>
              <w:rFonts w:hint="eastAsia"/>
            </w:rPr>
            <w:t>2. 创意阐述</w:t>
          </w:r>
          <w:r>
            <w:tab/>
          </w:r>
          <w:r>
            <w:fldChar w:fldCharType="begin"/>
          </w:r>
          <w:r>
            <w:instrText xml:space="preserve"> PAGEREF _Toc7873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EB600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"_Toc21010" </w:instrText>
          </w:r>
          <w:r>
            <w:fldChar w:fldCharType="separate"/>
          </w:r>
          <w:r>
            <w:rPr>
              <w:rFonts w:hint="eastAsia"/>
            </w:rPr>
            <w:t>2.1 背景与痛点</w:t>
          </w:r>
          <w:r>
            <w:tab/>
          </w:r>
          <w:r>
            <w:fldChar w:fldCharType="begin"/>
          </w:r>
          <w:r>
            <w:instrText xml:space="preserve"> PAGEREF _Toc21010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D0559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"_Toc19991" </w:instrText>
          </w:r>
          <w:r>
            <w:fldChar w:fldCharType="separate"/>
          </w:r>
          <w:r>
            <w:rPr>
              <w:rFonts w:hint="eastAsia"/>
            </w:rPr>
            <w:t>2.2 创新点与解决方案</w:t>
          </w:r>
          <w:r>
            <w:tab/>
          </w:r>
          <w:r>
            <w:fldChar w:fldCharType="begin"/>
          </w:r>
          <w:r>
            <w:instrText xml:space="preserve"> PAGEREF _Toc19991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6F982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"_Toc16718" </w:instrText>
          </w:r>
          <w:r>
            <w:fldChar w:fldCharType="separate"/>
          </w:r>
          <w:r>
            <w:rPr>
              <w:rFonts w:hint="eastAsia"/>
            </w:rPr>
            <w:t>2.3 应用场景</w:t>
          </w:r>
          <w:r>
            <w:tab/>
          </w:r>
          <w:r>
            <w:fldChar w:fldCharType="begin"/>
          </w:r>
          <w:r>
            <w:instrText xml:space="preserve"> PAGEREF _Toc16718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2C1EE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"_Toc30277" </w:instrText>
          </w:r>
          <w:r>
            <w:fldChar w:fldCharType="separate"/>
          </w:r>
          <w:r>
            <w:rPr>
              <w:rFonts w:hint="eastAsia"/>
            </w:rPr>
            <w:t>2.4 社会价值</w:t>
          </w:r>
          <w:r>
            <w:tab/>
          </w:r>
          <w:r>
            <w:fldChar w:fldCharType="begin"/>
          </w:r>
          <w:r>
            <w:instrText xml:space="preserve"> PAGEREF _Toc30277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A95F0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"_Toc7737" </w:instrText>
          </w:r>
          <w:r>
            <w:fldChar w:fldCharType="separate"/>
          </w:r>
          <w:r>
            <w:rPr>
              <w:rFonts w:hint="eastAsia"/>
            </w:rPr>
            <w:t>3. 技术方案</w:t>
          </w:r>
          <w:r>
            <w:tab/>
          </w:r>
          <w:r>
            <w:fldChar w:fldCharType="begin"/>
          </w:r>
          <w:r>
            <w:instrText xml:space="preserve"> PAGEREF _Toc7737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3AE64D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"_Toc14785" </w:instrText>
          </w:r>
          <w:r>
            <w:fldChar w:fldCharType="separate"/>
          </w:r>
          <w:r>
            <w:rPr>
              <w:rFonts w:hint="eastAsia"/>
            </w:rPr>
            <w:t>3.1 核心技术架构与模型调用框架</w:t>
          </w:r>
          <w:r>
            <w:tab/>
          </w:r>
          <w:r>
            <w:fldChar w:fldCharType="begin"/>
          </w:r>
          <w:r>
            <w:instrText xml:space="preserve"> PAGEREF _Toc14785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46007F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"_Toc13612" </w:instrText>
          </w:r>
          <w:r>
            <w:fldChar w:fldCharType="separate"/>
          </w:r>
          <w:r>
            <w:rPr>
              <w:rFonts w:hint="eastAsia"/>
            </w:rPr>
            <w:t xml:space="preserve">3.1.1 </w:t>
          </w:r>
          <w:r>
            <w:rPr>
              <w:rFonts w:hint="eastAsia" w:ascii="宋体" w:hAnsi="宋体" w:cs="宋体"/>
              <w:bCs/>
              <w:szCs w:val="28"/>
              <w:shd w:val="clear" w:color="auto" w:fill="FFFFFF"/>
            </w:rPr>
            <w:t>模型调用分层策略</w:t>
          </w:r>
          <w:r>
            <w:tab/>
          </w:r>
          <w:r>
            <w:fldChar w:fldCharType="begin"/>
          </w:r>
          <w:r>
            <w:instrText xml:space="preserve"> PAGEREF _Toc13612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31D6EF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"_Toc82" </w:instrText>
          </w:r>
          <w:r>
            <w:fldChar w:fldCharType="separate"/>
          </w:r>
          <w:r>
            <w:rPr>
              <w:rFonts w:hint="eastAsia"/>
            </w:rPr>
            <w:t>3.2蓝心大模型 API 调用实现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B37897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"_Toc12381" </w:instrText>
          </w:r>
          <w:r>
            <w:fldChar w:fldCharType="separate"/>
          </w:r>
          <w:r>
            <w:rPr>
              <w:rFonts w:hint="eastAsia"/>
            </w:rPr>
            <w:t>3.3 风险分析流程与模型协同</w:t>
          </w:r>
          <w:r>
            <w:tab/>
          </w:r>
          <w:r>
            <w:fldChar w:fldCharType="begin"/>
          </w:r>
          <w:r>
            <w:instrText xml:space="preserve"> PAGEREF _Toc12381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CA29FB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"_Toc20153" </w:instrText>
          </w:r>
          <w:r>
            <w:fldChar w:fldCharType="separate"/>
          </w:r>
          <w:r>
            <w:rPr>
              <w:rFonts w:hint="eastAsia"/>
            </w:rPr>
            <w:t>3.4 系统优化机制</w:t>
          </w:r>
          <w:r>
            <w:tab/>
          </w:r>
          <w:r>
            <w:fldChar w:fldCharType="begin"/>
          </w:r>
          <w:r>
            <w:instrText xml:space="preserve"> PAGEREF _Toc20153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5D5C33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"_Toc32607" </w:instrText>
          </w:r>
          <w:r>
            <w:fldChar w:fldCharType="separate"/>
          </w:r>
          <w:r>
            <w:rPr>
              <w:rFonts w:hint="eastAsia"/>
            </w:rPr>
            <w:t>3.5 核心功能模块与模型调用关联</w:t>
          </w:r>
          <w:r>
            <w:tab/>
          </w:r>
          <w:r>
            <w:fldChar w:fldCharType="begin"/>
          </w:r>
          <w:r>
            <w:instrText xml:space="preserve"> PAGEREF _Toc32607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4ADD98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"_Toc17578" </w:instrText>
          </w:r>
          <w:r>
            <w:fldChar w:fldCharType="separate"/>
          </w:r>
          <w:r>
            <w:rPr>
              <w:rFonts w:hint="eastAsia"/>
            </w:rPr>
            <w:t>3.6 部署与扩展性设计</w:t>
          </w:r>
          <w:r>
            <w:tab/>
          </w:r>
          <w:r>
            <w:fldChar w:fldCharType="begin"/>
          </w:r>
          <w:r>
            <w:instrText xml:space="preserve"> PAGEREF _Toc17578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C7E3E9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"_Toc16325" </w:instrText>
          </w:r>
          <w:r>
            <w:fldChar w:fldCharType="separate"/>
          </w:r>
          <w:r>
            <w:rPr>
              <w:rFonts w:hint="eastAsia"/>
            </w:rPr>
            <w:t>3.7 模型调用合规性保障</w:t>
          </w:r>
          <w:r>
            <w:tab/>
          </w:r>
          <w:r>
            <w:fldChar w:fldCharType="begin"/>
          </w:r>
          <w:r>
            <w:instrText xml:space="preserve"> PAGEREF _Toc16325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2343C6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"_Toc15220" </w:instrText>
          </w:r>
          <w:r>
            <w:fldChar w:fldCharType="separate"/>
          </w:r>
          <w:r>
            <w:t xml:space="preserve">4. </w:t>
          </w:r>
          <w:r>
            <w:rPr>
              <w:rFonts w:hint="eastAsia"/>
            </w:rPr>
            <w:t>市场分析：</w:t>
          </w:r>
          <w:r>
            <w:tab/>
          </w:r>
          <w:r>
            <w:fldChar w:fldCharType="begin"/>
          </w:r>
          <w:r>
            <w:instrText xml:space="preserve"> PAGEREF _Toc15220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8FE774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"_Toc22422" </w:instrText>
          </w:r>
          <w:r>
            <w:fldChar w:fldCharType="separate"/>
          </w:r>
          <w:r>
            <w:rPr>
              <w:rFonts w:hint="eastAsia"/>
            </w:rPr>
            <w:t>4.1 目标用户群体</w:t>
          </w:r>
          <w:r>
            <w:tab/>
          </w:r>
          <w:r>
            <w:fldChar w:fldCharType="begin"/>
          </w:r>
          <w:r>
            <w:instrText xml:space="preserve"> PAGEREF _Toc22422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5322D9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"_Toc4878" </w:instrText>
          </w:r>
          <w:r>
            <w:fldChar w:fldCharType="separate"/>
          </w:r>
          <w:r>
            <w:rPr>
              <w:rFonts w:hint="eastAsia"/>
            </w:rPr>
            <w:t>4.2 市场规模与增长潜力</w:t>
          </w:r>
          <w:r>
            <w:tab/>
          </w:r>
          <w:r>
            <w:fldChar w:fldCharType="begin"/>
          </w:r>
          <w:r>
            <w:instrText xml:space="preserve"> PAGEREF _Toc4878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10AE08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"_Toc14524" </w:instrText>
          </w:r>
          <w:r>
            <w:fldChar w:fldCharType="separate"/>
          </w:r>
          <w:r>
            <w:rPr>
              <w:rFonts w:hint="eastAsia"/>
            </w:rPr>
            <w:t>4.3 竞争分析</w:t>
          </w:r>
          <w:r>
            <w:tab/>
          </w:r>
          <w:r>
            <w:fldChar w:fldCharType="begin"/>
          </w:r>
          <w:r>
            <w:instrText xml:space="preserve"> PAGEREF _Toc14524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95568F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"_Toc26721" </w:instrText>
          </w:r>
          <w:r>
            <w:fldChar w:fldCharType="separate"/>
          </w:r>
          <w:r>
            <w:rPr>
              <w:rFonts w:hint="eastAsia"/>
            </w:rPr>
            <w:t>4.4. 商业模式</w:t>
          </w:r>
          <w:r>
            <w:tab/>
          </w:r>
          <w:r>
            <w:fldChar w:fldCharType="begin"/>
          </w:r>
          <w:r>
            <w:instrText xml:space="preserve"> PAGEREF _Toc26721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CA9EE6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"_Toc15509" </w:instrText>
          </w:r>
          <w:r>
            <w:fldChar w:fldCharType="separate"/>
          </w:r>
          <w:r>
            <w:rPr>
              <w:rFonts w:hint="eastAsia"/>
            </w:rPr>
            <w:t>4.5. 风险与对策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E2CCC19">
          <w:r>
            <w:rPr>
              <w:rFonts w:hint="eastAsia"/>
            </w:rPr>
            <w:fldChar w:fldCharType="end"/>
          </w:r>
        </w:p>
      </w:sdtContent>
    </w:sdt>
    <w:p w14:paraId="179EC8A1">
      <w:pPr>
        <w:widowControl/>
        <w:jc w:val="left"/>
      </w:pPr>
    </w:p>
    <w:p w14:paraId="64A01470">
      <w:pPr>
        <w:widowControl/>
        <w:jc w:val="left"/>
      </w:pPr>
    </w:p>
    <w:p w14:paraId="1F5F0860">
      <w:pPr>
        <w:widowControl/>
        <w:jc w:val="left"/>
      </w:pPr>
    </w:p>
    <w:p w14:paraId="510F3007">
      <w:pPr>
        <w:widowControl/>
        <w:jc w:val="left"/>
      </w:pPr>
    </w:p>
    <w:p w14:paraId="091013DF">
      <w:pPr>
        <w:widowControl/>
        <w:jc w:val="left"/>
      </w:pPr>
    </w:p>
    <w:p w14:paraId="2D2E7FFD">
      <w:pPr>
        <w:widowControl/>
        <w:jc w:val="left"/>
      </w:pPr>
    </w:p>
    <w:p w14:paraId="30772DAB">
      <w:pPr>
        <w:widowControl/>
        <w:jc w:val="left"/>
      </w:pPr>
    </w:p>
    <w:p w14:paraId="7557AD2D">
      <w:pPr>
        <w:widowControl/>
        <w:jc w:val="left"/>
      </w:pPr>
    </w:p>
    <w:p w14:paraId="0B8459B0">
      <w:pPr>
        <w:widowControl/>
        <w:jc w:val="left"/>
      </w:pPr>
    </w:p>
    <w:p w14:paraId="68CA5A17">
      <w:pPr>
        <w:widowControl/>
        <w:jc w:val="left"/>
      </w:pPr>
    </w:p>
    <w:p w14:paraId="646D7788">
      <w:pPr>
        <w:widowControl/>
        <w:jc w:val="left"/>
      </w:pPr>
    </w:p>
    <w:p w14:paraId="356BB5B0">
      <w:pPr>
        <w:widowControl/>
        <w:jc w:val="left"/>
      </w:pPr>
    </w:p>
    <w:p w14:paraId="7EC3EA96">
      <w:pPr>
        <w:widowControl/>
        <w:jc w:val="left"/>
      </w:pPr>
    </w:p>
    <w:p w14:paraId="4CBA3644">
      <w:pPr>
        <w:widowControl/>
        <w:jc w:val="left"/>
      </w:pPr>
    </w:p>
    <w:p w14:paraId="4748682A">
      <w:pPr>
        <w:widowControl/>
        <w:jc w:val="left"/>
      </w:pPr>
    </w:p>
    <w:p w14:paraId="6304C410">
      <w:pPr>
        <w:widowControl/>
        <w:jc w:val="left"/>
      </w:pPr>
    </w:p>
    <w:p w14:paraId="4183918B">
      <w:pPr>
        <w:pStyle w:val="3"/>
      </w:pPr>
      <w:bookmarkStart w:id="0" w:name="_Toc28438"/>
      <w:r>
        <w:rPr>
          <w:rFonts w:hint="eastAsia"/>
        </w:rPr>
        <w:t>1. 团队介绍</w:t>
      </w:r>
      <w:bookmarkEnd w:id="0"/>
      <w:r>
        <w:rPr>
          <w:rFonts w:hint="eastAsia"/>
        </w:rPr>
        <w:t xml:space="preserve">  </w:t>
      </w:r>
    </w:p>
    <w:p w14:paraId="6F735F27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团队名称：  SIGAI39</w:t>
      </w:r>
    </w:p>
    <w:p w14:paraId="38165D52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团队成员：  </w:t>
      </w:r>
    </w:p>
    <w:p w14:paraId="4D06D9E5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王迪（队长）：负责前端开发、产品介绍网页构建、大模型提示词优化、工作流设计</w:t>
      </w:r>
    </w:p>
    <w:p w14:paraId="1AE20E7F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邢梓涵：负责数据集构建、负责后端开发、测试优化、一部分大模型提示词优化</w:t>
      </w:r>
    </w:p>
    <w:p w14:paraId="6D52CB9E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刘丝语：负责市场分析、文档撰写  、ppt和视频制作</w:t>
      </w:r>
    </w:p>
    <w:p w14:paraId="1C5A500E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团队背景：  </w:t>
      </w:r>
    </w:p>
    <w:p w14:paraId="4FBDF30A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我们来自华中科技大学人工智能专业，具备一定的自然语言处理（NLP）能力，以及机器学习（ML）和 AI Agent 开发经验。本次项目结合 vivo Agent 平台和蓝心大模型，致力于打造一个实用的购物反诈助手，帮助消费者识别虚假宣传，减少受骗风险。  </w:t>
      </w:r>
    </w:p>
    <w:p w14:paraId="4521AB30">
      <w:pPr>
        <w:pStyle w:val="3"/>
      </w:pPr>
      <w:bookmarkStart w:id="1" w:name="_Toc7873"/>
      <w:r>
        <w:rPr>
          <w:rFonts w:hint="eastAsia"/>
        </w:rPr>
        <w:t>2. 创意阐述</w:t>
      </w:r>
      <w:bookmarkEnd w:id="1"/>
    </w:p>
    <w:p w14:paraId="37B12123">
      <w:pPr>
        <w:pStyle w:val="4"/>
      </w:pPr>
      <w:bookmarkStart w:id="2" w:name="_Toc21010"/>
      <w:r>
        <w:rPr>
          <w:rFonts w:hint="eastAsia"/>
        </w:rPr>
        <w:t>2.1 背景与痛点</w:t>
      </w:r>
      <w:bookmarkEnd w:id="2"/>
    </w:p>
    <w:p w14:paraId="2151073F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在电商、社交平台和二手交易市场中，虚假广告、低价诱骗、脱离平台交易等欺诈手段层出不穷，消费者往往难以辨别真伪。常见问题包括：</w:t>
      </w:r>
    </w:p>
    <w:p w14:paraId="3C8FB2F6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价格欺诈：远低于市场价的商品（如“2999元的iPhone 15 Pro Max”）诱导冲动消费。</w:t>
      </w:r>
    </w:p>
    <w:p w14:paraId="6FD14E3F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虚假宣传：夸大功效（如“一次美白3度”）、虚构权威背书（如“NASA技术认证”）。</w:t>
      </w:r>
    </w:p>
    <w:p w14:paraId="4BB3C0A5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支付风险：卖家引导微信私下转账，脱离平台担保，导致资金无法追回。</w:t>
      </w:r>
    </w:p>
    <w:p w14:paraId="49F25A39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平台可信度：非正规渠道（如个人闲鱼卖家）假货率高，缺乏售后保障。</w:t>
      </w:r>
    </w:p>
    <w:p w14:paraId="717C2634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......</w:t>
      </w:r>
    </w:p>
    <w:p w14:paraId="42D28F81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传统反诈手段依赖人工经验或简单关键词匹配，无法结合语义理解、动态数据验证和风险量化评估，导致消费者仍面临较高受骗风险。</w:t>
      </w:r>
    </w:p>
    <w:p w14:paraId="22D81005">
      <w:pPr>
        <w:pStyle w:val="4"/>
        <w:rPr>
          <w:rFonts w:ascii="宋体" w:hAnsi="宋体" w:cs="宋体"/>
          <w:szCs w:val="28"/>
        </w:rPr>
      </w:pPr>
      <w:bookmarkStart w:id="3" w:name="_Toc19991"/>
      <w:r>
        <w:rPr>
          <w:rFonts w:hint="eastAsia"/>
        </w:rPr>
        <w:t>2.2 创新点与解决方案</w:t>
      </w:r>
      <w:bookmarkEnd w:id="3"/>
    </w:p>
    <w:p w14:paraId="55EB6695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本项目基于 vivo 蓝心大模型api及其他矩阵api，打造一个拟人化、多维度、动态验证的购物反诈助手，核心创新如下：</w:t>
      </w:r>
    </w:p>
    <w:p w14:paraId="42CB4901">
      <w:pPr>
        <w:pStyle w:val="5"/>
      </w:pPr>
      <w:r>
        <w:rPr>
          <w:rFonts w:hint="eastAsia"/>
        </w:rPr>
        <w:t>2.2.1拟人化交互体验</w:t>
      </w:r>
    </w:p>
    <w:p w14:paraId="0BBC9444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后端交互</w:t>
      </w:r>
      <w:r>
        <w:rPr>
          <w:rFonts w:hint="eastAsia" w:ascii="宋体" w:hAnsi="宋体" w:cs="宋体"/>
          <w:sz w:val="28"/>
          <w:szCs w:val="28"/>
        </w:rPr>
        <w:t>:采用客服聊天风格，每次回复带有</w:t>
      </w:r>
      <w:r>
        <w:rPr>
          <w:rFonts w:ascii="Times New Roman" w:hAnsi="Times New Roman"/>
          <w:sz w:val="28"/>
          <w:szCs w:val="28"/>
        </w:rPr>
        <w:t>emoji</w:t>
      </w:r>
      <w:r>
        <w:rPr>
          <w:rFonts w:hint="eastAsia" w:ascii="宋体" w:hAnsi="宋体" w:cs="宋体"/>
          <w:sz w:val="28"/>
          <w:szCs w:val="28"/>
        </w:rPr>
        <w:t>表情，采用温和的语气，能给用户身临其境的使用体验。并且在回复的末尾自动生成后续问题引导（如“需要比较一下价格吗？”），增强交互连贯性。快应用回复示例如下：</w:t>
      </w:r>
    </w:p>
    <w:p w14:paraId="5C90B391">
      <w:pPr>
        <w:ind w:firstLine="420" w:firstLineChars="200"/>
      </w:pPr>
      <w:r>
        <w:rPr>
          <w:rFonts w:hint="eastAsia"/>
        </w:rPr>
        <w:drawing>
          <wp:inline distT="0" distB="0" distL="114300" distR="114300">
            <wp:extent cx="2007870" cy="4149090"/>
            <wp:effectExtent l="0" t="0" r="1905" b="3810"/>
            <wp:docPr id="1" name="图片 1" descr="e6845cc465fef6acbc4d482ee04c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845cc465fef6acbc4d482ee04c4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AAB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前端交互:</w:t>
      </w:r>
      <w:r>
        <w:rPr>
          <w:rFonts w:hint="eastAsia" w:ascii="宋体" w:hAnsi="宋体" w:cs="宋体"/>
          <w:sz w:val="28"/>
          <w:szCs w:val="28"/>
        </w:rPr>
        <w:t>我们设计了精美快应用和Webapp,符合现代设计规则,上手简单易用.快应用如下所示:</w:t>
      </w:r>
    </w:p>
    <w:p w14:paraId="29B36E60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drawing>
          <wp:inline distT="0" distB="0" distL="114300" distR="114300">
            <wp:extent cx="2921000" cy="6494145"/>
            <wp:effectExtent l="0" t="0" r="3175" b="1905"/>
            <wp:docPr id="2" name="图片 2" descr="1b840d5dc3610029d7bd63972723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840d5dc3610029d7bd63972723e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1351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Webapp如下所示:</w:t>
      </w:r>
    </w:p>
    <w:p w14:paraId="4257FE57">
      <w:pPr>
        <w:ind w:firstLine="480" w:firstLineChars="20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3689350" cy="4162425"/>
            <wp:effectExtent l="0" t="0" r="635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C5295F">
      <w:pPr>
        <w:pStyle w:val="5"/>
      </w:pPr>
      <w:r>
        <w:rPr>
          <w:rFonts w:hint="eastAsia"/>
        </w:rPr>
        <w:t>2.2.2特异化多维度购物欺诈分析</w:t>
      </w:r>
    </w:p>
    <w:p w14:paraId="5AD0EC37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1.海量反诈知识库集成</w:t>
      </w:r>
    </w:p>
    <w:p w14:paraId="1C02D77E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I.10,000+精选诈骗案例</w:t>
      </w:r>
      <w:r>
        <w:rPr>
          <w:rFonts w:hint="eastAsia" w:ascii="宋体" w:hAnsi="宋体" w:cs="宋体"/>
          <w:sz w:val="28"/>
          <w:szCs w:val="28"/>
        </w:rPr>
        <w:t>：基于真实反诈案例构建的专业知识库，覆盖购物等多种诈骗类型;</w:t>
      </w:r>
    </w:p>
    <w:p w14:paraId="3411CAA0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II.智能语义检索</w:t>
      </w:r>
      <w:r>
        <w:rPr>
          <w:rFonts w:hint="eastAsia" w:ascii="宋体" w:hAnsi="宋体" w:cs="宋体"/>
          <w:sz w:val="28"/>
          <w:szCs w:val="28"/>
        </w:rPr>
        <w:t>：采用m3e-base模型进行768维向量化，实现高精度语义相似度匹配;</w:t>
      </w:r>
    </w:p>
    <w:p w14:paraId="29972B67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III.动态上下文增强</w:t>
      </w:r>
      <w:r>
        <w:rPr>
          <w:rFonts w:hint="eastAsia" w:ascii="宋体" w:hAnsi="宋体" w:cs="宋体"/>
          <w:sz w:val="28"/>
          <w:szCs w:val="28"/>
        </w:rPr>
        <w:t>：实时检索相关案例，为风险判断提供专业依据和历史参考;</w:t>
      </w:r>
    </w:p>
    <w:p w14:paraId="2768C8A4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2.智能联网搜索引擎(此处使用的是智谱清言联网搜索api)</w:t>
      </w:r>
    </w:p>
    <w:p w14:paraId="79E5F439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I.需求自动识别：</w:t>
      </w:r>
      <w:r>
        <w:rPr>
          <w:rFonts w:hint="eastAsia" w:ascii="宋体" w:hAnsi="宋体" w:cs="宋体"/>
          <w:sz w:val="28"/>
          <w:szCs w:val="28"/>
        </w:rPr>
        <w:t>基于Function_ Call机制，智能判断是否需要实时信息补充;</w:t>
      </w:r>
    </w:p>
    <w:p w14:paraId="05D714D7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II.多引擎集成：</w:t>
      </w:r>
      <w:r>
        <w:rPr>
          <w:rFonts w:hint="eastAsia" w:ascii="宋体" w:hAnsi="宋体" w:cs="宋体"/>
          <w:sz w:val="28"/>
          <w:szCs w:val="28"/>
        </w:rPr>
        <w:t>支持标准搜索、搜狗、夸克、必应等多个搜索引擎，确保信息覆盖全面;</w:t>
      </w:r>
    </w:p>
    <w:p w14:paraId="27471F66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III.实时信息获取：</w:t>
      </w:r>
      <w:r>
        <w:rPr>
          <w:rFonts w:hint="eastAsia" w:ascii="宋体" w:hAnsi="宋体" w:cs="宋体"/>
          <w:sz w:val="28"/>
          <w:szCs w:val="28"/>
        </w:rPr>
        <w:t>自动获取最新商品价格、平台评价、诈骗预警等时效性信息;</w:t>
      </w:r>
    </w:p>
    <w:p w14:paraId="6E8C54BC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IV.智能结果摘要：</w:t>
      </w:r>
      <w:r>
        <w:rPr>
          <w:rFonts w:hint="eastAsia" w:ascii="宋体" w:hAnsi="宋体" w:cs="宋体"/>
          <w:sz w:val="28"/>
          <w:szCs w:val="28"/>
        </w:rPr>
        <w:t>自动压缩长搜索结果，提取核心信息，避免信息过载;</w:t>
      </w:r>
    </w:p>
    <w:p w14:paraId="189B917B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3.专业化查询改写系统</w:t>
      </w:r>
    </w:p>
    <w:p w14:paraId="2328E5C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I.购物反诈特化：</w:t>
      </w:r>
      <w:r>
        <w:rPr>
          <w:rFonts w:hint="eastAsia" w:ascii="宋体" w:hAnsi="宋体" w:cs="宋体"/>
          <w:sz w:val="28"/>
          <w:szCs w:val="28"/>
        </w:rPr>
        <w:t>专为购物场景设计的查询优化机制，提高风险识别精度;</w:t>
      </w:r>
    </w:p>
    <w:p w14:paraId="73044282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II.多模式自适应：</w:t>
      </w:r>
      <w:r>
        <w:rPr>
          <w:rFonts w:hint="eastAsia" w:ascii="宋体" w:hAnsi="宋体" w:cs="宋体"/>
          <w:sz w:val="28"/>
          <w:szCs w:val="28"/>
        </w:rPr>
        <w:t>支持保守/激进/自动三种改写策略，适应不同查询复杂度;</w:t>
      </w:r>
    </w:p>
    <w:p w14:paraId="0578640D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4.双重优化机制：</w:t>
      </w:r>
    </w:p>
    <w:p w14:paraId="76A2ECB5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I.RAG检索优化：</w:t>
      </w:r>
      <w:r>
        <w:rPr>
          <w:rFonts w:hint="eastAsia" w:ascii="宋体" w:hAnsi="宋体" w:cs="宋体"/>
          <w:sz w:val="28"/>
          <w:szCs w:val="28"/>
        </w:rPr>
        <w:t>针对知识库检索场景，提升语义匹配准确性;</w:t>
      </w:r>
    </w:p>
    <w:p w14:paraId="635FDF7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II.搜索引擎优化：</w:t>
      </w:r>
      <w:r>
        <w:rPr>
          <w:rFonts w:hint="eastAsia" w:ascii="宋体" w:hAnsi="宋体" w:cs="宋体"/>
          <w:sz w:val="28"/>
          <w:szCs w:val="28"/>
        </w:rPr>
        <w:t>针对网络搜索场景，增强关键词提取效果;</w:t>
      </w:r>
    </w:p>
    <w:p w14:paraId="700D31BF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III.上下文理解：</w:t>
      </w:r>
      <w:r>
        <w:rPr>
          <w:rFonts w:hint="eastAsia" w:ascii="宋体" w:hAnsi="宋体" w:cs="宋体"/>
          <w:sz w:val="28"/>
          <w:szCs w:val="28"/>
        </w:rPr>
        <w:t>结合用户历史对话和当前查询，实现智能化查询重构;</w:t>
      </w:r>
    </w:p>
    <w:p w14:paraId="453A51D7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5.技术协同效应</w:t>
      </w:r>
    </w:p>
    <w:p w14:paraId="69627CD8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I.三层智能判断：</w:t>
      </w:r>
      <w:r>
        <w:rPr>
          <w:rFonts w:hint="eastAsia" w:ascii="宋体" w:hAnsi="宋体" w:cs="宋体"/>
          <w:sz w:val="28"/>
          <w:szCs w:val="28"/>
        </w:rPr>
        <w:t>购物相关性识别 → 查询改写优化 → 多源信息融合;</w:t>
      </w:r>
    </w:p>
    <w:p w14:paraId="025C5F36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II.全链路质量提升：</w:t>
      </w:r>
      <w:r>
        <w:rPr>
          <w:rFonts w:hint="eastAsia" w:ascii="宋体" w:hAnsi="宋体" w:cs="宋体"/>
          <w:sz w:val="28"/>
          <w:szCs w:val="28"/>
        </w:rPr>
        <w:t>从用户输入到最终输出的每个环节都经过AI优化;</w:t>
      </w:r>
    </w:p>
    <w:p w14:paraId="2CBD4DF2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III.实时反馈学习：</w:t>
      </w:r>
      <w:r>
        <w:rPr>
          <w:rFonts w:hint="eastAsia" w:ascii="宋体" w:hAnsi="宋体" w:cs="宋体"/>
          <w:sz w:val="28"/>
          <w:szCs w:val="28"/>
        </w:rPr>
        <w:t>基于用户交互和反馈，持续优化判断准确性;</w:t>
      </w:r>
    </w:p>
    <w:p w14:paraId="756400A6">
      <w:pPr>
        <w:pStyle w:val="5"/>
      </w:pPr>
      <w:r>
        <w:rPr>
          <w:rFonts w:hint="eastAsia"/>
        </w:rPr>
        <w:t>2.2.3智能意图识别与工作流优化</w:t>
      </w:r>
    </w:p>
    <w:p w14:paraId="1879D8F1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1.多层次意图理解引擎</w:t>
      </w:r>
    </w:p>
    <w:p w14:paraId="15845A1D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I.购物相关性智能判断</w:t>
      </w:r>
      <w:r>
        <w:rPr>
          <w:rFonts w:hint="eastAsia" w:ascii="宋体" w:hAnsi="宋体" w:cs="宋体"/>
          <w:sz w:val="28"/>
          <w:szCs w:val="28"/>
        </w:rPr>
        <w:t>：基于专业prompt工程，自动识别用户查询是否涉及购物消费场景;</w:t>
      </w:r>
    </w:p>
    <w:p w14:paraId="1181C5BB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II.多模态意图识别</w:t>
      </w:r>
      <w:r>
        <w:rPr>
          <w:rFonts w:hint="eastAsia" w:ascii="宋体" w:hAnsi="宋体" w:cs="宋体"/>
          <w:sz w:val="28"/>
          <w:szCs w:val="28"/>
        </w:rPr>
        <w:t>：智能解析文本、图片、OCR结果，准确理解用户真实需求;</w:t>
      </w:r>
    </w:p>
    <w:p w14:paraId="3A8B5D71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III.上下文语义分析</w:t>
      </w:r>
      <w:r>
        <w:rPr>
          <w:rFonts w:hint="eastAsia" w:ascii="宋体" w:hAnsi="宋体" w:cs="宋体"/>
          <w:sz w:val="28"/>
          <w:szCs w:val="28"/>
        </w:rPr>
        <w:t>：结合用户历史对话和当前查询，深度理解用户意图演变;</w:t>
      </w:r>
    </w:p>
    <w:p w14:paraId="0F8C8EF9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2.智能工作流分支决策</w:t>
      </w:r>
    </w:p>
    <w:p w14:paraId="1E558E8C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I.RAG检索智能触发：</w:t>
      </w:r>
    </w:p>
    <w:p w14:paraId="534A4B27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购物相关查询</w:t>
      </w:r>
      <w:r>
        <w:rPr>
          <w:rFonts w:hint="eastAsia" w:ascii="宋体" w:hAnsi="宋体" w:cs="宋体"/>
          <w:sz w:val="28"/>
          <w:szCs w:val="28"/>
        </w:rPr>
        <w:t>：自动启用10,000+反诈案例检索;</w:t>
      </w:r>
    </w:p>
    <w:p w14:paraId="6431FD25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非购物查询</w:t>
      </w:r>
      <w:r>
        <w:rPr>
          <w:rFonts w:hint="eastAsia" w:ascii="宋体" w:hAnsi="宋体" w:cs="宋体"/>
          <w:sz w:val="28"/>
          <w:szCs w:val="28"/>
        </w:rPr>
        <w:t>：智能跳过RAG检索，避免无效计算;</w:t>
      </w:r>
    </w:p>
    <w:p w14:paraId="6CC95672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查询改写优化</w:t>
      </w:r>
      <w:r>
        <w:rPr>
          <w:rFonts w:hint="eastAsia" w:ascii="宋体" w:hAnsi="宋体" w:cs="宋体"/>
          <w:sz w:val="28"/>
          <w:szCs w:val="28"/>
        </w:rPr>
        <w:t>：针对RAG检索场景专门优化查询词汇，提升匹配精度;</w:t>
      </w:r>
    </w:p>
    <w:p w14:paraId="030643BC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II.Function_Call智能判断：</w:t>
      </w:r>
    </w:p>
    <w:p w14:paraId="22614190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购物场景</w:t>
      </w:r>
      <w:r>
        <w:rPr>
          <w:rFonts w:hint="eastAsia" w:ascii="宋体" w:hAnsi="宋体" w:cs="宋体"/>
          <w:sz w:val="28"/>
          <w:szCs w:val="28"/>
        </w:rPr>
        <w:t>：使用购物专业化prompt识别是否需要实时价格、评价等信息;</w:t>
      </w:r>
    </w:p>
    <w:p w14:paraId="081D08FC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通用场景</w:t>
      </w:r>
      <w:r>
        <w:rPr>
          <w:rFonts w:hint="eastAsia" w:ascii="宋体" w:hAnsi="宋体" w:cs="宋体"/>
          <w:sz w:val="28"/>
          <w:szCs w:val="28"/>
        </w:rPr>
        <w:t>：使用通用prompt判断是否需要最新资讯补充;</w:t>
      </w:r>
    </w:p>
    <w:p w14:paraId="5CEE6398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双重验证机制</w:t>
      </w:r>
      <w:r>
        <w:rPr>
          <w:rFonts w:hint="eastAsia" w:ascii="宋体" w:hAnsi="宋体" w:cs="宋体"/>
          <w:sz w:val="28"/>
          <w:szCs w:val="28"/>
        </w:rPr>
        <w:t>：结合意图识别和内容分析，精确判断工具调用需求;</w:t>
      </w:r>
    </w:p>
    <w:p w14:paraId="406F92F7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3.场景化Prompt工程优化</w:t>
      </w:r>
    </w:p>
    <w:p w14:paraId="1365D1EB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I.购物反诈专业化：</w:t>
      </w:r>
    </w:p>
    <w:p w14:paraId="4432E316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系统提示词</w:t>
      </w:r>
      <w:r>
        <w:rPr>
          <w:rFonts w:hint="eastAsia" w:ascii="宋体" w:hAnsi="宋体" w:cs="宋体"/>
          <w:sz w:val="28"/>
          <w:szCs w:val="28"/>
        </w:rPr>
        <w:t>：专为购物安全咨询设计，包含风险评估框架;</w:t>
      </w:r>
    </w:p>
    <w:p w14:paraId="6F3E9E1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工具调用提示</w:t>
      </w:r>
      <w:r>
        <w:rPr>
          <w:rFonts w:hint="eastAsia" w:ascii="宋体" w:hAnsi="宋体" w:cs="宋体"/>
          <w:sz w:val="28"/>
          <w:szCs w:val="28"/>
        </w:rPr>
        <w:t>：针对购物场景优化，准确识别价格查询、平台验证等需求;</w:t>
      </w:r>
    </w:p>
    <w:p w14:paraId="504446D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最终回复提示</w:t>
      </w:r>
      <w:r>
        <w:rPr>
          <w:rFonts w:hint="eastAsia" w:ascii="宋体" w:hAnsi="宋体" w:cs="宋体"/>
          <w:sz w:val="28"/>
          <w:szCs w:val="28"/>
        </w:rPr>
        <w:t>：整合反诈知识库和实时搜索，提供专业风险评估;</w:t>
      </w:r>
    </w:p>
    <w:p w14:paraId="665EF954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II.非购物场景兼容</w:t>
      </w:r>
      <w:r>
        <w:rPr>
          <w:rFonts w:hint="eastAsia" w:ascii="宋体" w:hAnsi="宋体" w:cs="宋体"/>
          <w:sz w:val="28"/>
          <w:szCs w:val="28"/>
        </w:rPr>
        <w:t>：</w:t>
      </w:r>
    </w:p>
    <w:p w14:paraId="648FE71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保持购物反诈助手身份</w:t>
      </w:r>
      <w:r>
        <w:rPr>
          <w:rFonts w:hint="eastAsia" w:ascii="宋体" w:hAnsi="宋体" w:cs="宋体"/>
          <w:sz w:val="28"/>
          <w:szCs w:val="28"/>
        </w:rPr>
        <w:t>，同时能够回答通用问题;</w:t>
      </w:r>
    </w:p>
    <w:p w14:paraId="7FA0C2C1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针对不同用户类型</w:t>
      </w:r>
      <w:r>
        <w:rPr>
          <w:rFonts w:hint="eastAsia" w:ascii="宋体" w:hAnsi="宋体" w:cs="宋体"/>
          <w:sz w:val="28"/>
          <w:szCs w:val="28"/>
        </w:rPr>
        <w:t>（学生、老师、开发者）个性化调整回复风格;</w:t>
      </w:r>
    </w:p>
    <w:p w14:paraId="555C53CF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智能降级机制</w:t>
      </w:r>
      <w:r>
        <w:rPr>
          <w:rFonts w:hint="eastAsia" w:ascii="宋体" w:hAnsi="宋体" w:cs="宋体"/>
          <w:sz w:val="28"/>
          <w:szCs w:val="28"/>
        </w:rPr>
        <w:t>：当专业功能不适用时，自动切换到通用AI助手模式;</w:t>
      </w:r>
    </w:p>
    <w:p w14:paraId="5208030A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4.算力资源优化策略</w:t>
      </w:r>
    </w:p>
    <w:p w14:paraId="1869847B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I.三级智能过滤</w:t>
      </w:r>
      <w:r>
        <w:rPr>
          <w:rFonts w:hint="eastAsia" w:ascii="宋体" w:hAnsi="宋体" w:cs="宋体"/>
          <w:sz w:val="28"/>
          <w:szCs w:val="28"/>
        </w:rPr>
        <w:t>：</w:t>
      </w:r>
    </w:p>
    <w:p w14:paraId="230C211A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购物相关性判断 → 跳过无关RAG检索（节省向量计算）</w:t>
      </w:r>
    </w:p>
    <w:p w14:paraId="235EA1B0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↓</w:t>
      </w:r>
    </w:p>
    <w:p w14:paraId="006D9C1B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Function Call判断 → 避免无效网络搜索（节省API调用）</w:t>
      </w:r>
    </w:p>
    <w:p w14:paraId="080A7002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↓</w:t>
      </w:r>
    </w:p>
    <w:p w14:paraId="1377B90C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模式自适应切换 → 选择最适合的处理路径（优化响应时间）</w:t>
      </w:r>
    </w:p>
    <w:p w14:paraId="7302C8CD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II.缓存与复用机制</w:t>
      </w:r>
      <w:r>
        <w:rPr>
          <w:rFonts w:hint="eastAsia" w:ascii="宋体" w:hAnsi="宋体" w:cs="宋体"/>
          <w:sz w:val="28"/>
          <w:szCs w:val="28"/>
        </w:rPr>
        <w:t>：</w:t>
      </w:r>
    </w:p>
    <w:p w14:paraId="4CDE54F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RAG检索结果缓存</w:t>
      </w:r>
      <w:r>
        <w:rPr>
          <w:rFonts w:hint="eastAsia" w:ascii="宋体" w:hAnsi="宋体" w:cs="宋体"/>
          <w:sz w:val="28"/>
          <w:szCs w:val="28"/>
        </w:rPr>
        <w:t>：相似查询复用向量计算结果;</w:t>
      </w:r>
    </w:p>
    <w:p w14:paraId="086DC2E0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查询改写优化</w:t>
      </w:r>
      <w:r>
        <w:rPr>
          <w:rFonts w:hint="eastAsia" w:ascii="宋体" w:hAnsi="宋体" w:cs="宋体"/>
          <w:sz w:val="28"/>
          <w:szCs w:val="28"/>
        </w:rPr>
        <w:t>：避免重复的语义分析处理;</w:t>
      </w:r>
    </w:p>
    <w:p w14:paraId="75D9C19F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会话历史智能管理</w:t>
      </w:r>
      <w:r>
        <w:rPr>
          <w:rFonts w:hint="eastAsia" w:ascii="宋体" w:hAnsi="宋体" w:cs="宋体"/>
          <w:sz w:val="28"/>
          <w:szCs w:val="28"/>
        </w:rPr>
        <w:t>：动态调整历史记录长度，平衡上下文质量和计算成本;</w:t>
      </w:r>
    </w:p>
    <w:p w14:paraId="3DE5DE15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5.用户体验优化</w:t>
      </w:r>
    </w:p>
    <w:p w14:paraId="3685A611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I.流式响应支持</w:t>
      </w:r>
      <w:r>
        <w:rPr>
          <w:rFonts w:hint="eastAsia" w:ascii="宋体" w:hAnsi="宋体" w:cs="宋体"/>
          <w:sz w:val="28"/>
          <w:szCs w:val="28"/>
        </w:rPr>
        <w:t>：实时输出处理结果，提升交互体验;</w:t>
      </w:r>
    </w:p>
    <w:p w14:paraId="4040BD3B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II.智能降级处理</w:t>
      </w:r>
      <w:r>
        <w:rPr>
          <w:rFonts w:hint="eastAsia" w:ascii="宋体" w:hAnsi="宋体" w:cs="宋体"/>
          <w:sz w:val="28"/>
          <w:szCs w:val="28"/>
        </w:rPr>
        <w:t>：当某个组件失效时，自动切换备用方案确保服务连续性;</w:t>
      </w:r>
    </w:p>
    <w:p w14:paraId="0EA85F39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III.个性化适配</w:t>
      </w:r>
      <w:r>
        <w:rPr>
          <w:rFonts w:hint="eastAsia" w:ascii="宋体" w:hAnsi="宋体" w:cs="宋体"/>
          <w:sz w:val="28"/>
          <w:szCs w:val="28"/>
        </w:rPr>
        <w:t>：根据用户类型和历史行为，智能调整回复详细程度和专业性;</w:t>
      </w:r>
    </w:p>
    <w:p w14:paraId="6C59B890">
      <w:pPr>
        <w:pStyle w:val="5"/>
      </w:pPr>
      <w:r>
        <w:rPr>
          <w:rFonts w:hint="eastAsia"/>
        </w:rPr>
        <w:t>2.2.4智能风险评估体系</w:t>
      </w:r>
    </w:p>
    <w:p w14:paraId="490A689E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1.多维度风险评分系统</w:t>
      </w:r>
    </w:p>
    <w:p w14:paraId="2F5C5C6D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I.价格偏离度分析</w:t>
      </w:r>
      <w:r>
        <w:rPr>
          <w:rFonts w:hint="eastAsia" w:ascii="宋体" w:hAnsi="宋体" w:cs="宋体"/>
          <w:sz w:val="28"/>
          <w:szCs w:val="28"/>
        </w:rPr>
        <w:t>：基于实时市场价格对比，识别异常低价陷阱（如2999元iPhone 15 Pro Max）;</w:t>
      </w:r>
    </w:p>
    <w:p w14:paraId="0552921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II.平台可信度评估</w:t>
      </w:r>
      <w:r>
        <w:rPr>
          <w:rFonts w:hint="eastAsia" w:ascii="宋体" w:hAnsi="宋体" w:cs="宋体"/>
          <w:sz w:val="28"/>
          <w:szCs w:val="28"/>
        </w:rPr>
        <w:t>：综合评估电商平台、个人卖家信誉等级和售后保障完整性;</w:t>
      </w:r>
    </w:p>
    <w:p w14:paraId="4BBA9986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III.支付安全评级</w:t>
      </w:r>
      <w:r>
        <w:rPr>
          <w:rFonts w:hint="eastAsia" w:ascii="宋体" w:hAnsi="宋体" w:cs="宋体"/>
          <w:sz w:val="28"/>
          <w:szCs w:val="28"/>
        </w:rPr>
        <w:t>：识别脱离平台保障的私下转账等异常交易行为;</w:t>
      </w:r>
    </w:p>
    <w:p w14:paraId="50A0937A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IV.商品描述真实性</w:t>
      </w:r>
      <w:r>
        <w:rPr>
          <w:rFonts w:hint="eastAsia" w:ascii="宋体" w:hAnsi="宋体" w:cs="宋体"/>
          <w:sz w:val="28"/>
          <w:szCs w:val="28"/>
        </w:rPr>
        <w:t>：检测虚假宣传词汇（如"NASA认证""一次美白3度"等夸大宣传）;</w:t>
      </w:r>
    </w:p>
    <w:p w14:paraId="3B469B71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2.智能风险星级评分</w:t>
      </w:r>
    </w:p>
    <w:p w14:paraId="1EC61C0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0-2星（安全）</w:t>
      </w:r>
      <w:r>
        <w:rPr>
          <w:rFonts w:hint="eastAsia" w:ascii="宋体" w:hAnsi="宋体" w:cs="宋体"/>
          <w:sz w:val="28"/>
          <w:szCs w:val="28"/>
        </w:rPr>
        <w:t>：正规渠道，价格合理，保障完善;</w:t>
      </w:r>
    </w:p>
    <w:p w14:paraId="312D706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3-6星（注意）</w:t>
      </w:r>
      <w:r>
        <w:rPr>
          <w:rFonts w:hint="eastAsia" w:ascii="宋体" w:hAnsi="宋体" w:cs="宋体"/>
          <w:sz w:val="28"/>
          <w:szCs w:val="28"/>
        </w:rPr>
        <w:t>：存在风险点，需要谨慎判断和详细核实;</w:t>
      </w:r>
    </w:p>
    <w:p w14:paraId="373D62E0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7-10星（危险）</w:t>
      </w:r>
      <w:r>
        <w:rPr>
          <w:rFonts w:hint="eastAsia" w:ascii="宋体" w:hAnsi="宋体" w:cs="宋体"/>
          <w:sz w:val="28"/>
          <w:szCs w:val="28"/>
        </w:rPr>
        <w:t>：发现诈骗特征，强烈建议避免交易;</w:t>
      </w:r>
    </w:p>
    <w:p w14:paraId="49070E35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3.个性化应对建议系统</w:t>
      </w:r>
    </w:p>
    <w:p w14:paraId="2EB8D122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I.预防性建议</w:t>
      </w:r>
      <w:r>
        <w:rPr>
          <w:rFonts w:hint="eastAsia" w:ascii="宋体" w:hAnsi="宋体" w:cs="宋体"/>
          <w:sz w:val="28"/>
          <w:szCs w:val="28"/>
        </w:rPr>
        <w:t>：推荐官方渠道购买，提醒验证商品真实性;</w:t>
      </w:r>
    </w:p>
    <w:p w14:paraId="033BE2F1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II.操作性建议</w:t>
      </w:r>
      <w:r>
        <w:rPr>
          <w:rFonts w:hint="eastAsia" w:ascii="宋体" w:hAnsi="宋体" w:cs="宋体"/>
          <w:sz w:val="28"/>
          <w:szCs w:val="28"/>
        </w:rPr>
        <w:t>：坚持平台内交易，要求正规发票和质保承诺;</w:t>
      </w:r>
    </w:p>
    <w:p w14:paraId="2B7DE602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III.紧急警示</w:t>
      </w:r>
      <w:r>
        <w:rPr>
          <w:rFonts w:hint="eastAsia" w:ascii="宋体" w:hAnsi="宋体" w:cs="宋体"/>
          <w:sz w:val="28"/>
          <w:szCs w:val="28"/>
        </w:rPr>
        <w:t>：发现典型诈骗特征时立即停止交易;</w:t>
      </w:r>
    </w:p>
    <w:p w14:paraId="17EDA5E2">
      <w:pPr>
        <w:ind w:firstLine="562" w:firstLineChars="200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4.精准风险标签识别</w:t>
      </w:r>
    </w:p>
    <w:p w14:paraId="1301A0B4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I.价格类风险</w:t>
      </w:r>
      <w:r>
        <w:rPr>
          <w:rFonts w:hint="eastAsia" w:ascii="宋体" w:hAnsi="宋体" w:cs="宋体"/>
          <w:sz w:val="28"/>
          <w:szCs w:val="28"/>
        </w:rPr>
        <w:t>：低价诱骗 虚假促销 隐性收费;</w:t>
      </w:r>
    </w:p>
    <w:p w14:paraId="407EC573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II.宣传类风险</w:t>
      </w:r>
      <w:r>
        <w:rPr>
          <w:rFonts w:hint="eastAsia" w:ascii="宋体" w:hAnsi="宋体" w:cs="宋体"/>
          <w:sz w:val="28"/>
          <w:szCs w:val="28"/>
        </w:rPr>
        <w:t>：虚假宣传 夸大功效 伪造认证;</w:t>
      </w:r>
    </w:p>
    <w:p w14:paraId="5A699F1F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III.交易类风险</w:t>
      </w:r>
      <w:r>
        <w:rPr>
          <w:rFonts w:hint="eastAsia" w:ascii="宋体" w:hAnsi="宋体" w:cs="宋体"/>
          <w:sz w:val="28"/>
          <w:szCs w:val="28"/>
        </w:rPr>
        <w:t>：私下交易 异常支付 预付定金;</w:t>
      </w:r>
    </w:p>
    <w:p w14:paraId="210A5A01">
      <w:pPr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IV.渠道类风险</w:t>
      </w:r>
      <w:r>
        <w:rPr>
          <w:rFonts w:hint="eastAsia" w:ascii="宋体" w:hAnsi="宋体" w:cs="宋体"/>
          <w:sz w:val="28"/>
          <w:szCs w:val="28"/>
        </w:rPr>
        <w:t>：非正规渠道 假冒官方 无售后保障;</w:t>
      </w:r>
    </w:p>
    <w:p w14:paraId="252BA7DD">
      <w:pPr>
        <w:pStyle w:val="4"/>
      </w:pPr>
      <w:bookmarkStart w:id="4" w:name="_Toc16718"/>
      <w:r>
        <w:rPr>
          <w:rFonts w:hint="eastAsia"/>
        </w:rPr>
        <w:t>2.3 应用场景</w:t>
      </w:r>
      <w:bookmarkEnd w:id="4"/>
    </w:p>
    <w:p w14:paraId="16D3986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本项目基于快应用轻量化特性与蓝心大模型及其矩阵api技术，构建覆盖全购物流程的反诈防护体系，</w:t>
      </w:r>
      <w:r>
        <w:rPr>
          <w:rFonts w:hint="eastAsia"/>
          <w:b/>
          <w:bCs/>
          <w:sz w:val="28"/>
          <w:szCs w:val="28"/>
          <w:lang w:val="en-US" w:eastAsia="zh-CN"/>
        </w:rPr>
        <w:t>可能的</w:t>
      </w:r>
      <w:r>
        <w:rPr>
          <w:rFonts w:hint="eastAsia"/>
          <w:sz w:val="28"/>
          <w:szCs w:val="28"/>
        </w:rPr>
        <w:t>核心应用场景包括：</w:t>
      </w:r>
    </w:p>
    <w:p w14:paraId="4E8AC6CA">
      <w:pPr>
        <w:pStyle w:val="5"/>
      </w:pPr>
      <w:r>
        <w:rPr>
          <w:rFonts w:hint="eastAsia"/>
        </w:rPr>
        <w:t>2.3.1 商品真伪鉴别</w:t>
      </w:r>
    </w:p>
    <w:p w14:paraId="3CF91AA2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核心功能</w:t>
      </w:r>
      <w:r>
        <w:rPr>
          <w:rFonts w:hint="eastAsia"/>
          <w:sz w:val="28"/>
          <w:szCs w:val="28"/>
        </w:rPr>
        <w:t>：用户通过快应用上传商品图片（如包装细节、防伪标识、质检报告等），系统自动提取品牌特征、生产信息等关键要素，结合大模型的图像识别能力判断商品真伪风险。</w:t>
      </w:r>
    </w:p>
    <w:p w14:paraId="3B7F9E3B">
      <w:pPr>
        <w:ind w:firstLine="420" w:firstLineChars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快应用适配</w:t>
      </w:r>
      <w:r>
        <w:rPr>
          <w:rFonts w:hint="eastAsia"/>
          <w:sz w:val="28"/>
          <w:szCs w:val="28"/>
        </w:rPr>
        <w:t>：依托快应用的相机</w:t>
      </w:r>
      <w:r>
        <w:rPr>
          <w:rFonts w:hint="eastAsia"/>
          <w:sz w:val="28"/>
          <w:szCs w:val="28"/>
          <w:lang w:val="en-US" w:eastAsia="zh-CN"/>
        </w:rPr>
        <w:t>和图库</w:t>
      </w:r>
      <w:r>
        <w:rPr>
          <w:rFonts w:hint="eastAsia"/>
          <w:sz w:val="28"/>
          <w:szCs w:val="28"/>
        </w:rPr>
        <w:t>接口和本地图像处理能力，支持一键拍摄商品细节</w:t>
      </w:r>
      <w:r>
        <w:rPr>
          <w:rFonts w:hint="eastAsia"/>
          <w:sz w:val="28"/>
          <w:szCs w:val="28"/>
          <w:lang w:val="en-US" w:eastAsia="zh-CN"/>
        </w:rPr>
        <w:t>或者导入图片</w:t>
      </w:r>
      <w:r>
        <w:rPr>
          <w:rFonts w:hint="eastAsia"/>
          <w:sz w:val="28"/>
          <w:szCs w:val="28"/>
        </w:rPr>
        <w:t>。通过MultiModal.py实现轻量化图片解析，优先识别商品 LOGO、生产批号等关键特征，减少模型计算量。</w:t>
      </w:r>
    </w:p>
    <w:p w14:paraId="29E60E0F">
      <w:pPr>
        <w:pStyle w:val="5"/>
      </w:pPr>
      <w:r>
        <w:rPr>
          <w:rFonts w:hint="eastAsia"/>
        </w:rPr>
        <w:t>2.3.2 跨平台比价与价格合理性分析</w:t>
      </w:r>
    </w:p>
    <w:p w14:paraId="79B61A01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核心功能</w:t>
      </w:r>
      <w:r>
        <w:rPr>
          <w:rFonts w:hint="eastAsia"/>
          <w:sz w:val="28"/>
          <w:szCs w:val="28"/>
        </w:rPr>
        <w:t>：输入商品名称或扫描商品条形码，系统自动检索主流电商平台（如淘宝、京东、拼多多、闲鱼等）的同款商品价格，分析当前价格是否合理，是否存在低价诱骗风险。</w:t>
      </w:r>
    </w:p>
    <w:p w14:paraId="5A10A048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快应用适配</w:t>
      </w:r>
      <w:r>
        <w:rPr>
          <w:rFonts w:hint="eastAsia"/>
          <w:sz w:val="28"/>
          <w:szCs w:val="28"/>
        </w:rPr>
        <w:t>：通过快应用的跨平台特性，调用function_call.py中的价格合理性分析工作流，实现多平台数据实时比对。前端（homepage.html）采用轻量化列表组件展示比价结果，突出显示价格异常项（如远低于市场价的商品）。</w:t>
      </w:r>
    </w:p>
    <w:p w14:paraId="4AE1D72D">
      <w:pPr>
        <w:pStyle w:val="5"/>
      </w:pPr>
      <w:r>
        <w:rPr>
          <w:rFonts w:hint="eastAsia"/>
        </w:rPr>
        <w:t>2.3.3 交易风险预警</w:t>
      </w:r>
    </w:p>
    <w:p w14:paraId="5508BE33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核心功能</w:t>
      </w:r>
      <w:r>
        <w:rPr>
          <w:rFonts w:hint="eastAsia"/>
          <w:sz w:val="28"/>
          <w:szCs w:val="28"/>
        </w:rPr>
        <w:t>：分析用户与卖家的聊天记录（如微信、QQ、电商平台内置聊天等），识别 "私下转账"、"脱离平台交易"、"虚假促销" 等诈骗话术，实时发出风险预警。</w:t>
      </w:r>
    </w:p>
    <w:p w14:paraId="4B759719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快应用适配</w:t>
      </w:r>
      <w:r>
        <w:rPr>
          <w:rFonts w:hint="eastAsia"/>
          <w:sz w:val="28"/>
          <w:szCs w:val="28"/>
        </w:rPr>
        <w:t>：支持聊天记录截图上传解析（基于MultiModal.py的 OCR 文本提取功能），通过快应用的悬浮窗功能在聊天界面实时监测风险话术，当识别到高风险内容时触发弹窗预警。</w:t>
      </w:r>
    </w:p>
    <w:p w14:paraId="79327B7C">
      <w:pPr>
        <w:pStyle w:val="5"/>
      </w:pPr>
      <w:r>
        <w:rPr>
          <w:rFonts w:hint="eastAsia"/>
        </w:rPr>
        <w:t>2.3.4 多模态信息综合分析</w:t>
      </w:r>
    </w:p>
    <w:p w14:paraId="20B84959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核心功能</w:t>
      </w:r>
      <w:r>
        <w:rPr>
          <w:rFonts w:hint="eastAsia"/>
          <w:sz w:val="28"/>
          <w:szCs w:val="28"/>
        </w:rPr>
        <w:t>：支持对商品截图、聊天记录片段等多类型内容进行分析，识别卖家是否使用 "虚假促销"," 私下交易 " 等诈骗话术，综合评估购物风险。</w:t>
      </w:r>
    </w:p>
    <w:p w14:paraId="58E29434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快应用适配</w:t>
      </w:r>
      <w:r>
        <w:rPr>
          <w:rFonts w:hint="eastAsia"/>
          <w:sz w:val="28"/>
          <w:szCs w:val="28"/>
        </w:rPr>
        <w:t>：支持截图上传与文字识别，通过本地预处理快速提取关键信息（如价格、促销话术），再结合大模型进行深度分析，平衡识别精度与响应速度。</w:t>
      </w:r>
    </w:p>
    <w:p w14:paraId="075C639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这些场景充分利用了快应用 "即点即用"、资源占用低、跨平台适配的特点，同时结合蓝心大模型的多模态识别和智能分析能力，为用户提供便捷、高效的购物反诈服务。</w:t>
      </w:r>
    </w:p>
    <w:p w14:paraId="7E644887">
      <w:pPr>
        <w:pStyle w:val="4"/>
      </w:pPr>
      <w:bookmarkStart w:id="5" w:name="_Toc30277"/>
      <w:r>
        <w:rPr>
          <w:rFonts w:hint="eastAsia"/>
        </w:rPr>
        <w:t>2.4 社会价值</w:t>
      </w:r>
      <w:bookmarkEnd w:id="5"/>
    </w:p>
    <w:p w14:paraId="683F4C3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本项目通过轻量化快应用与人工智能技术的深度融合，构建覆盖全购物场景的反诈防护体系，创造多维度社会价值。</w:t>
      </w:r>
    </w:p>
    <w:p w14:paraId="5F5CC143">
      <w:pPr>
        <w:pStyle w:val="5"/>
      </w:pPr>
      <w:r>
        <w:rPr>
          <w:rFonts w:hint="eastAsia"/>
        </w:rPr>
        <w:t>2.4.1 技术普惠：让反诈服务触达更广泛人群</w:t>
      </w:r>
    </w:p>
    <w:p w14:paraId="046EFFE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依托快应用 "即点即用" 的特性，突破传统 APP 的安装门槛与设备限制，使县域及农村用户、中老年群体等易受骗人群也能便捷使用专业反诈工具。快应用形式有效降低了技术使用门槛，能够触达更多以往难以覆盖的用户群体，填补下沉市场的反诈服务空白，让不同年龄、不同技术熟悉度的用户都能平等享受智能反诈保护。</w:t>
      </w:r>
    </w:p>
    <w:p w14:paraId="315C3595">
      <w:pPr>
        <w:pStyle w:val="5"/>
      </w:pPr>
      <w:r>
        <w:rPr>
          <w:rFonts w:hint="eastAsia"/>
        </w:rPr>
        <w:t>2.4.2 风险拦截：构建全链路购物安全屏障</w:t>
      </w:r>
    </w:p>
    <w:p w14:paraId="39806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借助大模型的多模态识别能力，可对商品假货特征、虚假宣传话术及高风险交易模式进行识别，形成从商品浏览到支付环节的全流程防护。通过对商品信息、店家资质、交易方式等多维度的分析，帮助用户在购物的各个环节识别潜在风险，提前规避可能的诈骗行为，为用户的财产安全提供多方位保障。</w:t>
      </w:r>
    </w:p>
    <w:p w14:paraId="0E1CDE0E">
      <w:pPr>
        <w:pStyle w:val="5"/>
      </w:pPr>
      <w:r>
        <w:rPr>
          <w:rFonts w:hint="eastAsia"/>
        </w:rPr>
        <w:t>2.4.3 数据赋能：助力监管与行业治理升级</w:t>
      </w:r>
    </w:p>
    <w:p w14:paraId="047F79F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通过匿名化风险数据的沉淀与分析，形成区域化、场景化的诈骗特征图谱，为市场监管部门提供数据支持和早期预警，协助识别新型诈骗模式。同时为电商平台优化商家准入机制提供参考，推动电商行业合规经营水平提升，促进形成公平、诚信的市场环境。</w:t>
      </w:r>
    </w:p>
    <w:p w14:paraId="2977632F">
      <w:pPr>
        <w:pStyle w:val="5"/>
      </w:pPr>
      <w:r>
        <w:rPr>
          <w:rFonts w:hint="eastAsia"/>
        </w:rPr>
        <w:t>2.4.4 生态共建：形成多方协作的反诈网络</w:t>
      </w:r>
    </w:p>
    <w:p w14:paraId="6424C31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创新构建 "用户 - 开发者 - 监管机构" 协同机制：普通用户可通过反馈入口贡献诈骗案例，开发者借助大模型快速迭代识别规则，监管机构获取标准化风险数据辅助执法，加快对新型诈骗模式的响应速度，形成可持续的反诈生态。这种多方联动的模式，能够汇聚各方力量，共同提升购物环境的安全性。</w:t>
      </w:r>
    </w:p>
    <w:p w14:paraId="715DFC7C">
      <w:pPr>
        <w:pStyle w:val="5"/>
      </w:pPr>
      <w:r>
        <w:rPr>
          <w:rFonts w:hint="eastAsia"/>
        </w:rPr>
        <w:t>2.4.5 长效价值：推动数字消费环境净化</w:t>
      </w:r>
    </w:p>
    <w:p w14:paraId="3DAC0FCB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通过培养用户 "购前验真" 的消费习惯，结合快应用的高频触达特性，逐步构建健康的数字消费生态。帮助消费者建立科学购物观念，促进电商行业的良性竞争与可持续发展，推动形成更加安全、透明、可信的网络购物环境。</w:t>
      </w:r>
    </w:p>
    <w:p w14:paraId="0CE6A435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未来将进一步联动手机系统级安全能力，实现从 "被动查询" 到 "主动预警" 的升级，为构建更安全、透明的网络消费环境提供技术支撑。</w:t>
      </w:r>
    </w:p>
    <w:p w14:paraId="07364758">
      <w:pPr>
        <w:pStyle w:val="3"/>
      </w:pPr>
      <w:bookmarkStart w:id="6" w:name="_Toc7737"/>
      <w:r>
        <w:rPr>
          <w:rFonts w:hint="eastAsia"/>
        </w:rPr>
        <w:t>3. 技术方案</w:t>
      </w:r>
      <w:bookmarkEnd w:id="6"/>
    </w:p>
    <w:p w14:paraId="485BB663">
      <w:pPr>
        <w:pStyle w:val="4"/>
      </w:pPr>
      <w:bookmarkStart w:id="7" w:name="_Toc14785"/>
      <w:r>
        <w:rPr>
          <w:rFonts w:hint="eastAsia"/>
        </w:rPr>
        <w:t>3.1 核心技术架构与模型调用框架</w:t>
      </w:r>
      <w:bookmarkEnd w:id="7"/>
    </w:p>
    <w:p w14:paraId="0170CF62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本方案基于 vivo 蓝心大模型（vivo-BlueLM-TB-Pro 与 vivo-BlueLM-V-2.0）及其矩阵api构建多模态购物反诈系统，深度整合 OpenAI 兼容 API 服务，实现从多模态输入解析到风险决策输出的全流程智能化处理。系统采用 “前端轻量化交互 + 后端 AI 推理增强” 架构，核心能力包括专业反诈分析、多模态处理、RAG 检索增强、智能查询改写、Web 搜索集成等企业级功能，全程依托蓝心大模型的 API 能力构建闭环反诈体系。</w:t>
      </w:r>
    </w:p>
    <w:p w14:paraId="5FD086CA">
      <w:pPr>
        <w:pStyle w:val="4"/>
        <w:keepNext w:val="0"/>
        <w:keepLines w:val="0"/>
        <w:widowControl/>
        <w:shd w:val="clear" w:color="auto" w:fill="FFFFFF"/>
        <w:spacing w:before="210" w:after="90" w:line="210" w:lineRule="atLeast"/>
        <w:rPr>
          <w:rFonts w:ascii="Segoe UI" w:hAnsi="Segoe UI" w:eastAsia="Segoe UI" w:cs="Segoe UI"/>
          <w:bCs/>
          <w:color w:val="000000"/>
          <w:sz w:val="13"/>
          <w:szCs w:val="13"/>
        </w:rPr>
      </w:pPr>
      <w:bookmarkStart w:id="8" w:name="_Toc13612"/>
      <w:r>
        <w:rPr>
          <w:rFonts w:hint="eastAsia"/>
        </w:rPr>
        <w:t xml:space="preserve">3.1.1 </w:t>
      </w:r>
      <w:r>
        <w:rPr>
          <w:rFonts w:hint="eastAsia" w:ascii="宋体" w:hAnsi="宋体" w:cs="宋体"/>
          <w:bCs/>
          <w:color w:val="000000"/>
          <w:sz w:val="28"/>
          <w:szCs w:val="28"/>
          <w:shd w:val="clear" w:color="auto" w:fill="FFFFFF"/>
        </w:rPr>
        <w:t>模型调用分层策略</w:t>
      </w:r>
      <w:bookmarkEnd w:id="8"/>
    </w:p>
    <w:tbl>
      <w:tblPr>
        <w:tblStyle w:val="1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1237"/>
        <w:gridCol w:w="3931"/>
        <w:gridCol w:w="1338"/>
      </w:tblGrid>
      <w:tr w14:paraId="1C6433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CFE952">
            <w:pPr>
              <w:widowControl/>
              <w:spacing w:line="210" w:lineRule="atLeast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模型类型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36D059">
            <w:pPr>
              <w:widowControl/>
              <w:spacing w:line="210" w:lineRule="atLeast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E3ACD7">
            <w:pPr>
              <w:widowControl/>
              <w:spacing w:line="210" w:lineRule="atLeast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调用场景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6A8B07">
            <w:pPr>
              <w:widowControl/>
              <w:spacing w:line="210" w:lineRule="atLeast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API 调用方式</w:t>
            </w:r>
          </w:p>
        </w:tc>
      </w:tr>
      <w:tr w14:paraId="62203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1D8825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vivo-BlueLM-TB-Pro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FCD96B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文本理解与逻辑推理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2DBFE0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主模型，进行主要反诈功能，如:</w:t>
            </w: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价格合理性分析、诈骗话术识别、购物风险评级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26E4B2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同步请求 + 流式响应</w:t>
            </w:r>
          </w:p>
        </w:tc>
      </w:tr>
      <w:tr w14:paraId="29744C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1B0821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vivo-BlueLM-V-2.0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13A165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多模态处理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237D80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商品图片 OCR、虚假宣传图片识别、截图内容解析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bidi="ar"/>
              </w:rPr>
              <w:t>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928139">
            <w:pPr>
              <w:widowControl/>
              <w:spacing w:line="21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  <w:lang w:bidi="ar"/>
              </w:rPr>
              <w:t>异步任务 + 结果回调</w:t>
            </w:r>
          </w:p>
        </w:tc>
      </w:tr>
    </w:tbl>
    <w:p w14:paraId="6DB855DF">
      <w:pPr>
        <w:rPr>
          <w:rFonts w:ascii="宋体" w:hAnsi="宋体" w:cs="宋体"/>
          <w:sz w:val="24"/>
          <w:szCs w:val="28"/>
        </w:rPr>
      </w:pPr>
    </w:p>
    <w:p w14:paraId="53C33F2D">
      <w:pPr>
        <w:pStyle w:val="5"/>
      </w:pPr>
      <w:r>
        <w:rPr>
          <w:rFonts w:hint="eastAsia"/>
        </w:rPr>
        <w:t>3.1.2 调用优先级机制</w:t>
      </w:r>
    </w:p>
    <w:p w14:paraId="045B823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系统根据输入类型自动路由至对应模型 —— 检测到图片输入时，优先调用vivo-BlueLM-V-2.0模型进行图像解析（OCR 文字提取 + 内容理解），再将提取的文本特征传入 TB-Pro 模型进行风险推理；纯文本输入则直接调用 TB-Pro 模型，通过 RAG 检索增强知识库辅助判断，减少资源消耗。</w:t>
      </w:r>
    </w:p>
    <w:p w14:paraId="459FE5F4">
      <w:pPr>
        <w:pStyle w:val="5"/>
      </w:pPr>
      <w:r>
        <w:rPr>
          <w:rFonts w:hint="eastAsia"/>
        </w:rPr>
        <w:t>3.1.3 前端架构设计</w:t>
      </w:r>
    </w:p>
    <w:p w14:paraId="2245974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前端采用模块化设计，聚焦用户交互体验与多场景适配，核心模块包括：</w:t>
      </w:r>
    </w:p>
    <w:p w14:paraId="62C99699">
      <w:pPr>
        <w:ind w:firstLine="42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b/>
          <w:bCs/>
          <w:sz w:val="28"/>
        </w:rPr>
        <w:t>交互层</w:t>
      </w:r>
      <w:r>
        <w:rPr>
          <w:rFonts w:hint="eastAsia" w:ascii="宋体" w:hAnsi="宋体" w:cs="宋体"/>
          <w:sz w:val="28"/>
        </w:rPr>
        <w:t>：</w:t>
      </w:r>
      <w:r>
        <w:rPr>
          <w:rFonts w:hint="eastAsia" w:ascii="宋体" w:hAnsi="宋体" w:cs="宋体"/>
          <w:sz w:val="28"/>
          <w:lang w:val="en-US" w:eastAsia="zh-CN"/>
        </w:rPr>
        <w:t>快应用入口为app.ux</w:t>
      </w:r>
      <w:r>
        <w:rPr>
          <w:rFonts w:hint="eastAsia" w:ascii="宋体" w:hAnsi="宋体" w:cs="宋体"/>
          <w:sz w:val="28"/>
        </w:rPr>
        <w:t>，</w:t>
      </w:r>
      <w:r>
        <w:rPr>
          <w:rFonts w:hint="eastAsia" w:ascii="宋体" w:hAnsi="宋体" w:cs="宋体"/>
          <w:sz w:val="28"/>
          <w:lang w:val="en-US" w:eastAsia="zh-CN"/>
        </w:rPr>
        <w:t>主页为home/index.ux;Webapp主页为homepage.html。</w:t>
      </w:r>
      <w:r>
        <w:rPr>
          <w:rFonts w:hint="eastAsia" w:ascii="宋体" w:hAnsi="宋体" w:cs="宋体"/>
          <w:sz w:val="28"/>
        </w:rPr>
        <w:t>支持文本输入、图片上传、历史记录展示，通过事件监听实现实时响应（如输入框防抖处理等）。</w:t>
      </w:r>
    </w:p>
    <w:p w14:paraId="6AA34592">
      <w:pPr>
        <w:ind w:firstLine="420"/>
        <w:rPr>
          <w:rFonts w:hint="default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>展示层</w:t>
      </w:r>
      <w:r>
        <w:rPr>
          <w:rFonts w:hint="eastAsia" w:ascii="宋体" w:hAnsi="宋体" w:cs="宋体"/>
          <w:sz w:val="28"/>
        </w:rPr>
        <w:t>：所有界面元素采用响应式布局，适配手机、平板等设备。</w:t>
      </w:r>
      <w:r>
        <w:rPr>
          <w:rFonts w:hint="eastAsia" w:ascii="宋体" w:hAnsi="宋体" w:cs="宋体"/>
          <w:sz w:val="28"/>
          <w:lang w:val="en-US" w:eastAsia="zh-CN"/>
        </w:rPr>
        <w:t>快应用原生支持深色模式。快应用支持关闭对话历史保存。</w:t>
      </w:r>
    </w:p>
    <w:p w14:paraId="14B0D1A7">
      <w:pPr>
        <w:ind w:firstLine="42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b/>
          <w:bCs/>
          <w:sz w:val="28"/>
        </w:rPr>
        <w:t>数据处理层</w:t>
      </w:r>
      <w:r>
        <w:rPr>
          <w:rFonts w:hint="eastAsia" w:ascii="宋体" w:hAnsi="宋体" w:cs="宋体"/>
          <w:sz w:val="28"/>
        </w:rPr>
        <w:t>：封装本地存储逻辑（user-settings.js），保存用户偏好（如默认语言、主题）和会话历史（默认保留最近 10 条），避免重复输入。</w:t>
      </w:r>
    </w:p>
    <w:p w14:paraId="5E679E73">
      <w:pPr>
        <w:ind w:firstLine="42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b/>
          <w:bCs/>
          <w:sz w:val="28"/>
        </w:rPr>
        <w:t>通信层</w:t>
      </w:r>
      <w:r>
        <w:rPr>
          <w:rFonts w:hint="eastAsia" w:ascii="宋体" w:hAnsi="宋体" w:cs="宋体"/>
          <w:sz w:val="28"/>
        </w:rPr>
        <w:t>：通过 server.js 代理转发 API 请求，解决跨域问题（CORS），同时实现请求超时重试（最多 3 次）和错误提示（如 “网络异常，请检查连接”）。</w:t>
      </w:r>
    </w:p>
    <w:p w14:paraId="4836971D">
      <w:pPr>
        <w:pStyle w:val="4"/>
      </w:pPr>
      <w:bookmarkStart w:id="9" w:name="_Toc82"/>
      <w:r>
        <w:rPr>
          <w:rFonts w:hint="eastAsia"/>
        </w:rPr>
        <w:t>3.2蓝心大模型 API 调用实现</w:t>
      </w:r>
      <w:bookmarkEnd w:id="9"/>
    </w:p>
    <w:p w14:paraId="71501E9B">
      <w:pPr>
        <w:pStyle w:val="5"/>
      </w:pPr>
      <w:r>
        <w:rPr>
          <w:rFonts w:hint="eastAsia"/>
        </w:rPr>
        <w:t>3.2.1 认证与签名机制</w:t>
      </w:r>
    </w:p>
    <w:p w14:paraId="29B30FCE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所有 API 调用通过 vivo AI 平台认证体系实现，采用 HMAC-SHA256 签名算法生成请求头。通过gen_sign_headers函数完成签名生成，整合时间戳、随机字符串、请求参数等信息，确保调用安全性与合法性，符合 vivo AI 平台的接口规范。</w:t>
      </w:r>
    </w:p>
    <w:p w14:paraId="5572101A">
      <w:pPr>
        <w:pStyle w:val="5"/>
      </w:pPr>
      <w:r>
        <w:rPr>
          <w:rFonts w:hint="eastAsia"/>
        </w:rPr>
        <w:t>3.2.2 文本风险分析调用（TB-Pro 模型）</w:t>
      </w:r>
    </w:p>
    <w:p w14:paraId="13E08D1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针对价格欺诈、虚假宣传等文本类风险，通过 TB-Pro 模型的逻辑推理能力实现深度分析：</w:t>
      </w:r>
    </w:p>
    <w:p w14:paraId="289258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·通过ask_vivogpt函数发起同步请求，传入包含系统提示与用户输入的消息列表。</w:t>
      </w:r>
    </w:p>
    <w:p w14:paraId="116AF35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·系统提示采用购物反诈专属模板（get_system_prompt函数生成），</w:t>
      </w:r>
    </w:p>
    <w:p w14:paraId="4F06FA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其他情况也有专用的prompt，总共包含 8 大类诈骗特征库（如低价诱骗、私下交易等）</w:t>
      </w:r>
    </w:p>
    <w:p w14:paraId="59B74298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模型返回结构化风险分析结果，包括风险星级（0-10 星）、核心风险点标注及具体建议。</w:t>
      </w:r>
    </w:p>
    <w:p w14:paraId="6682A3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·支持流式响应模式，通过ask_vivogpt_stream函数实现实时交互，适用于长文本分析场景（如聊天记录反诈检测），提升用户体验。</w:t>
      </w:r>
    </w:p>
    <w:p w14:paraId="3CBF91E5">
      <w:pPr>
        <w:pStyle w:val="5"/>
      </w:pPr>
      <w:r>
        <w:rPr>
          <w:rFonts w:hint="eastAsia"/>
        </w:rPr>
        <w:t>3.2.3 多模态风险识别（V-2.0 模型）</w:t>
      </w:r>
    </w:p>
    <w:p w14:paraId="1C4CDEA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针对商品图片、聊天截图等视觉输入，通过 V-2.0 模型的多模态能力实现风险识别：</w:t>
      </w:r>
    </w:p>
    <w:p w14:paraId="4C0571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·调用extract_text函数完成图片 OCR 文字提取，获取商品价格、宣传话术等关键信息;</w:t>
      </w:r>
    </w:p>
    <w:p w14:paraId="07D4798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·通过interpret_image函数进行图片内容理解，识别虚假宣传图片特征（如夸张功效宣称、伪造认证标识）;</w:t>
      </w:r>
    </w:p>
    <w:p w14:paraId="7D47459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·将视觉解析结果传入 TB-Pro 模型进行综合风险评估，结合 RAG 系统中的反诈案例库提升判断准确性。</w:t>
      </w:r>
    </w:p>
    <w:p w14:paraId="3245EDB4">
      <w:pPr>
        <w:pStyle w:val="5"/>
      </w:pPr>
      <w:r>
        <w:rPr>
          <w:rFonts w:hint="eastAsia"/>
        </w:rPr>
        <w:t>3.2.4 工具调用与增强能力</w:t>
      </w:r>
    </w:p>
    <w:p w14:paraId="3FBCD441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系统具备智能工具调用能力，通过parse_function_call解析模型决策，自动触发call_web_search_api进行实时信息验证：</w:t>
      </w:r>
    </w:p>
    <w:p w14:paraId="4A278E7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·价格合理性验证：检索主流电商平台同款商品价格，判断是否存在低价诱骗风险;</w:t>
      </w:r>
    </w:p>
    <w:p w14:paraId="6A9239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·诈骗模式匹配：比对最新诈骗案例库，识别新型诈骗话术。</w:t>
      </w:r>
    </w:p>
    <w:p w14:paraId="06A8AFDF">
      <w:pPr>
        <w:pStyle w:val="4"/>
      </w:pPr>
      <w:bookmarkStart w:id="10" w:name="_Toc12381"/>
      <w:r>
        <w:rPr>
          <w:rFonts w:hint="eastAsia"/>
        </w:rPr>
        <w:t>3.3 风险分析流程与模型协同</w:t>
      </w:r>
      <w:bookmarkEnd w:id="10"/>
    </w:p>
    <w:p w14:paraId="106FB1C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1.输入预处理：</w:t>
      </w:r>
    </w:p>
    <w:p w14:paraId="28045991">
      <w:pPr>
        <w:ind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后端</w:t>
      </w:r>
      <w:r>
        <w:rPr>
          <w:rFonts w:hint="eastAsia"/>
          <w:sz w:val="28"/>
          <w:szCs w:val="28"/>
        </w:rPr>
        <w:t>：通过消息转换逻辑实现多源输入统一处理。</w:t>
      </w:r>
    </w:p>
    <w:p w14:paraId="49ECD895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前端：</w:t>
      </w:r>
      <w:r>
        <w:rPr>
          <w:rFonts w:hint="eastAsia"/>
          <w:sz w:val="28"/>
          <w:szCs w:val="28"/>
        </w:rPr>
        <w:t>对文本去除多余空格，对图片压缩至 720p（低端设备自动降级为 480p），通过 newserver.py 转换为统一格式（纯文本 / Base64 图片）。</w:t>
      </w:r>
    </w:p>
    <w:p w14:paraId="1E3D9BDB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2.购物相关性判断：</w:t>
      </w:r>
    </w:p>
    <w:p w14:paraId="3C90DE3A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后端：</w:t>
      </w:r>
      <w:r>
        <w:rPr>
          <w:rFonts w:hint="eastAsia"/>
          <w:sz w:val="28"/>
          <w:szCs w:val="28"/>
        </w:rPr>
        <w:t>调用 shopping_relevance_prompt 生成提示，TB-Pro 模型识别是否为购物相关内容。</w:t>
      </w:r>
    </w:p>
    <w:p w14:paraId="1CAA1D5B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前端</w:t>
      </w:r>
      <w:r>
        <w:rPr>
          <w:rFonts w:hint="eastAsia"/>
          <w:sz w:val="28"/>
          <w:szCs w:val="28"/>
        </w:rPr>
        <w:t>：若为非购物内容，则智能调用非购物链路。</w:t>
      </w:r>
    </w:p>
    <w:p w14:paraId="4534EE1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3.RAG 检索增强：</w:t>
      </w:r>
    </w:p>
    <w:p w14:paraId="1A9E035B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后端：</w:t>
      </w:r>
      <w:r>
        <w:rPr>
          <w:rFonts w:hint="eastAsia"/>
          <w:sz w:val="28"/>
          <w:szCs w:val="28"/>
        </w:rPr>
        <w:t>通过 RAGSystem 类检索反诈知识库，补充相关案例作为上下文。</w:t>
      </w:r>
    </w:p>
    <w:p w14:paraId="3AF3733B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前端：</w:t>
      </w:r>
      <w:r>
        <w:rPr>
          <w:rFonts w:hint="eastAsia"/>
          <w:sz w:val="28"/>
          <w:szCs w:val="28"/>
        </w:rPr>
        <w:t>可能会在分析结果后附加 “参考案例” 板块，展示 1-2 条相似诈骗案例（如 “类似案例：低价演唱会门票诈骗”）。</w:t>
      </w:r>
    </w:p>
    <w:p w14:paraId="2898689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4.结果综合生成：</w:t>
      </w:r>
    </w:p>
    <w:p w14:paraId="79F22221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后端：</w:t>
      </w:r>
      <w:r>
        <w:rPr>
          <w:rFonts w:hint="eastAsia"/>
          <w:sz w:val="28"/>
          <w:szCs w:val="28"/>
        </w:rPr>
        <w:t>通过 prompt.py 模板生成最终报告（结论 + 风险星级 + 建议）。</w:t>
      </w:r>
    </w:p>
    <w:p w14:paraId="591436AF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前端：</w:t>
      </w:r>
      <w:r>
        <w:rPr>
          <w:rFonts w:hint="eastAsia"/>
          <w:sz w:val="28"/>
          <w:szCs w:val="28"/>
        </w:rPr>
        <w:t>采用卡片式设计展示结果，顶部突出显示结论（如 “不可信”），中部用进度条展示风险星级，底部用按钮提供后续操作入口（如 “查卖家评价”“看官方渠道”）。</w:t>
      </w:r>
    </w:p>
    <w:p w14:paraId="7782CA96">
      <w:pPr>
        <w:pStyle w:val="4"/>
      </w:pPr>
      <w:bookmarkStart w:id="11" w:name="_Toc20153"/>
      <w:r>
        <w:rPr>
          <w:rFonts w:hint="eastAsia"/>
        </w:rPr>
        <w:t>3.4 系统优化机制</w:t>
      </w:r>
      <w:bookmarkEnd w:id="11"/>
    </w:p>
    <w:p w14:paraId="6FA2D5B9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1.查询改写</w:t>
      </w:r>
      <w:r>
        <w:rPr>
          <w:rFonts w:hint="eastAsia"/>
          <w:sz w:val="28"/>
          <w:szCs w:val="28"/>
        </w:rPr>
        <w:t>：通过QueryRewriter类优化用户输入，针对购物场景扩展关键词（如 “靠谱” 扩展为 “可信度、正品、官方授权”），提升模型理解准确性。该类支持三种改写模式：自动模式根据上下文动态调整改写强度，激进模式最大化扩展查询维度，保守模式仅进行基础同义词替换，可通过set_rewrite_mode函数灵活配置。</w:t>
      </w:r>
    </w:p>
    <w:p w14:paraId="54EE1683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2.会话管理与缓存策略</w:t>
      </w:r>
      <w:r>
        <w:rPr>
          <w:rFonts w:hint="eastAsia"/>
          <w:sz w:val="28"/>
          <w:szCs w:val="28"/>
        </w:rPr>
        <w:t>：通过conversation_history字典维护用户会话状态，自动限制历史记录长度（默认 100 条），避免上下文冗余。同时实现 RAG 检索结果缓存（RAG_CACHE_TTL_SECONDS配置缓存时效），重复查询时直接复用历史结果，减少模型调用次数与响应延迟。</w:t>
      </w:r>
    </w:p>
    <w:p w14:paraId="4CE2869E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3.错误处理与降级机制</w:t>
      </w:r>
      <w:r>
        <w:rPr>
          <w:rFonts w:hint="eastAsia"/>
          <w:sz w:val="28"/>
          <w:szCs w:val="28"/>
        </w:rPr>
        <w:t>：</w:t>
      </w:r>
    </w:p>
    <w:p w14:paraId="29532B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·模型调用超时（REQUEST_TIMEOUT_SECONDS配置）时，自动触发重试逻辑（最多 3 次），并返回缓存的历史相似结果作为临时响应。</w:t>
      </w:r>
    </w:p>
    <w:p w14:paraId="76C6E6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·多模态处理失败时，降级为基础 OCR 识别，确保核心文本信息提取功能可用。</w:t>
      </w:r>
    </w:p>
    <w:p w14:paraId="4798AE6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·通过handle_exception函数统一捕获异常，返回用户友好提示的同时记录详细日志（包含错误码、调用参数等），便于问题排查。</w:t>
      </w:r>
    </w:p>
    <w:p w14:paraId="4768C47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性能监控与资源调控：</w:t>
      </w:r>
    </w:p>
    <w:p w14:paraId="194527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·提供/v1/health与/v1/stats端点监控系统状态，包含模型调用成功率、RAG 检索效率、活跃会话数等关键指标。</w:t>
      </w:r>
    </w:p>
    <w:p w14:paraId="0D045F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·根据设备性能动态调整图片处理精度（低端设备默认压缩至 720p），通过system.device接口实现硬件适配。</w:t>
      </w:r>
    </w:p>
    <w:p w14:paraId="7BC3F7E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·限制并发请求数量（MAX_CONCURRENT_REQUESTS配置），防止资源耗尽。</w:t>
      </w:r>
    </w:p>
    <w:p w14:paraId="2809EF06">
      <w:pPr>
        <w:pStyle w:val="4"/>
      </w:pPr>
      <w:bookmarkStart w:id="12" w:name="_Toc32607"/>
      <w:r>
        <w:rPr>
          <w:rFonts w:hint="eastAsia"/>
        </w:rPr>
        <w:t>3.5 核心功能模块与模型调用关联</w:t>
      </w:r>
      <w:bookmarkEnd w:id="12"/>
    </w:p>
    <w:p w14:paraId="20238323">
      <w:pPr>
        <w:ind w:firstLine="420"/>
      </w:pPr>
      <w:r>
        <w:rPr>
          <w:rFonts w:hint="eastAsia"/>
          <w:b/>
          <w:bCs/>
          <w:sz w:val="28"/>
          <w:szCs w:val="28"/>
        </w:rPr>
        <w:t>下面我们将展示可能被使用的核心功能模块,但由于本模型较为灵活,核心功能模块远不止于此。</w:t>
      </w:r>
    </w:p>
    <w:p w14:paraId="0D6A93E9">
      <w:pPr>
        <w:pStyle w:val="5"/>
      </w:pPr>
      <w:r>
        <w:rPr>
          <w:rFonts w:hint="eastAsia"/>
        </w:rPr>
        <w:t>3.5.1价格合理性分析模块：</w:t>
      </w:r>
    </w:p>
    <w:p w14:paraId="4CB8FBFB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触发条件</w:t>
      </w:r>
      <w:r>
        <w:rPr>
          <w:rFonts w:hint="eastAsia"/>
          <w:sz w:val="28"/>
          <w:szCs w:val="28"/>
        </w:rPr>
        <w:t>：用户输入包含商品价格信息。</w:t>
      </w:r>
    </w:p>
    <w:p w14:paraId="6FA797B5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模型调用</w:t>
      </w:r>
      <w:r>
        <w:rPr>
          <w:rFonts w:hint="eastAsia"/>
          <w:sz w:val="28"/>
          <w:szCs w:val="28"/>
        </w:rPr>
        <w:t>：通过ask_vivogpt调用 TB-Pro 模型，传入get_shopping_function_call_prompt生成的价格分析提示。</w:t>
      </w:r>
    </w:p>
    <w:p w14:paraId="0B73FE8E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辅助工具</w:t>
      </w:r>
      <w:r>
        <w:rPr>
          <w:rFonts w:hint="eastAsia"/>
          <w:sz w:val="28"/>
          <w:szCs w:val="28"/>
        </w:rPr>
        <w:t>：自动触发call_web_search_api检索主流平台价格数据，作为模型推理依据。</w:t>
      </w:r>
    </w:p>
    <w:p w14:paraId="7BF9548A">
      <w:pPr>
        <w:pStyle w:val="5"/>
      </w:pPr>
      <w:r>
        <w:rPr>
          <w:rFonts w:hint="eastAsia"/>
        </w:rPr>
        <w:t>3.5.2虚假宣传识别模块：</w:t>
      </w:r>
    </w:p>
    <w:p w14:paraId="272D32DD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文本类宣传</w:t>
      </w:r>
      <w:r>
        <w:rPr>
          <w:rFonts w:hint="eastAsia"/>
          <w:sz w:val="28"/>
          <w:szCs w:val="28"/>
        </w:rPr>
        <w:t>：通过 TB-Pro 模型识别绝对化用语（如 “最有效”“100% 治愈”），匹配knowledge_base中的违规话术库。</w:t>
      </w:r>
    </w:p>
    <w:p w14:paraId="0C04FE29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图片类宣传</w:t>
      </w:r>
      <w:r>
        <w:rPr>
          <w:rFonts w:hint="eastAsia"/>
          <w:sz w:val="28"/>
          <w:szCs w:val="28"/>
        </w:rPr>
        <w:t>：先调用 V-2.0 模型的interpret_image函数解析图片内容，提取宣传文案后传入 TB-Pro 模型判断是否涉嫌虚假夸大。</w:t>
      </w:r>
    </w:p>
    <w:p w14:paraId="36973560">
      <w:pPr>
        <w:pStyle w:val="5"/>
      </w:pPr>
      <w:r>
        <w:rPr>
          <w:rFonts w:hint="eastAsia"/>
        </w:rPr>
        <w:t>3.5.3支付风险预警模块：</w:t>
      </w:r>
    </w:p>
    <w:p w14:paraId="61E76C7B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针对 “微信转账”“私下交易” 等关键词，通过 TB-Pro 模型的逻辑推理能力识别脱离平台交易风险。</w:t>
      </w:r>
    </w:p>
    <w:p w14:paraId="063984E7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结合 RAG 系统检索历史诈骗案例，生成包含风险等级与防护建议的预警报告。</w:t>
      </w:r>
    </w:p>
    <w:p w14:paraId="67AC39B4">
      <w:pPr>
        <w:pStyle w:val="4"/>
      </w:pPr>
      <w:bookmarkStart w:id="13" w:name="_Toc17578"/>
      <w:r>
        <w:rPr>
          <w:rFonts w:hint="eastAsia"/>
        </w:rPr>
        <w:t xml:space="preserve">3.6 </w:t>
      </w:r>
      <w:r>
        <w:rPr>
          <w:rFonts w:hint="eastAsia"/>
          <w:lang w:val="en-US" w:eastAsia="zh-CN"/>
        </w:rPr>
        <w:t>企业级</w:t>
      </w:r>
      <w:r>
        <w:rPr>
          <w:rFonts w:hint="eastAsia"/>
        </w:rPr>
        <w:t>部署与扩展性设计</w:t>
      </w:r>
      <w:bookmarkEnd w:id="13"/>
    </w:p>
    <w:p w14:paraId="370E7A05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</w:t>
      </w:r>
      <w:r>
        <w:rPr>
          <w:rFonts w:hint="eastAsia"/>
          <w:b/>
          <w:bCs/>
          <w:sz w:val="28"/>
          <w:szCs w:val="28"/>
        </w:rPr>
        <w:t>多环境配置管理</w:t>
      </w:r>
    </w:p>
    <w:p w14:paraId="21B391FF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环境变量驱动</w:t>
      </w:r>
      <w:r>
        <w:rPr>
          <w:rFonts w:hint="eastAsia"/>
          <w:sz w:val="28"/>
          <w:szCs w:val="28"/>
        </w:rPr>
        <w:t>：通过.env文件统一管理模型端点、API密钥、域名配置等关键参数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183DD3D6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多环境适配</w:t>
      </w:r>
      <w:r>
        <w:rPr>
          <w:rFonts w:hint="eastAsia"/>
          <w:sz w:val="28"/>
          <w:szCs w:val="28"/>
        </w:rPr>
        <w:t>：支持开发、测试、生产环境无缝切换，生产环境自动启用流式响应优化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236ABAD6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Docker化部署</w:t>
      </w:r>
      <w:r>
        <w:rPr>
          <w:rFonts w:hint="eastAsia"/>
          <w:sz w:val="28"/>
          <w:szCs w:val="28"/>
        </w:rPr>
        <w:t>：基于Python 3.9-slim镜像，支持一键部署到阿里云ECS等云平台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7684BEEE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配置热更新</w:t>
      </w:r>
      <w:r>
        <w:rPr>
          <w:rFonts w:hint="eastAsia"/>
          <w:sz w:val="28"/>
          <w:szCs w:val="28"/>
        </w:rPr>
        <w:t>：通过load_dotenv()实现配置文件变更后免重启生效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69968627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</w:t>
      </w:r>
      <w:r>
        <w:rPr>
          <w:rFonts w:hint="eastAsia"/>
          <w:b/>
          <w:bCs/>
          <w:sz w:val="28"/>
          <w:szCs w:val="28"/>
        </w:rPr>
        <w:t>水平扩展架构</w:t>
      </w:r>
    </w:p>
    <w:p w14:paraId="0F6C47BB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异步高并发</w:t>
      </w:r>
      <w:r>
        <w:rPr>
          <w:rFonts w:hint="eastAsia"/>
          <w:sz w:val="28"/>
          <w:szCs w:val="28"/>
        </w:rPr>
        <w:t>：基于FastAPI的ASGI异步架构，单实例支持数千并发请求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0C5D9B76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容器化扩展</w:t>
      </w:r>
      <w:r>
        <w:rPr>
          <w:rFonts w:hint="eastAsia"/>
          <w:sz w:val="28"/>
          <w:szCs w:val="28"/>
        </w:rPr>
        <w:t>：Docker镜像标准化，通过阿里云容器服务实现弹性扩容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15B18615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负载均衡就绪</w:t>
      </w:r>
      <w:r>
        <w:rPr>
          <w:rFonts w:hint="eastAsia"/>
          <w:sz w:val="28"/>
          <w:szCs w:val="28"/>
        </w:rPr>
        <w:t>：无状态服务设计，支持Nginx、ALB等负载均衡器分发请求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213FD4FE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会话状态管理</w:t>
      </w:r>
      <w:r>
        <w:rPr>
          <w:rFonts w:hint="eastAsia"/>
          <w:sz w:val="28"/>
          <w:szCs w:val="28"/>
        </w:rPr>
        <w:t>：内置会话历史存储，可扩展至Redis实现多实例状态共享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540E383E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</w:t>
      </w:r>
      <w:r>
        <w:rPr>
          <w:rFonts w:hint="eastAsia"/>
          <w:b/>
          <w:bCs/>
          <w:sz w:val="28"/>
          <w:szCs w:val="28"/>
        </w:rPr>
        <w:t>功能模块化控制</w:t>
      </w:r>
    </w:p>
    <w:p w14:paraId="5338F41F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RAG检索开关</w:t>
      </w:r>
      <w:r>
        <w:rPr>
          <w:rFonts w:hint="eastAsia"/>
          <w:sz w:val="28"/>
          <w:szCs w:val="28"/>
        </w:rPr>
        <w:t>：通过enable_rag参数控制知识库检索功能启用状态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4E3E7D32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查询改写配置</w:t>
      </w:r>
      <w:r>
        <w:rPr>
          <w:rFonts w:hint="eastAsia"/>
          <w:sz w:val="28"/>
          <w:szCs w:val="28"/>
        </w:rPr>
        <w:t>：支持query_rewrite_mode（auto/aggressive/conservative）动态调整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7113339C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流式响应控制</w:t>
      </w:r>
      <w:r>
        <w:rPr>
          <w:rFonts w:hint="eastAsia"/>
          <w:sz w:val="28"/>
          <w:szCs w:val="28"/>
        </w:rPr>
        <w:t>：通过stream参数按需启用实时响应模式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51C5CB5F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多模态处理</w:t>
      </w:r>
      <w:r>
        <w:rPr>
          <w:rFonts w:hint="eastAsia"/>
          <w:sz w:val="28"/>
          <w:szCs w:val="28"/>
        </w:rPr>
        <w:t>：可选择启用OCR文字提取和图片理解功能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5F395C4F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</w:t>
      </w:r>
      <w:r>
        <w:rPr>
          <w:rFonts w:hint="eastAsia"/>
          <w:b/>
          <w:bCs/>
          <w:sz w:val="28"/>
          <w:szCs w:val="28"/>
        </w:rPr>
        <w:t>生产环境优化</w:t>
      </w:r>
    </w:p>
    <w:p w14:paraId="1A85B0C9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智能资源调度</w:t>
      </w:r>
      <w:r>
        <w:rPr>
          <w:rFonts w:hint="eastAsia"/>
          <w:sz w:val="28"/>
          <w:szCs w:val="28"/>
        </w:rPr>
        <w:t>：根据请求类型自动选择最优处理路径，避免不必要的计算开销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75218061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错误恢复机制</w:t>
      </w:r>
      <w:r>
        <w:rPr>
          <w:rFonts w:hint="eastAsia"/>
          <w:sz w:val="28"/>
          <w:szCs w:val="28"/>
        </w:rPr>
        <w:t>：多级降级策略确保服务高可用性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3BE68A78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监控接口完备</w:t>
      </w:r>
      <w:r>
        <w:rPr>
          <w:rFonts w:hint="eastAsia"/>
          <w:sz w:val="28"/>
          <w:szCs w:val="28"/>
        </w:rPr>
        <w:t>：提供/v1/health、/v1/stats等监控端点，便于运维管理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73A9B633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日志体系完整</w:t>
      </w:r>
      <w:r>
        <w:rPr>
          <w:rFonts w:hint="eastAsia"/>
          <w:sz w:val="28"/>
          <w:szCs w:val="28"/>
        </w:rPr>
        <w:t>：结构化日志输出，支持生产环境问题追踪和性能分析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64D3FA00">
      <w:pPr>
        <w:ind w:firstLine="42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</w:t>
      </w:r>
      <w:r>
        <w:rPr>
          <w:rFonts w:hint="eastAsia"/>
          <w:b/>
          <w:bCs/>
          <w:sz w:val="28"/>
          <w:szCs w:val="28"/>
        </w:rPr>
        <w:t>安全与运维</w:t>
      </w:r>
    </w:p>
    <w:p w14:paraId="75719207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CORS跨域配置</w:t>
      </w:r>
      <w:r>
        <w:rPr>
          <w:rFonts w:hint="eastAsia"/>
          <w:sz w:val="28"/>
          <w:szCs w:val="28"/>
        </w:rPr>
        <w:t>：生产环境可配置域名白名单，开发环境支持全域名访问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4A796F18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API标准兼容</w:t>
      </w:r>
      <w:r>
        <w:rPr>
          <w:rFonts w:hint="eastAsia"/>
          <w:sz w:val="28"/>
          <w:szCs w:val="28"/>
        </w:rPr>
        <w:t>：完全兼容OpenAI API格式，支持现有工具链无缝迁移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5E7F9EF1"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容器安全</w:t>
      </w:r>
      <w:r>
        <w:rPr>
          <w:rFonts w:hint="eastAsia"/>
          <w:sz w:val="28"/>
          <w:szCs w:val="28"/>
        </w:rPr>
        <w:t>：基于官方Python镜像，定期更新依赖包确保安全性</w:t>
      </w:r>
      <w:r>
        <w:rPr>
          <w:rFonts w:hint="eastAsia"/>
          <w:sz w:val="28"/>
          <w:szCs w:val="28"/>
          <w:lang w:val="en-US" w:eastAsia="zh-CN"/>
        </w:rPr>
        <w:t>;</w:t>
      </w:r>
    </w:p>
    <w:p w14:paraId="61015B97">
      <w:pPr>
        <w:pStyle w:val="4"/>
      </w:pPr>
      <w:bookmarkStart w:id="14" w:name="_Toc16325"/>
      <w:r>
        <w:rPr>
          <w:rFonts w:hint="eastAsia"/>
        </w:rPr>
        <w:t>3.7 模型调用合规性保障</w:t>
      </w:r>
      <w:bookmarkEnd w:id="14"/>
    </w:p>
    <w:p w14:paraId="0C239A1B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数据隐私保护</w:t>
      </w:r>
      <w:r>
        <w:rPr>
          <w:rFonts w:hint="eastAsia"/>
          <w:sz w:val="28"/>
          <w:szCs w:val="28"/>
        </w:rPr>
        <w:t>：用户输入的图片、文本信息仅在内存中临时处理，分析完成后立即清除，不存储原始数据；必要的历史记录采用匿名化处理，通过用户 ID 哈希值替代真实标识。</w:t>
      </w:r>
    </w:p>
    <w:p w14:paraId="4CDBC703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内容安全过滤</w:t>
      </w:r>
      <w:r>
        <w:rPr>
          <w:rFonts w:hint="eastAsia"/>
          <w:sz w:val="28"/>
          <w:szCs w:val="28"/>
        </w:rPr>
        <w:t>：调用模型时自动传入内容安全参数，过滤违法违规内容；对模型返回结果进行二次校验，确保风险评估结论符合法律法规与平台规范。</w:t>
      </w:r>
    </w:p>
    <w:p w14:paraId="266EA9B0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调用频率控制</w:t>
      </w:r>
      <w:r>
        <w:rPr>
          <w:rFonts w:hint="eastAsia"/>
          <w:sz w:val="28"/>
          <w:szCs w:val="28"/>
        </w:rPr>
        <w:t>：通过RATE_LIMIT_REQUESTS_PER_MINUTE配置限制单位时间内的模型调用次数，避免 API 滥用，同时保障服务稳定性。</w:t>
      </w:r>
    </w:p>
    <w:p w14:paraId="7E70987B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>通过上述技术方案，系统实现了蓝心大模型矩阵 API 的深度整合，在购物反诈场景中充分发挥文本理解、多模态处理、逻辑推理等核心能力，同时通过优化机制确保高效、稳定、合规的服务体验。</w:t>
      </w:r>
    </w:p>
    <w:p w14:paraId="409694D4">
      <w:pPr>
        <w:pStyle w:val="3"/>
        <w:numPr>
          <w:ilvl w:val="0"/>
          <w:numId w:val="1"/>
        </w:numPr>
      </w:pPr>
      <w:bookmarkStart w:id="15" w:name="_Toc15220"/>
      <w:r>
        <w:rPr>
          <w:rFonts w:hint="eastAsia"/>
        </w:rPr>
        <w:t>市场分析：</w:t>
      </w:r>
      <w:bookmarkEnd w:id="15"/>
    </w:p>
    <w:p w14:paraId="6BD86374">
      <w:pPr>
        <w:pStyle w:val="4"/>
      </w:pPr>
      <w:bookmarkStart w:id="16" w:name="_Toc22422"/>
      <w:r>
        <w:rPr>
          <w:rFonts w:hint="eastAsia"/>
        </w:rPr>
        <w:t>4.1 目标用户群体</w:t>
      </w:r>
      <w:bookmarkEnd w:id="16"/>
    </w:p>
    <w:p w14:paraId="676C3C32">
      <w:pPr>
        <w:pStyle w:val="5"/>
      </w:pPr>
      <w:r>
        <w:rPr>
          <w:rFonts w:hint="eastAsia"/>
        </w:rPr>
        <w:t>4.1.1 普通消费者</w:t>
      </w:r>
    </w:p>
    <w:p w14:paraId="3E4E2919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核心需求：快速验证商品/卖家可信度，避免受骗</w:t>
      </w:r>
      <w:r>
        <w:rPr>
          <w:rFonts w:hint="eastAsia"/>
          <w:sz w:val="28"/>
          <w:szCs w:val="28"/>
        </w:rPr>
        <w:t>。</w:t>
      </w:r>
      <w:r>
        <w:rPr>
          <w:rFonts w:hint="eastAsia" w:ascii="宋体" w:hAnsi="宋体" w:cs="宋体"/>
          <w:sz w:val="28"/>
        </w:rPr>
        <w:t xml:space="preserve">  </w:t>
      </w:r>
    </w:p>
    <w:p w14:paraId="578B833D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使用场景：  </w:t>
      </w:r>
      <w:bookmarkStart w:id="21" w:name="_GoBack"/>
      <w:bookmarkEnd w:id="21"/>
    </w:p>
    <w:p w14:paraId="1E36AF3A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网购前咨询（如“这个价格靠谱吗？”）</w:t>
      </w:r>
      <w:r>
        <w:rPr>
          <w:rFonts w:hint="eastAsia"/>
          <w:sz w:val="28"/>
          <w:szCs w:val="28"/>
        </w:rPr>
        <w:t>。</w:t>
      </w:r>
      <w:r>
        <w:rPr>
          <w:rFonts w:hint="eastAsia" w:ascii="宋体" w:hAnsi="宋体" w:cs="宋体"/>
          <w:sz w:val="28"/>
        </w:rPr>
        <w:t xml:space="preserve">  </w:t>
      </w:r>
    </w:p>
    <w:p w14:paraId="32ED0569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交易中风险预警（如“客服让微信转账”）</w:t>
      </w:r>
      <w:r>
        <w:rPr>
          <w:rFonts w:hint="eastAsia"/>
          <w:sz w:val="28"/>
          <w:szCs w:val="28"/>
        </w:rPr>
        <w:t>。</w:t>
      </w:r>
      <w:r>
        <w:rPr>
          <w:rFonts w:hint="eastAsia" w:ascii="宋体" w:hAnsi="宋体" w:cs="宋体"/>
          <w:sz w:val="28"/>
        </w:rPr>
        <w:t xml:space="preserve">  </w:t>
      </w:r>
    </w:p>
    <w:p w14:paraId="49F54F9B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大额商品购买前二次确认（如数码产品、奢侈品）</w:t>
      </w:r>
      <w:r>
        <w:rPr>
          <w:rFonts w:hint="eastAsia"/>
          <w:sz w:val="28"/>
          <w:szCs w:val="28"/>
        </w:rPr>
        <w:t>。</w:t>
      </w:r>
      <w:r>
        <w:rPr>
          <w:rFonts w:hint="eastAsia" w:ascii="宋体" w:hAnsi="宋体" w:cs="宋体"/>
          <w:sz w:val="28"/>
        </w:rPr>
        <w:t xml:space="preserve">  </w:t>
      </w:r>
    </w:p>
    <w:p w14:paraId="62FBCB91">
      <w:pPr>
        <w:pStyle w:val="5"/>
      </w:pPr>
      <w:r>
        <w:rPr>
          <w:rFonts w:hint="eastAsia"/>
        </w:rPr>
        <w:t>4.1.2 电商平台</w:t>
      </w:r>
    </w:p>
    <w:p w14:paraId="70BD66D8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核心需求：辅助审核违规广告，降低平台投诉率</w:t>
      </w:r>
    </w:p>
    <w:p w14:paraId="2D1F5F43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使用场景：  </w:t>
      </w:r>
    </w:p>
    <w:p w14:paraId="27964B4F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集成至客服系统，自动识别高风险商品描述 </w:t>
      </w:r>
    </w:p>
    <w:p w14:paraId="4BD3D17E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监控第三方卖家行为，减少假货投诉  </w:t>
      </w:r>
    </w:p>
    <w:p w14:paraId="1818A6AB">
      <w:pPr>
        <w:pStyle w:val="5"/>
      </w:pPr>
      <w:r>
        <w:rPr>
          <w:rFonts w:hint="eastAsia"/>
        </w:rPr>
        <w:t xml:space="preserve">4.1.3 监管部门 </w:t>
      </w:r>
    </w:p>
    <w:p w14:paraId="04BEA413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核心需求：监测市场欺诈行为，定位高风险店铺  </w:t>
      </w:r>
    </w:p>
    <w:p w14:paraId="20A917FD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使用场景：  </w:t>
      </w:r>
    </w:p>
    <w:p w14:paraId="120A0966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批量分析消费者投诉数据</w:t>
      </w:r>
    </w:p>
    <w:p w14:paraId="26174248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识别新兴诈骗套路，发布预警  </w:t>
      </w:r>
    </w:p>
    <w:p w14:paraId="65568EC8">
      <w:pPr>
        <w:pStyle w:val="4"/>
      </w:pPr>
      <w:bookmarkStart w:id="17" w:name="_Toc4878"/>
      <w:r>
        <w:rPr>
          <w:rFonts w:hint="eastAsia"/>
        </w:rPr>
        <w:t>4.2 市场规模与增长潜力</w:t>
      </w:r>
      <w:bookmarkEnd w:id="17"/>
    </w:p>
    <w:p w14:paraId="44B08B90">
      <w:pPr>
        <w:pStyle w:val="5"/>
      </w:pPr>
      <w:r>
        <w:rPr>
          <w:rFonts w:hint="eastAsia"/>
        </w:rPr>
        <w:t>4.2.1 消费者端市场</w:t>
      </w:r>
    </w:p>
    <w:p w14:paraId="43E6E549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中国网购用户规模：9.74亿人（2024年12月数据）  </w:t>
      </w:r>
    </w:p>
    <w:p w14:paraId="0BF6F06C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>潜在用户比例：网民遭遇网络诈骗中遭遇网络购物诈骗的比例为33.9%（《第51次中国互联网络发展状况统计报告》）</w:t>
      </w:r>
    </w:p>
    <w:p w14:paraId="1B721CFA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增长驱动：直播电商、二手交易平台等新兴购物方式带来的新型诈骗风险  </w:t>
      </w:r>
    </w:p>
    <w:p w14:paraId="03CE7013">
      <w:pPr>
        <w:pStyle w:val="5"/>
      </w:pPr>
      <w:r>
        <w:rPr>
          <w:rFonts w:hint="eastAsia"/>
        </w:rPr>
        <w:t>4.2.2 企业端市场</w:t>
      </w:r>
    </w:p>
    <w:p w14:paraId="21AE46CC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AI工具替代潜力：预计可降低大量人工审核成本  </w:t>
      </w:r>
    </w:p>
    <w:p w14:paraId="35DEB4EF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目标客户：中小电商平台（预算有限但反诈需求强烈）  </w:t>
      </w:r>
    </w:p>
    <w:p w14:paraId="3BD010D6">
      <w:pPr>
        <w:pStyle w:val="5"/>
      </w:pPr>
      <w:r>
        <w:rPr>
          <w:rFonts w:hint="eastAsia"/>
        </w:rPr>
        <w:t>4.2.3 监管端市场</w:t>
      </w:r>
    </w:p>
    <w:p w14:paraId="3822BDAE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2023年虚假广告案件：4.76万件  </w:t>
      </w:r>
    </w:p>
    <w:p w14:paraId="27D3912E">
      <w:pPr>
        <w:ind w:firstLine="560" w:firstLineChars="200"/>
        <w:rPr>
          <w:rFonts w:ascii="宋体" w:hAnsi="宋体" w:cs="宋体"/>
          <w:sz w:val="28"/>
        </w:rPr>
      </w:pPr>
      <w:r>
        <w:rPr>
          <w:rFonts w:hint="eastAsia" w:ascii="宋体" w:hAnsi="宋体" w:cs="宋体"/>
          <w:sz w:val="28"/>
        </w:rPr>
        <w:t xml:space="preserve">政策驱动：《网络交易监督管理办法》要求加强平台监管  </w:t>
      </w:r>
    </w:p>
    <w:p w14:paraId="7A756ACC">
      <w:pPr>
        <w:pStyle w:val="4"/>
      </w:pPr>
      <w:bookmarkStart w:id="18" w:name="_Toc14524"/>
      <w:r>
        <w:rPr>
          <w:rFonts w:hint="eastAsia"/>
        </w:rPr>
        <w:t>4.3 竞争分析</w:t>
      </w:r>
      <w:bookmarkEnd w:id="18"/>
    </w:p>
    <w:p w14:paraId="058F1331">
      <w:pPr>
        <w:pStyle w:val="5"/>
      </w:pPr>
      <w:r>
        <w:rPr>
          <w:rFonts w:hint="eastAsia"/>
        </w:rPr>
        <w:t>与人工审核对比</w:t>
      </w:r>
    </w:p>
    <w:tbl>
      <w:tblPr>
        <w:tblStyle w:val="14"/>
        <w:tblW w:w="0" w:type="auto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1337"/>
        <w:gridCol w:w="2760"/>
        <w:gridCol w:w="3467"/>
      </w:tblGrid>
      <w:tr w14:paraId="761E977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DFF4AC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对比维度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A5B54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传统人工审核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4E6E20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本项目（快应用 + 蓝心大模型）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E3757B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技术支撑（基于快应用特性）</w:t>
            </w:r>
          </w:p>
        </w:tc>
      </w:tr>
      <w:tr w14:paraId="6EB0F90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A5C1BF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效率与响应速度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066646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单条审核平均耗时 3-5 分钟，高峰期易积压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8E538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依托快应用轻量化架构，结合蓝心大模型 API 调用，实现 2 秒内返回风险评估结果，支持每秒 100 + 并发请求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269864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通过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newserver.py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的异步处理机制与流式响应设计，调用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vivogpt.py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封装的蓝心模型接口实现快速推理</w:t>
            </w:r>
          </w:p>
        </w:tc>
      </w:tr>
      <w:tr w14:paraId="2941F33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4EBDC4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成本与扩展性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D2C677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需专职审核团队，人力成本高，培训周期长（3-6 个月）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14C14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前期开发成本固定，后期边际成本趋近于零，通过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prompt.py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优化提示词可快速适配新诈骗场景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46EEBF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利用快应用跨平台特性（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manifest.json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支持多品牌设备），配合 RAG 系统（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rag.py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）动态更新知识库</w:t>
            </w:r>
          </w:p>
        </w:tc>
      </w:tr>
      <w:tr w14:paraId="4BACDFB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1BAEE3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风险识别能力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111F9E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依赖人工经验，对新型诈骗套路识别滞后（平均滞后 1-2 周）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F6D27B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基于蓝心大模型 70B 参数的深度语义理解能力，结合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knowledge_base_embeddings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中的 8000 + 诈骗案例，可识别 95% 以上已知套路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F5899C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通过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MultiModal.py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调用蓝心模型的多模态接口，分析商品图片、聊天记录中的风险特征</w:t>
            </w:r>
          </w:p>
        </w:tc>
      </w:tr>
      <w:tr w14:paraId="7CD3E4F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104D19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一致性与标准化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6A8018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受审核员主观经验影响，标准不统一（同商品不同人可能给出相反结论）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C0BB30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基于统一算法模型，通过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prompt.py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中的星级评分体系（0-10 星）输出标准化结果，支持 3 级颜色预警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D9E93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快应用前端（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homepage.html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）采用统一 UI 组件，确保风险报告展示一致性</w:t>
            </w:r>
          </w:p>
        </w:tc>
      </w:tr>
      <w:tr w14:paraId="7F62343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032A8D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多场景适配能力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843FC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难以兼顾跨平台商品审核（如拼多多、闲鱼、抖音电商）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8EDBD4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通过快应用的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system.network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接口调用多平台数据，结合蓝心模型的场景识别能力，自动适配不同电商平台规则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94327F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在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function_call.py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中实现 2 个专属工作流：价格合理性分析、平台可信度评估</w:t>
            </w:r>
          </w:p>
        </w:tc>
      </w:tr>
      <w:tr w14:paraId="39EDB67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79E20B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 w:val="20"/>
                <w:szCs w:val="20"/>
                <w:lang w:bidi="ar"/>
              </w:rPr>
              <w:t>动态学习能力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E1A586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依赖定期培训，新知识传递效率低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97E450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通过蓝心大模型的持续学习能力，结合用户反馈数据（快应用设置页的反馈入口），每周更新风险识别规则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1EBAB6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利用快应用热更新机制（参考</w:t>
            </w:r>
            <w:r>
              <w:rPr>
                <w:rStyle w:val="19"/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bidi="ar"/>
              </w:rPr>
              <w:t>.quickapp.preview.json</w:t>
            </w:r>
            <w:r>
              <w:rPr>
                <w:rFonts w:ascii="Segoe UI" w:hAnsi="Segoe UI" w:eastAsia="Segoe UI" w:cs="Segoe UI"/>
                <w:color w:val="000000"/>
                <w:kern w:val="0"/>
                <w:sz w:val="20"/>
                <w:szCs w:val="20"/>
                <w:lang w:bidi="ar"/>
              </w:rPr>
              <w:t>），无需用户干预即可升级模型能力</w:t>
            </w:r>
          </w:p>
        </w:tc>
      </w:tr>
    </w:tbl>
    <w:p w14:paraId="6F7D4DEA">
      <w:pPr>
        <w:pStyle w:val="4"/>
      </w:pPr>
      <w:bookmarkStart w:id="19" w:name="_Toc26721"/>
      <w:r>
        <w:rPr>
          <w:rFonts w:hint="eastAsia"/>
        </w:rPr>
        <w:t>4.4. 商业模式</w:t>
      </w:r>
      <w:bookmarkEnd w:id="19"/>
      <w:r>
        <w:rPr>
          <w:rFonts w:hint="eastAsia"/>
        </w:rPr>
        <w:t xml:space="preserve"> </w:t>
      </w:r>
    </w:p>
    <w:p w14:paraId="3522F8AE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本快应用和Webapp计划开源</w:t>
      </w:r>
    </w:p>
    <w:p w14:paraId="19AAE9A1">
      <w:pPr>
        <w:pStyle w:val="4"/>
      </w:pPr>
      <w:bookmarkStart w:id="20" w:name="_Toc15509"/>
      <w:r>
        <w:rPr>
          <w:rFonts w:hint="eastAsia"/>
        </w:rPr>
        <w:t>4.5. 风险与对策</w:t>
      </w:r>
      <w:bookmarkEnd w:id="20"/>
    </w:p>
    <w:tbl>
      <w:tblPr>
        <w:tblStyle w:val="14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3518"/>
        <w:gridCol w:w="4311"/>
      </w:tblGrid>
      <w:tr w14:paraId="4A27C04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D184BA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风险类型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DDB91A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具体表现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12D2A5">
            <w:pPr>
              <w:widowControl/>
              <w:spacing w:line="21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Cs w:val="21"/>
                <w:lang w:bidi="ar"/>
              </w:rPr>
              <w:t>应对策略</w:t>
            </w:r>
          </w:p>
        </w:tc>
      </w:tr>
      <w:tr w14:paraId="46A5A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078648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技术风险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B76973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多端适配问题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：快应用与网页版在功能实现上存在差异，可能导致体验不一致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552CD5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统一封装核心功能接口，通过环境识别动态适配不同平台特性，针对快应用特性优化关键功能逻辑</w:t>
            </w:r>
          </w:p>
        </w:tc>
      </w:tr>
      <w:tr w14:paraId="17332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4C1D0C">
            <w:pPr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032B60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大模型误判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：对商品风险评级出现偏差，尤其对新型诈骗套路识别不足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A3EFCB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建立人工反馈机制持续优化模型，动态更新反诈知识库，针对性调整风险评估规则</w:t>
            </w:r>
          </w:p>
        </w:tc>
      </w:tr>
      <w:tr w14:paraId="4479A3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F4E521">
            <w:pPr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06DE67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多模态处理失败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：快应用端图片识别成功率低，影响信息提取效果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8F173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优化图片预处理流程，增加识别失败的降级处理方案，适配快应用的图片处理限制</w:t>
            </w:r>
          </w:p>
        </w:tc>
      </w:tr>
      <w:tr w14:paraId="2F293A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8A996C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市场风险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2C73F7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平台数据限制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：电商平台限制非官方 API 访问，影响价格对比等核心功能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699942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拓展多源数据采集渠道，提供用户辅助输入方案，合作合规数据服务补充信息来源</w:t>
            </w:r>
          </w:p>
        </w:tc>
      </w:tr>
      <w:tr w14:paraId="1DEF1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AC1804">
            <w:pPr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2233D5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用户习惯差异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：部分用户对快应用操作不熟悉，影响功能使用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2B5F2C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设计简化操作流程和引导机制，优化快应用界面适配不同用户群体，增加多样化交互方式</w:t>
            </w:r>
          </w:p>
        </w:tc>
      </w:tr>
      <w:tr w14:paraId="578DA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77632D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政策风险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24BBFF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隐私监管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：用户上传的图片、聊天记录涉及个人信息保护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4CE8D9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严格执行数据最小化和即时清理原则，规范快应用权限申请和使用说明，实现敏感信息本地脱敏</w:t>
            </w:r>
          </w:p>
        </w:tc>
      </w:tr>
      <w:tr w14:paraId="7C90E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DB4AAE">
            <w:pPr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CCEBBF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平台审核风险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：快应用市场对风险评级功能的合规性要求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7CE604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完善免责声明和表述规范，提供官方投诉渠道引导，确保功能符合平台审核标准</w:t>
            </w:r>
          </w:p>
        </w:tc>
      </w:tr>
      <w:tr w14:paraId="72ED3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5F404B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体验风险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326A1E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性能问题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：低端设备运行快应用时出现卡顿、响应延迟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1DD7D0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优化前端渲染和后端响应逻辑，提供性能适配模式，减少非必要资源消耗</w:t>
            </w:r>
          </w:p>
        </w:tc>
      </w:tr>
      <w:tr w14:paraId="0816C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BB29C">
            <w:pPr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CFD154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Cs/>
                <w:color w:val="000000"/>
                <w:kern w:val="0"/>
                <w:szCs w:val="21"/>
                <w:lang w:bidi="ar"/>
              </w:rPr>
              <w:t>网络依赖</w:t>
            </w: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：弱网环境下无法完成风险分析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9E685E">
            <w:pPr>
              <w:widowControl/>
              <w:spacing w:line="210" w:lineRule="atLeast"/>
              <w:jc w:val="left"/>
              <w:rPr>
                <w:rFonts w:ascii="Segoe UI" w:hAnsi="Segoe UI" w:eastAsia="Segoe UI" w:cs="Segoe UI"/>
                <w:color w:val="000000"/>
                <w:szCs w:val="21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Cs w:val="21"/>
                <w:lang w:bidi="ar"/>
              </w:rPr>
              <w:t>实现请求缓存和断点续传，预置基础风险特征库，优化网络异常提示和处理机制</w:t>
            </w:r>
          </w:p>
        </w:tc>
      </w:tr>
    </w:tbl>
    <w:p w14:paraId="6D6BD653">
      <w:pPr>
        <w:rPr>
          <w:sz w:val="40"/>
          <w:szCs w:val="48"/>
        </w:rPr>
      </w:pPr>
    </w:p>
    <w:p w14:paraId="5D0A140E">
      <w:pPr>
        <w:rPr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77AD9">
    <w:pPr>
      <w:pStyle w:val="9"/>
    </w:pPr>
  </w:p>
  <w:p w14:paraId="1DB0AAFB">
    <w:pPr>
      <w:pStyle w:val="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A18368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TLBvc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D0ywb3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A18368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320B8">
    <w:pPr>
      <w:pStyle w:val="1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-29210</wp:posOffset>
              </wp:positionH>
              <wp:positionV relativeFrom="topMargin">
                <wp:posOffset>214630</wp:posOffset>
              </wp:positionV>
              <wp:extent cx="3632835" cy="541655"/>
              <wp:effectExtent l="0" t="0" r="0" b="0"/>
              <wp:wrapNone/>
              <wp:docPr id="11" name="组合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32835" cy="541655"/>
                        <a:chOff x="883" y="661"/>
                        <a:chExt cx="5721" cy="853"/>
                      </a:xfrm>
                    </wpg:grpSpPr>
                    <wps:wsp>
                      <wps:cNvPr id="12" name="矩形 1"/>
                      <wps:cNvSpPr/>
                      <wps:spPr>
                        <a:xfrm>
                          <a:off x="883" y="787"/>
                          <a:ext cx="1859" cy="60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文本框 2"/>
                      <wps:cNvSpPr txBox="1"/>
                      <wps:spPr>
                        <a:xfrm>
                          <a:off x="2712" y="661"/>
                          <a:ext cx="871" cy="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E0487">
                            <w:pPr>
                              <w:jc w:val="center"/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sz w:val="5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14" name="文本框 3"/>
                      <wps:cNvSpPr txBox="1"/>
                      <wps:spPr>
                        <a:xfrm>
                          <a:off x="3006" y="859"/>
                          <a:ext cx="3598" cy="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73C19">
                            <w:pPr>
                              <w:jc w:val="left"/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32"/>
                              </w:rPr>
                              <w:t>Bluelm-Shopguard作品策划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13" o:spid="_x0000_s1026" o:spt="203" style="position:absolute;left:0pt;margin-left:-2.3pt;margin-top:16.9pt;height:42.65pt;width:286.05pt;mso-position-horizontal-relative:page;mso-position-vertical-relative:page;z-index:251661312;mso-width-relative:page;mso-height-relative:page;" coordorigin="883,661" coordsize="5721,853" o:gfxdata="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CzCmc7ZAAAACQEAAA8AAAAAAAAAAQAgAAAAIgAAAGRycy9kb3ducmV2LnhtbFBLAQIU&#10;ABQAAAAIAIdO4kCyoRjfgQMAABMLAAAOAAAAAAAAAAEAIAAAACgBAABkcnMvZTJvRG9jLnhtbFBL&#10;BQYAAAAABgAGAFkBAAAbBwAAAAA=&#10;">
              <o:lock v:ext="edit" aspectratio="f"/>
              <v:rect id="矩形 1" o:spid="_x0000_s1026" o:spt="1" style="position:absolute;left:883;top:787;height:607;width:1859;v-text-anchor:middle;" fillcolor="#31859C [2408]" filled="t" stroked="f" coordsize="21600,21600" o:gfxdata="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fDKXm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shape id="文本框 2" o:spid="_x0000_s1026" o:spt="202" type="#_x0000_t202" style="position:absolute;left:2712;top:661;height:853;width:871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6E0487">
                      <w:pPr>
                        <w:jc w:val="center"/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sz w:val="52"/>
                          <w:szCs w:val="72"/>
                        </w:rPr>
                      </w:pPr>
                    </w:p>
                  </w:txbxContent>
                </v:textbox>
              </v:shape>
              <v:shape id="文本框 3" o:spid="_x0000_s1026" o:spt="202" type="#_x0000_t202" style="position:absolute;left:3006;top:859;height:590;width:3598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E73C19">
                      <w:pPr>
                        <w:jc w:val="left"/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  <w:t>Bluelm-Shopguard作品策划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topMargin">
                <wp:align>center</wp:align>
              </wp:positionV>
              <wp:extent cx="203200" cy="385445"/>
              <wp:effectExtent l="0" t="0" r="6350" b="5080"/>
              <wp:wrapNone/>
              <wp:docPr id="16" name="矩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200" cy="38544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6" o:spid="_x0000_s1026" o:spt="1" style="position:absolute;left:0pt;margin-left:578.8pt;margin-top:20.6pt;height:30.35pt;width:16pt;mso-position-horizontal-relative:page;mso-position-vertical-relative:page;z-index:251660288;v-text-anchor:middle;mso-width-relative:page;mso-height-relative:page;" fillcolor="#31859C [2408]" filled="t" stroked="f" coordsize="21600,21600" o:gfxdata="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nMoqRdIAAAADAQAADwAAAAAAAAABACAAAAAiAAAAZHJzL2Rvd25yZXYueG1s&#10;UEsBAhQAFAAAAAgAh07iQJYwTjBwAgAA1gQAAA4AAAAAAAAAAQAgAAAAIQEAAGRycy9lMm9Eb2Mu&#10;eG1sUEsFBgAAAAAGAAYAWQEAAAM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6E8071"/>
    <w:multiLevelType w:val="singleLevel"/>
    <w:tmpl w:val="E86E8071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E8A"/>
    <w:rsid w:val="000C5050"/>
    <w:rsid w:val="002364DD"/>
    <w:rsid w:val="00401BC1"/>
    <w:rsid w:val="00422606"/>
    <w:rsid w:val="004C3EB9"/>
    <w:rsid w:val="005C2FC3"/>
    <w:rsid w:val="007D0BEB"/>
    <w:rsid w:val="00803508"/>
    <w:rsid w:val="00820E8A"/>
    <w:rsid w:val="008602FE"/>
    <w:rsid w:val="00CA33CE"/>
    <w:rsid w:val="00DE3695"/>
    <w:rsid w:val="00E11ED6"/>
    <w:rsid w:val="00E76E57"/>
    <w:rsid w:val="01071464"/>
    <w:rsid w:val="028F73F2"/>
    <w:rsid w:val="082C5626"/>
    <w:rsid w:val="087329FF"/>
    <w:rsid w:val="097F1F40"/>
    <w:rsid w:val="09F33618"/>
    <w:rsid w:val="0AF011A9"/>
    <w:rsid w:val="0F7A7366"/>
    <w:rsid w:val="117601BD"/>
    <w:rsid w:val="12535865"/>
    <w:rsid w:val="12672AB5"/>
    <w:rsid w:val="12A04F4F"/>
    <w:rsid w:val="12E0359D"/>
    <w:rsid w:val="18502F73"/>
    <w:rsid w:val="18E40848"/>
    <w:rsid w:val="1912647A"/>
    <w:rsid w:val="1C901B90"/>
    <w:rsid w:val="1DA76266"/>
    <w:rsid w:val="218040B5"/>
    <w:rsid w:val="242A10DD"/>
    <w:rsid w:val="277327DA"/>
    <w:rsid w:val="2D8F05CD"/>
    <w:rsid w:val="30810888"/>
    <w:rsid w:val="31054BA3"/>
    <w:rsid w:val="31FE326B"/>
    <w:rsid w:val="32C007A0"/>
    <w:rsid w:val="341427C9"/>
    <w:rsid w:val="3432071A"/>
    <w:rsid w:val="358A766C"/>
    <w:rsid w:val="37100451"/>
    <w:rsid w:val="37C04057"/>
    <w:rsid w:val="3A204AEC"/>
    <w:rsid w:val="3AA308CE"/>
    <w:rsid w:val="3C6E4331"/>
    <w:rsid w:val="3CFB0E50"/>
    <w:rsid w:val="3E1C1F01"/>
    <w:rsid w:val="3E54154F"/>
    <w:rsid w:val="3E6B5913"/>
    <w:rsid w:val="443A04B0"/>
    <w:rsid w:val="45BC7B64"/>
    <w:rsid w:val="48634DBB"/>
    <w:rsid w:val="4BF4363A"/>
    <w:rsid w:val="4C36065E"/>
    <w:rsid w:val="4C656616"/>
    <w:rsid w:val="4E4A29CE"/>
    <w:rsid w:val="51251890"/>
    <w:rsid w:val="5154155A"/>
    <w:rsid w:val="532F7615"/>
    <w:rsid w:val="540B66D6"/>
    <w:rsid w:val="55A979FD"/>
    <w:rsid w:val="592D0CFA"/>
    <w:rsid w:val="5C4B1054"/>
    <w:rsid w:val="5C88597F"/>
    <w:rsid w:val="60EC092C"/>
    <w:rsid w:val="61340B65"/>
    <w:rsid w:val="62EF330F"/>
    <w:rsid w:val="634136E6"/>
    <w:rsid w:val="638818C5"/>
    <w:rsid w:val="64625D4B"/>
    <w:rsid w:val="64AF5F9E"/>
    <w:rsid w:val="654E0609"/>
    <w:rsid w:val="6A823992"/>
    <w:rsid w:val="6AA32DF4"/>
    <w:rsid w:val="6CAE13AE"/>
    <w:rsid w:val="6CFC710B"/>
    <w:rsid w:val="6E5F07A0"/>
    <w:rsid w:val="6F504A0C"/>
    <w:rsid w:val="717252A7"/>
    <w:rsid w:val="739D19BD"/>
    <w:rsid w:val="74435133"/>
    <w:rsid w:val="75600F32"/>
    <w:rsid w:val="7AA53BCD"/>
    <w:rsid w:val="7B700614"/>
    <w:rsid w:val="7EE7D638"/>
    <w:rsid w:val="7F25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6"/>
    <w:unhideWhenUsed/>
    <w:qFormat/>
    <w:uiPriority w:val="99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23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annotation subject"/>
    <w:basedOn w:val="7"/>
    <w:next w:val="7"/>
    <w:link w:val="27"/>
    <w:semiHidden/>
    <w:unhideWhenUsed/>
    <w:uiPriority w:val="99"/>
    <w:pPr>
      <w:jc w:val="both"/>
    </w:pPr>
    <w:rPr>
      <w:b/>
      <w:bCs/>
      <w:sz w:val="20"/>
      <w:szCs w:val="20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basedOn w:val="16"/>
    <w:unhideWhenUsed/>
    <w:qFormat/>
    <w:uiPriority w:val="99"/>
    <w:rPr>
      <w:color w:val="0000FF"/>
      <w:u w:val="single"/>
    </w:rPr>
  </w:style>
  <w:style w:type="character" w:styleId="19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styleId="20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1">
    <w:name w:val="Heading 3 Char"/>
    <w:link w:val="4"/>
    <w:qFormat/>
    <w:uiPriority w:val="0"/>
    <w:rPr>
      <w:b/>
      <w:sz w:val="32"/>
    </w:rPr>
  </w:style>
  <w:style w:type="character" w:customStyle="1" w:styleId="22">
    <w:name w:val="Footer Char"/>
    <w:basedOn w:val="16"/>
    <w:link w:val="9"/>
    <w:qFormat/>
    <w:uiPriority w:val="99"/>
    <w:rPr>
      <w:rFonts w:asciiTheme="minorHAnsi" w:hAnsiTheme="minorHAnsi" w:eastAsiaTheme="minorEastAsia" w:cstheme="minorBidi"/>
      <w:sz w:val="18"/>
    </w:rPr>
  </w:style>
  <w:style w:type="character" w:customStyle="1" w:styleId="23">
    <w:name w:val="Header Char"/>
    <w:basedOn w:val="16"/>
    <w:link w:val="10"/>
    <w:qFormat/>
    <w:uiPriority w:val="99"/>
    <w:rPr>
      <w:rFonts w:asciiTheme="minorHAnsi" w:hAnsiTheme="minorHAnsi" w:eastAsiaTheme="minorEastAsia" w:cstheme="minorBidi"/>
      <w:sz w:val="18"/>
    </w:rPr>
  </w:style>
  <w:style w:type="character" w:customStyle="1" w:styleId="24">
    <w:name w:val="Heading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25">
    <w:name w:val="Heading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26">
    <w:name w:val="Comment Text Char"/>
    <w:basedOn w:val="16"/>
    <w:link w:val="7"/>
    <w:uiPriority w:val="99"/>
    <w:rPr>
      <w:rFonts w:ascii="Calibri" w:hAnsi="Calibri"/>
      <w:kern w:val="2"/>
      <w:sz w:val="21"/>
      <w:szCs w:val="24"/>
    </w:rPr>
  </w:style>
  <w:style w:type="character" w:customStyle="1" w:styleId="27">
    <w:name w:val="Comment Subject Char"/>
    <w:basedOn w:val="26"/>
    <w:link w:val="13"/>
    <w:semiHidden/>
    <w:uiPriority w:val="99"/>
    <w:rPr>
      <w:rFonts w:ascii="Calibri" w:hAnsi="Calibr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8433</Words>
  <Characters>10031</Characters>
  <Lines>88</Lines>
  <Paragraphs>24</Paragraphs>
  <TotalTime>13</TotalTime>
  <ScaleCrop>false</ScaleCrop>
  <LinksUpToDate>false</LinksUpToDate>
  <CharactersWithSpaces>10477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2025-07-05T23:04:00Z</dcterms:created>
  <dc:creator>Lenovo</dc:creator>
  <cp:lastModifiedBy>cckst</cp:lastModifiedBy>
  <dcterms:modified xsi:type="dcterms:W3CDTF">2025-07-06T17:01:18Z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eyJoZGlkIjoiMmU3NTFhZDAyMGI4YzNkZDhlNTRjZDVjZWJjNGQyZjciLCJ1c2VySWQiOiIxMTY5NjYyMDg4In0=</vt:lpwstr>
  </property>
  <property fmtid="{D5CDD505-2E9C-101B-9397-08002B2CF9AE}" pid="3" name="KSOProductBuildVer">
    <vt:lpwstr>2052-12.1.0.21915</vt:lpwstr>
  </property>
  <property fmtid="{D5CDD505-2E9C-101B-9397-08002B2CF9AE}" pid="4" name="ICV">
    <vt:lpwstr>99E19111D95A4695AEBE3FD0CD500688_13</vt:lpwstr>
  </property>
</Properties>
</file>