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30BAB">
      <w:pPr>
        <w:pStyle w:val="24"/>
        <w:keepNext w:val="0"/>
        <w:keepLines w:val="0"/>
        <w:pageBreakBefore w:val="0"/>
        <w:widowControl/>
        <w:numPr>
          <w:ilvl w:val="0"/>
          <w:numId w:val="1"/>
        </w:numPr>
        <w:kinsoku/>
        <w:wordWrap/>
        <w:overflowPunct/>
        <w:topLinePunct w:val="0"/>
        <w:autoSpaceDE/>
        <w:autoSpaceDN/>
        <w:bidi w:val="0"/>
        <w:adjustRightInd/>
        <w:snapToGrid/>
        <w:spacing w:line="440" w:lineRule="exact"/>
        <w:ind w:left="0" w:leftChars="0" w:firstLine="0" w:firstLineChars="0"/>
        <w:textAlignment w:val="auto"/>
        <w:rPr>
          <w:rFonts w:hint="eastAsia" w:ascii="FangSong" w:hAnsi="FangSong" w:eastAsia="FangSong" w:cs="FangSong"/>
          <w:b/>
          <w:bCs/>
        </w:rPr>
      </w:pPr>
      <w:r>
        <w:rPr>
          <w:rFonts w:hint="eastAsia" w:ascii="FangSong" w:hAnsi="FangSong" w:eastAsia="FangSong" w:cs="FangSong"/>
          <w:b/>
          <w:bCs/>
        </w:rPr>
        <w:t>项目概述</w:t>
      </w:r>
    </w:p>
    <w:p w14:paraId="4A20C7FB">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Times New Roman" w:hAnsi="Times New Roman" w:eastAsia="仿宋" w:cs="Times New Roman"/>
          <w:color w:val="000000" w:themeColor="text1"/>
        </w:rPr>
      </w:pPr>
      <w:r>
        <w:rPr>
          <w:rFonts w:hint="eastAsia" w:ascii="Times New Roman" w:hAnsi="Times New Roman" w:eastAsia="仿宋" w:cs="Times New Roman"/>
          <w:color w:val="000000" w:themeColor="text1"/>
        </w:rPr>
        <w:t>本产品是面向跨学科学习的智能教与学服务平台，帮助教师完成从跨学科课程设计、课堂实施、学习评价到教学能力持续发展的完整闭环。教师可通过可视化课件编辑平台，围绕跨学科大概念与驱动性问题快速搭建互动课件，内置问题树、维恩图、科学观察记录、六顶思考帽、SCAMPER、项目展示板等跨学科探究工具箱，支持嵌入网页、AI应用等扩展内容，结合智能应用搭建系统实现网页与AI应用的创建、调试、发布一站式流程。结合实时互动教学系统，实现课堂中师生双向数据实时同步、课堂互动数据即时采集与学生作品展示。系统内置三级差异化AI助手，依据学生学段与能力提供苏格拉底式引导、脚手架式支持或示范式讲解，帮助学生在跨学科探究过程中获得个性化学习支持。课后自动生成包含学生表现分层、跨学科素养表现与教学建议的课程分析报告，助力教师精准了解学情并优化教学策略。</w:t>
      </w:r>
    </w:p>
    <w:p w14:paraId="53424995">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Times New Roman" w:hAnsi="Times New Roman" w:eastAsia="仿宋" w:cs="Times New Roman"/>
          <w:color w:val="000000" w:themeColor="text1"/>
        </w:rPr>
      </w:pPr>
      <w:r>
        <w:rPr>
          <w:rFonts w:hint="eastAsia" w:ascii="Times New Roman" w:hAnsi="Times New Roman" w:eastAsia="仿宋" w:cs="Times New Roman"/>
          <w:color w:val="000000" w:themeColor="text1"/>
        </w:rPr>
        <w:t>围绕C-POTE六步跨学科教案设计法，平台同时为教师提供跨学科教学与AI教学相关的学习资源、教案创作工具与AI模拟练习场景，并配套线下工作坊深化培训，帮助教师系统化掌握跨学科教学设计方法、持续提升教学能力。</w:t>
      </w:r>
    </w:p>
    <w:p w14:paraId="51CB22A5">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Times New Roman" w:hAnsi="Times New Roman" w:eastAsia="仿宋" w:cs="Times New Roman"/>
          <w:color w:val="000000" w:themeColor="text1"/>
        </w:rPr>
      </w:pPr>
      <w:r>
        <w:rPr>
          <w:rFonts w:hint="eastAsia" w:ascii="Times New Roman" w:hAnsi="Times New Roman" w:eastAsia="仿宋" w:cs="Times New Roman"/>
          <w:color w:val="000000" w:themeColor="text1"/>
        </w:rPr>
        <w:t>系统的典型应用场景包括：跨学科项目式学习课堂教学、跨学科教师培训与工作坊的配套自学、线上线下混合式跨学科教研、区域/学校跨学科教学能力建设等。</w:t>
      </w:r>
    </w:p>
    <w:p w14:paraId="0372B886">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Times New Roman" w:hAnsi="Times New Roman" w:eastAsia="仿宋" w:cs="Times New Roman"/>
          <w:color w:val="000000" w:themeColor="text1"/>
        </w:rPr>
      </w:pPr>
    </w:p>
    <w:p w14:paraId="282A8690">
      <w:pPr>
        <w:pStyle w:val="24"/>
        <w:keepNext w:val="0"/>
        <w:keepLines w:val="0"/>
        <w:pageBreakBefore w:val="0"/>
        <w:widowControl/>
        <w:numPr>
          <w:ilvl w:val="0"/>
          <w:numId w:val="1"/>
        </w:numPr>
        <w:kinsoku/>
        <w:wordWrap/>
        <w:overflowPunct/>
        <w:topLinePunct w:val="0"/>
        <w:autoSpaceDE/>
        <w:autoSpaceDN/>
        <w:bidi w:val="0"/>
        <w:adjustRightInd/>
        <w:snapToGrid/>
        <w:spacing w:line="440" w:lineRule="exact"/>
        <w:ind w:left="0" w:leftChars="0" w:firstLine="0" w:firstLineChars="0"/>
        <w:textAlignment w:val="auto"/>
        <w:rPr>
          <w:rFonts w:hint="eastAsia" w:ascii="FangSong" w:hAnsi="FangSong" w:eastAsia="FangSong" w:cs="FangSong"/>
          <w:b/>
          <w:bCs/>
        </w:rPr>
      </w:pPr>
      <w:r>
        <w:rPr>
          <w:rFonts w:hint="eastAsia" w:ascii="FangSong" w:hAnsi="FangSong" w:eastAsia="FangSong" w:cs="FangSong"/>
          <w:b/>
          <w:bCs/>
        </w:rPr>
        <w:t>可可智慧教育平台</w:t>
      </w:r>
      <w:r>
        <w:rPr>
          <w:rFonts w:hint="eastAsia" w:ascii="FangSong" w:hAnsi="FangSong" w:eastAsia="FangSong" w:cs="FangSong"/>
          <w:b/>
          <w:bCs/>
          <w:lang w:val="en-US" w:eastAsia="zh-CN"/>
        </w:rPr>
        <w:t>-</w:t>
      </w:r>
      <w:r>
        <w:rPr>
          <w:rFonts w:hint="eastAsia" w:ascii="FangSong" w:hAnsi="FangSong" w:eastAsia="FangSong" w:cs="FangSong"/>
          <w:b/>
          <w:bCs/>
        </w:rPr>
        <w:t>跨学科教与学</w:t>
      </w:r>
      <w:r>
        <w:rPr>
          <w:rFonts w:hint="eastAsia" w:ascii="FangSong" w:hAnsi="FangSong" w:eastAsia="FangSong" w:cs="FangSong"/>
          <w:b/>
          <w:bCs/>
          <w:lang w:val="en-US" w:eastAsia="zh-CN"/>
        </w:rPr>
        <w:t>平台</w:t>
      </w:r>
    </w:p>
    <w:p w14:paraId="73B9AA62">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Times New Roman" w:hAnsi="Times New Roman" w:eastAsia="仿宋" w:cs="Times New Roman"/>
          <w:color w:val="000000" w:themeColor="text1"/>
          <w:sz w:val="24"/>
          <w:szCs w:val="24"/>
          <w:lang w:val="en-US" w:eastAsia="zh-CN" w:bidi="ar-SA"/>
        </w:rPr>
        <w:t>聚焦跨学科创课、实施、评价与教师发展全流程，实现教学与教师成长全场景智能化赋能</w:t>
      </w:r>
      <w:r>
        <w:rPr>
          <w:rFonts w:hint="eastAsia" w:ascii="FangSong" w:hAnsi="FangSong" w:eastAsia="FangSong" w:cs="FangSong"/>
        </w:rPr>
        <w:t>，具体功能闭环如下：</w:t>
      </w:r>
    </w:p>
    <w:p w14:paraId="0ED0E55E">
      <w:pPr>
        <w:pStyle w:val="24"/>
        <w:keepNext w:val="0"/>
        <w:keepLines w:val="0"/>
        <w:pageBreakBefore w:val="0"/>
        <w:widowControl/>
        <w:numPr>
          <w:ilvl w:val="0"/>
          <w:numId w:val="2"/>
        </w:numPr>
        <w:kinsoku/>
        <w:wordWrap/>
        <w:overflowPunct/>
        <w:topLinePunct w:val="0"/>
        <w:autoSpaceDE/>
        <w:autoSpaceDN/>
        <w:bidi w:val="0"/>
        <w:adjustRightInd/>
        <w:snapToGrid/>
        <w:spacing w:line="440" w:lineRule="exact"/>
        <w:ind w:left="360" w:leftChars="0"/>
        <w:textAlignment w:val="auto"/>
        <w:rPr>
          <w:rFonts w:hint="eastAsia" w:ascii="FangSong" w:hAnsi="FangSong" w:eastAsia="FangSong" w:cs="FangSong"/>
        </w:rPr>
      </w:pPr>
      <w:r>
        <w:rPr>
          <w:rFonts w:hint="eastAsia" w:ascii="FangSong" w:hAnsi="FangSong" w:eastAsia="FangSong" w:cs="FangSong"/>
        </w:rPr>
        <w:t>备课：跨学科课程与资源生成</w:t>
      </w:r>
    </w:p>
    <w:p w14:paraId="4BAAE298">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Times New Roman" w:hAnsi="Times New Roman" w:eastAsia="仿宋" w:cs="Times New Roman"/>
          <w:color w:val="000000" w:themeColor="text1"/>
        </w:rPr>
      </w:pPr>
      <w:r>
        <w:rPr>
          <w:rFonts w:hint="eastAsia" w:ascii="Times New Roman" w:hAnsi="Times New Roman" w:eastAsia="仿宋" w:cs="Times New Roman"/>
          <w:color w:val="000000" w:themeColor="text1"/>
        </w:rPr>
        <w:t>互动课件制作：教师可上传本地演示文稿或制作在线互动课件，围绕跨学科大概念与驱动性问题组织课程结构，嵌入跨学科探究工具箱、随堂测验等内容，高效完成课前备课。</w:t>
      </w:r>
    </w:p>
    <w:p w14:paraId="0710112C">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Times New Roman" w:hAnsi="Times New Roman" w:eastAsia="仿宋" w:cs="Times New Roman"/>
          <w:color w:val="000000" w:themeColor="text1"/>
        </w:rPr>
      </w:pPr>
      <w:r>
        <w:rPr>
          <w:rFonts w:hint="eastAsia" w:ascii="Times New Roman" w:hAnsi="Times New Roman" w:eastAsia="仿宋" w:cs="Times New Roman"/>
          <w:color w:val="000000" w:themeColor="text1"/>
        </w:rPr>
        <w:t>AI赋能学科工具/应用制作：教师通过AI智能体的自然语言描述，生成交互式网页互动工具，或辅助生成AI智能体、工作流，为跨学科课堂教学做好充分准备。</w:t>
      </w:r>
    </w:p>
    <w:p w14:paraId="26350869">
      <w:pPr>
        <w:pStyle w:val="24"/>
        <w:keepNext w:val="0"/>
        <w:keepLines w:val="0"/>
        <w:pageBreakBefore w:val="0"/>
        <w:widowControl/>
        <w:numPr>
          <w:ilvl w:val="0"/>
          <w:numId w:val="3"/>
        </w:numPr>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上课：全场景数据融通</w:t>
      </w:r>
    </w:p>
    <w:p w14:paraId="00B1B33B">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Times New Roman" w:hAnsi="Times New Roman" w:eastAsia="仿宋" w:cs="Times New Roman"/>
          <w:color w:val="C00000"/>
        </w:rPr>
      </w:pPr>
      <w:r>
        <w:rPr>
          <w:rFonts w:hint="eastAsia" w:ascii="Times New Roman" w:hAnsi="Times New Roman" w:eastAsia="仿宋" w:cs="Times New Roman"/>
          <w:color w:val="C00000"/>
        </w:rPr>
        <w:t>一键入课与跟随：学生打开平板登录个人账号，自动显示当日课程列表，可一键进入课堂；课件同步至学生平板，支持学生标记重点、存疑留痕。</w:t>
      </w:r>
    </w:p>
    <w:p w14:paraId="4FF18B20">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Times New Roman" w:hAnsi="Times New Roman" w:eastAsia="仿宋" w:cs="Times New Roman"/>
          <w:color w:val="000000" w:themeColor="text1"/>
        </w:rPr>
      </w:pPr>
      <w:r>
        <w:rPr>
          <w:rFonts w:hint="eastAsia" w:ascii="Times New Roman" w:hAnsi="Times New Roman" w:eastAsia="仿宋" w:cs="Times New Roman"/>
          <w:color w:val="000000" w:themeColor="text1"/>
        </w:rPr>
        <w:t>双向实时互动：教师通过大屏发起提问、投票、随堂练习、跨学科探究工具协作，学生平板端即时接收并反馈，数据实时汇总至大屏，生成即时学情报告。</w:t>
      </w:r>
    </w:p>
    <w:p w14:paraId="7AC0DAAC">
      <w:pPr>
        <w:pStyle w:val="24"/>
        <w:keepNext w:val="0"/>
        <w:keepLines w:val="0"/>
        <w:pageBreakBefore w:val="0"/>
        <w:widowControl/>
        <w:numPr>
          <w:ilvl w:val="0"/>
          <w:numId w:val="4"/>
        </w:numPr>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作业与评价：数据驱动精准</w:t>
      </w:r>
    </w:p>
    <w:p w14:paraId="211E5BF1">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Times New Roman" w:hAnsi="Times New Roman" w:eastAsia="仿宋" w:cs="Times New Roman"/>
          <w:color w:val="000000" w:themeColor="text1"/>
        </w:rPr>
      </w:pPr>
      <w:r>
        <w:rPr>
          <w:rFonts w:hint="eastAsia" w:ascii="Times New Roman" w:hAnsi="Times New Roman" w:eastAsia="仿宋" w:cs="Times New Roman"/>
          <w:color w:val="000000" w:themeColor="text1"/>
        </w:rPr>
        <w:t>作业留痕：学生通过平板完成并提交作业，客观题自动批改，主观题拍照上传留痕，全程记录作业完成过程。</w:t>
      </w:r>
    </w:p>
    <w:p w14:paraId="0D60C353">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Times New Roman" w:hAnsi="Times New Roman" w:eastAsia="仿宋" w:cs="Times New Roman"/>
          <w:color w:val="000000" w:themeColor="text1"/>
        </w:rPr>
        <w:t>AI处理与分析：学科智能体全程采集、分析学生提交的数据，结合跨学科素养多维评价量规，识别共性错题与个性薄弱点。</w:t>
      </w:r>
    </w:p>
    <w:p w14:paraId="59E6D974">
      <w:pPr>
        <w:pStyle w:val="24"/>
        <w:keepNext w:val="0"/>
        <w:keepLines w:val="0"/>
        <w:pageBreakBefore w:val="0"/>
        <w:widowControl/>
        <w:numPr>
          <w:ilvl w:val="0"/>
          <w:numId w:val="5"/>
        </w:numPr>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教师发展：跨学科教学能力持续提升</w:t>
      </w:r>
    </w:p>
    <w:p w14:paraId="6A065595">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Times New Roman" w:hAnsi="Times New Roman" w:eastAsia="仿宋" w:cs="Times New Roman"/>
          <w:color w:val="000000" w:themeColor="text1"/>
        </w:rPr>
      </w:pPr>
      <w:r>
        <w:rPr>
          <w:rFonts w:hint="eastAsia" w:ascii="Times New Roman" w:hAnsi="Times New Roman" w:eastAsia="仿宋" w:cs="Times New Roman"/>
          <w:color w:val="000000" w:themeColor="text1"/>
        </w:rPr>
        <w:t>教师可通过学习资源系统掌握跨学科教学方法与AI教学能力，运用教案工坊按C-POTE六步法创作教案，并通过AI模拟练习巩固课堂引导技巧；教案与学习成果可为课堂教学提供参考和素材。</w:t>
      </w:r>
    </w:p>
    <w:p w14:paraId="3FCB9674">
      <w:pPr>
        <w:pStyle w:val="24"/>
        <w:keepNext w:val="0"/>
        <w:keepLines w:val="0"/>
        <w:pageBreakBefore w:val="0"/>
        <w:widowControl/>
        <w:numPr>
          <w:ilvl w:val="0"/>
          <w:numId w:val="6"/>
        </w:numPr>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设计亮点</w:t>
      </w:r>
    </w:p>
    <w:p w14:paraId="45143E64">
      <w:pPr>
        <w:pStyle w:val="24"/>
        <w:keepNext w:val="0"/>
        <w:keepLines w:val="0"/>
        <w:pageBreakBefore w:val="0"/>
        <w:widowControl/>
        <w:numPr>
          <w:ilvl w:val="0"/>
          <w:numId w:val="7"/>
        </w:numPr>
        <w:kinsoku/>
        <w:wordWrap/>
        <w:overflowPunct/>
        <w:topLinePunct w:val="0"/>
        <w:autoSpaceDE/>
        <w:autoSpaceDN/>
        <w:bidi w:val="0"/>
        <w:adjustRightInd/>
        <w:snapToGrid/>
        <w:spacing w:line="440" w:lineRule="exact"/>
        <w:ind w:left="360" w:leftChars="0"/>
        <w:textAlignment w:val="auto"/>
        <w:rPr>
          <w:rFonts w:hint="eastAsia" w:ascii="FangSong" w:hAnsi="FangSong" w:eastAsia="FangSong" w:cs="FangSong"/>
        </w:rPr>
      </w:pPr>
      <w:r>
        <w:rPr>
          <w:rFonts w:hint="eastAsia" w:ascii="FangSong" w:hAnsi="FangSong" w:eastAsia="FangSong" w:cs="FangSong"/>
        </w:rPr>
        <w:t>无缝衔接传统教学，低门槛构建跨学科互动资源</w:t>
      </w:r>
    </w:p>
    <w:p w14:paraId="57A06767">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系统设计符合教师既有教学习惯，采用所见即所得的可视化编辑方式，教师无需改变原有备课流程即可快速创建围绕跨学科大概念组织的互动课件。传统PPT讲授、板书演示、纸质练习等环节可无缝转化为线上互动工具，覆盖课堂各环节，教师仅需拖拽操作即可完成资源搭建，无需学习复杂技术或改变教学设计思路。系统支持渐进式使用：初期使用简单互动工具收集反馈，熟练后逐步嵌入跨学科探究工具、AI应用、交互网页等高阶功能。这种低起点、可进阶的设计降低技术焦虑，让教师将精力聚焦于跨学科教学设计本身，在保持教学主导权的同时，自然积累数字化互动教学资源。</w:t>
      </w:r>
    </w:p>
    <w:p w14:paraId="5CD788CE">
      <w:pPr>
        <w:pStyle w:val="24"/>
        <w:keepNext w:val="0"/>
        <w:keepLines w:val="0"/>
        <w:pageBreakBefore w:val="0"/>
        <w:widowControl/>
        <w:numPr>
          <w:ilvl w:val="0"/>
          <w:numId w:val="7"/>
        </w:numPr>
        <w:kinsoku/>
        <w:wordWrap/>
        <w:overflowPunct/>
        <w:topLinePunct w:val="0"/>
        <w:autoSpaceDE/>
        <w:autoSpaceDN/>
        <w:bidi w:val="0"/>
        <w:adjustRightInd/>
        <w:snapToGrid/>
        <w:spacing w:line="440" w:lineRule="exact"/>
        <w:ind w:left="360" w:leftChars="0" w:firstLine="0" w:firstLineChars="0"/>
        <w:textAlignment w:val="auto"/>
        <w:rPr>
          <w:rFonts w:hint="eastAsia" w:ascii="FangSong" w:hAnsi="FangSong" w:eastAsia="FangSong" w:cs="FangSong"/>
        </w:rPr>
      </w:pPr>
      <w:r>
        <w:rPr>
          <w:rFonts w:hint="eastAsia" w:ascii="FangSong" w:hAnsi="FangSong" w:eastAsia="FangSong" w:cs="FangSong"/>
        </w:rPr>
        <w:t>AI深度融入教学，智能应用重构跨学科课堂体验</w:t>
      </w:r>
    </w:p>
    <w:p w14:paraId="313E5BF6">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系统打通AI应用生态，支持教师将外部AI智能体或工作流无缝嵌入课件，实现AI对跨学科教学全流程的深度赋能。教师可嵌入AI生成的H5互动应用，为抽象的跨学科概念提供可视化、可操作的学习载体；可绑定AI导师智能体，为学生提供24小时在线答疑与跨学科学习路径规划；可接入AI反馈工作流，自动批阅学生的开放性跨学科探究问答并生成个性化改进建议。系统支持将AI作为融入教学情境的智能伙伴，将教师从重复性劳动中解放，更专注于启发引导与情感支持。</w:t>
      </w:r>
    </w:p>
    <w:p w14:paraId="1E248FA3">
      <w:pPr>
        <w:pStyle w:val="24"/>
        <w:keepNext w:val="0"/>
        <w:keepLines w:val="0"/>
        <w:pageBreakBefore w:val="0"/>
        <w:widowControl/>
        <w:numPr>
          <w:ilvl w:val="0"/>
          <w:numId w:val="7"/>
        </w:numPr>
        <w:kinsoku/>
        <w:wordWrap/>
        <w:overflowPunct/>
        <w:topLinePunct w:val="0"/>
        <w:autoSpaceDE/>
        <w:autoSpaceDN/>
        <w:bidi w:val="0"/>
        <w:adjustRightInd/>
        <w:snapToGrid/>
        <w:spacing w:line="440" w:lineRule="exact"/>
        <w:ind w:left="360" w:leftChars="0" w:firstLine="0" w:firstLineChars="0"/>
        <w:textAlignment w:val="auto"/>
        <w:rPr>
          <w:rFonts w:hint="eastAsia" w:ascii="FangSong" w:hAnsi="FangSong" w:eastAsia="FangSong" w:cs="FangSong"/>
        </w:rPr>
      </w:pPr>
      <w:r>
        <w:rPr>
          <w:rFonts w:hint="eastAsia" w:ascii="FangSong" w:hAnsi="FangSong" w:eastAsia="FangSong" w:cs="FangSong"/>
        </w:rPr>
        <w:t>教学能力提升与课堂应用相互呼应</w:t>
      </w:r>
    </w:p>
    <w:p w14:paraId="395D5094">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教师在学习资源、AI模拟练习与线下工作坊中积累的跨学科教学方法与AI教学经验，能够为课堂教学提供参考和素材来源；反过来，课堂教学中的真实需求也会持续影响学习资源的选题方向。具体的联动机制仍在探索中，会结合实际使用情况逐步完善。</w:t>
      </w:r>
    </w:p>
    <w:p w14:paraId="6F329621">
      <w:pPr>
        <w:keepNext w:val="0"/>
        <w:keepLines w:val="0"/>
        <w:pageBreakBefore w:val="0"/>
        <w:widowControl/>
        <w:numPr>
          <w:ilvl w:val="0"/>
          <w:numId w:val="0"/>
        </w:numPr>
        <w:kinsoku/>
        <w:wordWrap/>
        <w:overflowPunct/>
        <w:topLinePunct w:val="0"/>
        <w:autoSpaceDE/>
        <w:autoSpaceDN/>
        <w:bidi w:val="0"/>
        <w:adjustRightInd/>
        <w:snapToGrid/>
        <w:spacing w:line="440" w:lineRule="exact"/>
        <w:textAlignment w:val="auto"/>
        <w:rPr>
          <w:rFonts w:hint="eastAsia" w:ascii="FangSong" w:hAnsi="FangSong" w:eastAsia="FangSong" w:cs="FangSong"/>
        </w:rPr>
      </w:pPr>
    </w:p>
    <w:p w14:paraId="1FB032F8">
      <w:pPr>
        <w:pStyle w:val="24"/>
        <w:keepNext w:val="0"/>
        <w:keepLines w:val="0"/>
        <w:pageBreakBefore w:val="0"/>
        <w:widowControl/>
        <w:numPr>
          <w:ilvl w:val="0"/>
          <w:numId w:val="1"/>
        </w:numPr>
        <w:kinsoku/>
        <w:wordWrap/>
        <w:overflowPunct/>
        <w:topLinePunct w:val="0"/>
        <w:autoSpaceDE/>
        <w:autoSpaceDN/>
        <w:bidi w:val="0"/>
        <w:adjustRightInd/>
        <w:snapToGrid/>
        <w:spacing w:line="440" w:lineRule="exact"/>
        <w:ind w:left="0" w:leftChars="0" w:firstLine="0" w:firstLineChars="0"/>
        <w:textAlignment w:val="auto"/>
        <w:rPr>
          <w:rFonts w:hint="eastAsia" w:ascii="FangSong" w:hAnsi="FangSong" w:eastAsia="FangSong" w:cs="FangSong"/>
          <w:b/>
          <w:bCs/>
        </w:rPr>
      </w:pPr>
      <w:r>
        <w:rPr>
          <w:rFonts w:hint="eastAsia" w:ascii="FangSong" w:hAnsi="FangSong" w:eastAsia="FangSong" w:cs="FangSong"/>
          <w:b/>
          <w:bCs/>
        </w:rPr>
        <w:t>功能详述</w:t>
      </w:r>
    </w:p>
    <w:p w14:paraId="38A42ACE">
      <w:pPr>
        <w:keepNext w:val="0"/>
        <w:keepLines w:val="0"/>
        <w:pageBreakBefore w:val="0"/>
        <w:widowControl/>
        <w:numPr>
          <w:ilvl w:val="0"/>
          <w:numId w:val="0"/>
        </w:numPr>
        <w:kinsoku/>
        <w:wordWrap/>
        <w:overflowPunct/>
        <w:topLinePunct w:val="0"/>
        <w:autoSpaceDE/>
        <w:autoSpaceDN/>
        <w:bidi w:val="0"/>
        <w:adjustRightInd/>
        <w:snapToGrid/>
        <w:spacing w:line="440" w:lineRule="exact"/>
        <w:ind w:left="360" w:leftChars="0"/>
        <w:textAlignment w:val="auto"/>
        <w:rPr>
          <w:rFonts w:hint="eastAsia" w:ascii="FangSong" w:hAnsi="FangSong" w:eastAsia="FangSong" w:cs="FangSong"/>
        </w:rPr>
      </w:pPr>
      <w:r>
        <w:rPr>
          <w:rFonts w:hint="default" w:ascii="FangSong" w:hAnsi="FangSong" w:eastAsia="FangSong" w:cs="FangSong"/>
          <w:lang w:val="en-US"/>
        </w:rPr>
        <w:t>1.</w:t>
      </w:r>
      <w:r>
        <w:rPr>
          <w:rFonts w:hint="eastAsia" w:ascii="FangSong" w:hAnsi="FangSong" w:eastAsia="FangSong" w:cs="FangSong"/>
        </w:rPr>
        <w:t>智能备课创课</w:t>
      </w:r>
    </w:p>
    <w:p w14:paraId="54FDA759">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智能备课创作平台为教师提供在线互动课件的创作工具，支持互动工具编辑，并通过嵌入AI应用与H5网页重构课堂体验。</w:t>
      </w:r>
    </w:p>
    <w:p w14:paraId="7F9DC589">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平台支持新建空白在线课件或从本地上传文件以创建在线课件。支持复制、删除操作。支持课件分享链接生成，支持查看课程。</w:t>
      </w:r>
    </w:p>
    <w:p w14:paraId="09EE2A5F">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平台支持通过左侧大纲面板查看课件页面结构。支持底部大纲横向滚动视图，支持页面拖拽排序与页面间快速跳转。支持页面新建、复制、删除操作。支持页面分组功能，支持折叠/展开与拖拽调整分组顺序。支持标准画布编辑页面；支持将互动工具拖拽至画布，自由调整位置与尺寸。支持左侧一级菜单和二级配置面板进行内容编辑。平台支持上传或引用视频、音频、文档至互动课件。</w:t>
      </w:r>
    </w:p>
    <w:p w14:paraId="3EED1264">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平台支持选择、填空、简答、排序、投票、抽认卡、白板、拍照、AI智能体创作空间等互动工具。选择题支持单选/多选，设置正确答案，支持调用AI生成解析，配置学生查看结果权限，支持图片选项。填空题支持单空/多空，设置正确答案，支持模糊匹配。问答题支持开放文本输入，可设置评价标准供AI评分。排序题支持拖拽排序，设置正确顺序，支持文字/图片排序项。投票支持单选/多选投票，实时显示结果柱状图，支持匿名/实名切换。抽认卡支持正反面文字/图片，学生标注掌握程度。白板支持自由绘画、文字输入、图片插入，提供页面细节调节。拍照支持调用设备摄像头拍照上传。AI智能体创作空间提供无代码化的智能体与工作流创建工具，支持拖拽组件构建AI应用。</w:t>
      </w:r>
    </w:p>
    <w:p w14:paraId="13A2A664">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围绕跨学科教学场景，画布提供”跨学科工具箱”分类，与上述互动工具并列，教师可像使用选择题、投票一样直接拖拽以下六类工具至课件页面：问题树（构建核心问题与子问题的层级结构，支持标记重点问题）、维恩图（2圆/3圆模式，分析概念间的共性与差异）、科学观察记录（观察对象、观察记录、数据测量、分析思考、结论总结五段式结构，支持图片留痕）、六顶思考帽（六种思维角度切换引导）、SCAMPER创新法（替代、合并、调整、修改、他用、消除、重组七维度引导创新思考）、项目展示板（核心问题、实施过程、解决方案、数据展示、反思总结五板块的成果海报）。每个工具均支持个人版与小组版两种模式，小组版可显示组内成员分工。工具在教师端预览时呈现完整交互效果，添加至课件后学生可在自己的终端上直接使用工具进行输入、编辑与保存，实现跨学科探究方法与课堂互动的无缝融合。</w:t>
      </w:r>
    </w:p>
    <w:p w14:paraId="55173057">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平台支持通过文件上传、粘贴代码、调用网页中心，嵌入HTML网页。支持链接至智能代码生成平台，通过对话智能生成、调试、发布、链接交互网页至互动课件。平台同时支持调用应用中心嵌入AI智能体或工作流。支持链接至智能应用创作平台，编辑智能体或工作流的大语言模型、提示词、知识库、智能体工具、交互方式、输入输出组件、逻辑组件、应用形态等，从而通过创建、调试、发布、链接的流程将AI智能体或工作流应用至互动课件。</w:t>
      </w:r>
    </w:p>
    <w:p w14:paraId="06F5B68D">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平台支持开启/关闭AI助手功能；支持设置学生学段；支持选择AI支持等级：Level 1（苏格拉底式引导）：通过追问引导学生自主思考，不直接给答案；Level 2（脚手架式支持）：提供思路框架与关键提示，不替代学生完成任务（默认推荐）；Level 3（示范式讲解）：提供完整示例与详细解析，帮助学生理解并模仿。同时，为匹配学科需求，支持自动加载对应学段学科的专用AI智能体。</w:t>
      </w:r>
    </w:p>
    <w:p w14:paraId="2B36A7E1">
      <w:pPr>
        <w:pStyle w:val="24"/>
        <w:keepNext w:val="0"/>
        <w:keepLines w:val="0"/>
        <w:pageBreakBefore w:val="0"/>
        <w:widowControl/>
        <w:numPr>
          <w:ilvl w:val="0"/>
          <w:numId w:val="8"/>
        </w:numPr>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实时互动教学</w:t>
      </w:r>
    </w:p>
    <w:p w14:paraId="6CB94123">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实时互动教学支持师生多终端实时协同，实现课堂互动数据即时采集，提供学生作品展示、AI助手监控、权限设置等功能，并能够生成课程的总结性分析报告。</w:t>
      </w:r>
    </w:p>
    <w:p w14:paraId="38D8A43B">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支持教师端以三栏式布局进行课程组织管理，包括左侧大纲面板、中央显示区、右侧AI对话面板。支持通过左侧大纲或底部翻页按钮切换页面。支持点击跨页面跳转。支持实时获取工具的提交结果，并显示提交人数，支持点击查看未提交学生名单，支持以倒计时设置提交截止时间。</w:t>
      </w:r>
    </w:p>
    <w:p w14:paraId="6F8CDF56">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支持对应工具设置不同的结果展示权限：全局展示控制支持以顶部栏设置学生提交结果的展示开关，开启按钮支持学生实时查看统计结果，关闭按钮则学生端隐藏结果，支持通过按钮一键控制所有工具并同步至学生端。单工具展示控制支持工具结果页面独立控制展示开关，单独关闭某个工具的结果展示。</w:t>
      </w:r>
    </w:p>
    <w:p w14:paraId="29192170">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支持不同工具进行不同的结果展示。选择/投票等支持以柱状图或饼图，显示各选项人数与占比，投票工具支持匿名/实名切换查看结果。问答/白板/拍照/交互网页支持以回答卡片瀑布流展示学生作品，支持放大、点赞、投屏讲解优秀作品，问答工具支持词云查看。排序/填空支持显示正误答案，填空工具支持教师手动一键切换正误判断。抽认卡支持以柱状图显示学生标注的学习进度分布统计。跨学科工具箱中的问题树、维恩图、科学观察记录、SCAMPER、项目展示板等支持以全班合集视图查看各小组或个人的产出，教师可选取优秀作品投屏讲解。系统支持于工具结果展示页面生成AI智能总结，汇总当前学生整体表现，对应生成具体教学改进建议。支持展开右侧AI对话面板，支持通过对话进行课程内容解析、学生数据洞察、教学策略建议、个体学生诊断，支持生成可视化图表展示学生表现。</w:t>
      </w:r>
    </w:p>
    <w:p w14:paraId="4E312180">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对于AI应用，系统支持智能化的结果展示和分析。支持实时显示所有参与者在智能应用某节点内的对话内容和操作时间记录，提供完整的行为轨迹追踪。支持多维度数据采集，包括停留时间、交互频次和回答内容等关键指标。支持对于节点对话内容和操作时间记录进行参与者状态分析，通过表情符号快捷标记节点状态，以显示参与者的理解程度和参与质量。支持基于参与者表现数据（对话内容、操作时间记录、进展情况）进行综合分析，生成个性化的学习表现总结。支持AI智能分组功能，根据学习表现或学习进展进行学生自动分组。支持分组策略自定义，包括表现分组、进展分组等多种模式。</w:t>
      </w:r>
    </w:p>
    <w:p w14:paraId="3C31D4AD">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在完成课程教学后，结合数据记录，生成课程的分析报告，包括：课程概况以数据卡片显示课程出勤率、提交率、正确率、AI助手对话次数、学生交互次数；学生表现依据答题结果、AI对话记录、作品质量综合评估学生分层，输出学生优秀、良好、需提升三个表现分层；优势与问题分析依据综合表现输出学生在概念理解、思维发展、知识迁移、问题解决等跨学科素养维度的优势与不足；教学建议依据综合表现，结合课程内容和设置输出具体的建议主题和措施，以支持教师教学改进；学生详情以工具表现、完成时间、AI轮次，汇总所有学生在所有工具的详细表现；工具分析以工具名称、工具表现、完成人数、平均完成时间、平均AI轮次、智能总结，汇总工具视角的详细表现。报告可单独导出，或调用AI对话进一步解析报告内容。</w:t>
      </w:r>
    </w:p>
    <w:p w14:paraId="29BEA51F">
      <w:pPr>
        <w:pStyle w:val="24"/>
        <w:keepNext w:val="0"/>
        <w:keepLines w:val="0"/>
        <w:pageBreakBefore w:val="0"/>
        <w:widowControl/>
        <w:numPr>
          <w:ilvl w:val="0"/>
          <w:numId w:val="9"/>
        </w:numPr>
        <w:kinsoku/>
        <w:wordWrap/>
        <w:overflowPunct/>
        <w:topLinePunct w:val="0"/>
        <w:autoSpaceDE/>
        <w:autoSpaceDN/>
        <w:bidi w:val="0"/>
        <w:adjustRightInd/>
        <w:snapToGrid/>
        <w:spacing w:line="440" w:lineRule="exact"/>
        <w:textAlignment w:val="auto"/>
        <w:rPr>
          <w:rFonts w:hint="eastAsia" w:ascii="FangSong" w:hAnsi="FangSong" w:eastAsia="FangSong" w:cs="FangSong"/>
          <w:color w:val="C00000"/>
        </w:rPr>
      </w:pPr>
      <w:r>
        <w:rPr>
          <w:rFonts w:hint="eastAsia" w:ascii="FangSong" w:hAnsi="FangSong" w:eastAsia="FangSong" w:cs="FangSong"/>
          <w:color w:val="C00000"/>
        </w:rPr>
        <w:t>教育数智看板</w:t>
      </w:r>
      <w:r>
        <w:rPr>
          <w:rFonts w:hint="eastAsia" w:ascii="FangSong" w:hAnsi="FangSong" w:eastAsia="FangSong" w:cs="FangSong"/>
          <w:color w:val="C00000"/>
          <w:lang w:eastAsia="zh-CN"/>
        </w:rPr>
        <w:t>【</w:t>
      </w:r>
      <w:r>
        <w:rPr>
          <w:rFonts w:hint="eastAsia" w:ascii="FangSong" w:hAnsi="FangSong" w:eastAsia="FangSong" w:cs="FangSong"/>
          <w:color w:val="C00000"/>
          <w:lang w:val="en-US" w:eastAsia="zh-CN"/>
        </w:rPr>
        <w:t>8月底之前能交付到啥程度，8月份之后的不写</w:t>
      </w:r>
      <w:r>
        <w:rPr>
          <w:rFonts w:hint="eastAsia" w:ascii="FangSong" w:hAnsi="FangSong" w:eastAsia="FangSong" w:cs="FangSong"/>
          <w:color w:val="C00000"/>
          <w:lang w:eastAsia="zh-CN"/>
        </w:rPr>
        <w:t>】</w:t>
      </w:r>
    </w:p>
    <w:p w14:paraId="51D7C4DB">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教育数智看板为校教育管理者与学校管理员提供多维度、可视化的数据监测与决策支持工具，整合智慧教学一体化平台、智能课堂分析系统的全量数据，通过智能算法生成组织健康度评分、资源建设指数、教学活动热度等综合指标，帮助管理者全面掌握区校跨学科教学信息化应用现状、精准识别优质资源与典型案例、科学评估AI技术融入跨学科教学的实际效果。</w:t>
      </w:r>
    </w:p>
    <w:p w14:paraId="32E180C6">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看板提供数据汇总视图，管理员可查看总体数据的详细指标。核心指标以数字卡片形式呈现教师总数、学生总数、月活跃用户数及月活跃环比，快速传达组织基础规模与活跃趋势。系统自动追踪用户登录行为，生成日活跃趋势双Y轴折线图，按日/周/月维度对比教师与学生的活跃曲线，帮助管理者识别使用高峰与低谷周期。</w:t>
      </w:r>
    </w:p>
    <w:p w14:paraId="15FD58A5">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活跃度分层分析将用户按使用频次划分为高频、中频、低频三类，通过环形饼图展示各类用户数量占比，管理者可快速定位深度用户群体与待激活用户群体。系统进一步提供使用时长分布统计，支持按学科、年级维度筛选查看教师与学生的平台使用时长，以分组柱状图呈现不同群体的使用差异，为资源投入与培训重点提供数据参考。</w:t>
      </w:r>
    </w:p>
    <w:p w14:paraId="778DD3FF">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组织健康度指数是平台的核心综合评分指标，由综合活跃指数、资源建设指数、应用深度指数三大维度加权计算。综合活跃指数反映月活跃用户占总用户的比例；资源建设指数综合评估AI应用丰富度、跨学科课程资源丰富度；应用深度指数衡量AI应用使用深度与课堂AI融合深度。系统以仪表盘指针图呈现总分，并通过进度条展示各维度得分明细，管理者可直观判断组织在用户活跃、资源积累、技术融合三方面的均衡程度，针对性制定改进策略。</w:t>
      </w:r>
    </w:p>
    <w:p w14:paraId="044DB505">
      <w:pPr>
        <w:pStyle w:val="24"/>
        <w:keepNext w:val="0"/>
        <w:keepLines w:val="0"/>
        <w:pageBreakBefore w:val="0"/>
        <w:widowControl/>
        <w:numPr>
          <w:ilvl w:val="0"/>
          <w:numId w:val="10"/>
        </w:numPr>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教师发展</w:t>
      </w:r>
    </w:p>
    <w:p w14:paraId="27064908">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教师发展面向教师提供跨学科教学与AI教学相关的学习资源，并配合AI模拟练习与线下工作坊，帮助教师持续提升跨学科教学能力。</w:t>
      </w:r>
    </w:p>
    <w:p w14:paraId="0ACBF169">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学习资源覆盖跨学科教学方法与AI教学能力两条主线：跨学科教学方面，包含C-POTE教案设计法、大概念提取、驱动性问题设计、评价前置等方法的讲解、真实课例观摩与可下载使用的教案模板、评价量规；AI教学方面，包含AI工具的合理使用边界、人机协作的课堂组织方式等内容。教师可按学科和教学阶段自行选取学习，也可收藏感兴趣的资源，保留自己整理和创作的教学材料，方便持续查阅使用。</w:t>
      </w:r>
    </w:p>
    <w:p w14:paraId="4AAE41B7">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依托AI智能体能力，平台提供跨学科教学与AI教学的模拟练习场景，教师可在AI模拟的课堂情境中练习引导、追问等教学互动，AI扮演不同认知水平的“虚拟学生”，教师练习后可获得针对性反馈，用于巩固学习资源中讲授的方法。</w:t>
      </w:r>
    </w:p>
    <w:p w14:paraId="4E9CEC60">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平台同时配套面向教师的线下工作坊，围绕跨学科教学设计、AI融入教学等主题开展现场培训与研讨，作为线上自学内容的深化补充，帮助教师在真实教研场景中进一步打磨教学设计。</w:t>
      </w:r>
    </w:p>
    <w:p w14:paraId="511ABF02">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教师在学习资源、模拟练习与工作坊中沉淀的方法与素材，计划与课堂教学环节做进一步衔接，例如探索将教师的学习成果、创作的教学材料更便捷地应用到课堂课件准备中；具体的衔接方式将结合实际教学场景与使用反馈持续验证和优化。</w:t>
      </w:r>
    </w:p>
    <w:p w14:paraId="649382D7">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p>
    <w:p w14:paraId="1C9EBED5">
      <w:pPr>
        <w:pStyle w:val="24"/>
        <w:keepNext w:val="0"/>
        <w:keepLines w:val="0"/>
        <w:pageBreakBefore w:val="0"/>
        <w:widowControl/>
        <w:numPr>
          <w:ilvl w:val="0"/>
          <w:numId w:val="1"/>
        </w:numPr>
        <w:kinsoku/>
        <w:wordWrap/>
        <w:overflowPunct/>
        <w:topLinePunct w:val="0"/>
        <w:autoSpaceDE/>
        <w:autoSpaceDN/>
        <w:bidi w:val="0"/>
        <w:adjustRightInd/>
        <w:snapToGrid/>
        <w:spacing w:line="440" w:lineRule="exact"/>
        <w:ind w:left="0" w:leftChars="0" w:firstLine="0" w:firstLineChars="0"/>
        <w:textAlignment w:val="auto"/>
        <w:rPr>
          <w:rFonts w:hint="eastAsia" w:ascii="FangSong" w:hAnsi="FangSong" w:eastAsia="FangSong" w:cs="FangSong"/>
          <w:b/>
          <w:bCs/>
          <w:color w:val="C00000"/>
        </w:rPr>
      </w:pPr>
      <w:r>
        <w:rPr>
          <w:rFonts w:hint="eastAsia" w:ascii="FangSong" w:hAnsi="FangSong" w:eastAsia="FangSong" w:cs="FangSong"/>
          <w:b/>
          <w:bCs/>
        </w:rPr>
        <w:t>分阶段实施规划</w:t>
      </w:r>
      <w:r>
        <w:rPr>
          <w:rFonts w:hint="eastAsia" w:ascii="FangSong" w:hAnsi="FangSong" w:eastAsia="FangSong" w:cs="FangSong"/>
          <w:b/>
          <w:bCs/>
          <w:color w:val="C00000"/>
          <w:lang w:eastAsia="zh-CN"/>
        </w:rPr>
        <w:t>【</w:t>
      </w:r>
      <w:r>
        <w:rPr>
          <w:rFonts w:hint="eastAsia" w:ascii="FangSong" w:hAnsi="FangSong" w:eastAsia="FangSong" w:cs="FangSong"/>
          <w:b/>
          <w:bCs/>
          <w:color w:val="C00000"/>
          <w:lang w:val="en-US" w:eastAsia="zh-CN"/>
        </w:rPr>
        <w:t>要写成月份为主，8月份底上线之前功能完成，10月底上线</w:t>
      </w:r>
      <w:r>
        <w:rPr>
          <w:rFonts w:hint="eastAsia" w:ascii="FangSong" w:hAnsi="FangSong" w:eastAsia="FangSong" w:cs="FangSong"/>
          <w:b/>
          <w:bCs/>
          <w:color w:val="C00000"/>
          <w:lang w:eastAsia="zh-CN"/>
        </w:rPr>
        <w:t>】</w:t>
      </w:r>
    </w:p>
    <w:p w14:paraId="397D5456">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围绕创课模块的跨学科能力扩展与教师发展模块的整体建设，我们计划分三个阶段推进：</w:t>
      </w:r>
    </w:p>
    <w:p w14:paraId="3DF2F01C">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第一阶段，我们计划在创课模块的课件画布中新增跨学科工具箱，落地问题树、维恩图、科学观察记录、六顶思考帽、SCAMPER、项目展示板六类跨学科探究工具，支持像现有互动工具一样直接拖拽使用，并支持个人版与小组版两种模式；同时着手搭建教师发展模块，整合并扩充现有学习资源内容，理清跨学科教学与AI教学两条内容线，新增AI教学相关的学习</w:t>
      </w:r>
      <w:bookmarkStart w:id="0" w:name="_GoBack"/>
      <w:bookmarkEnd w:id="0"/>
      <w:r>
        <w:rPr>
          <w:rFonts w:hint="eastAsia" w:ascii="FangSong" w:hAnsi="FangSong" w:eastAsia="FangSong" w:cs="FangSong"/>
        </w:rPr>
        <w:t>资源。</w:t>
      </w:r>
    </w:p>
    <w:p w14:paraId="4057B8E7">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第二阶段，我们计划为教师发展模块新增AI模拟练习场景，覆盖跨学科课堂引导、AI教学工具使用等常见教学情境；同时打通学习资源与线下工作坊的内容衔接，形成线上自学与线下深化培训相结合的完整培训节奏；此外将实现教师个人的资源收藏与教案保存功能，方便教师持续查阅和管理自己积累的教学材料。</w:t>
      </w:r>
    </w:p>
    <w:p w14:paraId="5842BCA7">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第三阶段，我们计划探索教师学习成果与课堂教学环节的进一步衔接方式，例如教师在教案工坊中创作的材料向课堂课件的迁移路径；同时结合实际使用数据，持续优化学习资源与AI模拟练习的内容深度与难度分级，并根据教师的使用反馈，评估是否需要进一步扩展知识库检索、教学诊断建议等更深层次的功能。</w:t>
      </w:r>
    </w:p>
    <w:p w14:paraId="033CA600">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p>
    <w:p w14:paraId="11233F96">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color w:val="C00000"/>
          <w:lang w:eastAsia="zh-CN"/>
        </w:rPr>
      </w:pPr>
      <w:r>
        <w:rPr>
          <w:rFonts w:hint="eastAsia" w:ascii="FangSong" w:hAnsi="FangSong" w:eastAsia="FangSong" w:cs="FangSong"/>
          <w:color w:val="C00000"/>
          <w:lang w:eastAsia="zh-CN"/>
        </w:rPr>
        <w:t>【</w:t>
      </w:r>
      <w:r>
        <w:rPr>
          <w:rFonts w:hint="eastAsia" w:ascii="FangSong" w:hAnsi="FangSong" w:eastAsia="FangSong" w:cs="FangSong"/>
          <w:color w:val="C00000"/>
          <w:lang w:val="en-US" w:eastAsia="zh-CN"/>
        </w:rPr>
        <w:t>有的就放，没有的能不放就不放，如果8月份能完成的也可以放。</w:t>
      </w:r>
      <w:r>
        <w:rPr>
          <w:rFonts w:hint="eastAsia" w:ascii="FangSong" w:hAnsi="FangSong" w:eastAsia="FangSong" w:cs="FangSong"/>
          <w:color w:val="C00000"/>
          <w:lang w:eastAsia="zh-CN"/>
        </w:rPr>
        <w:t>】</w:t>
      </w:r>
    </w:p>
    <w:p w14:paraId="10244D6A">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color w:val="C00000"/>
          <w:lang w:eastAsia="zh-CN"/>
        </w:rPr>
      </w:pPr>
    </w:p>
    <w:p w14:paraId="277E4A60">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color w:val="C00000"/>
          <w:lang w:eastAsia="zh-CN"/>
        </w:rPr>
      </w:pPr>
      <w:r>
        <w:rPr>
          <w:rFonts w:hint="eastAsia" w:ascii="FangSong" w:hAnsi="FangSong" w:eastAsia="FangSong" w:cs="FangSong"/>
          <w:color w:val="C00000"/>
          <w:lang w:eastAsia="zh-CN"/>
        </w:rPr>
        <w:t>【</w:t>
      </w:r>
      <w:r>
        <w:rPr>
          <w:rFonts w:hint="eastAsia" w:ascii="FangSong" w:hAnsi="FangSong" w:eastAsia="FangSong" w:cs="FangSong"/>
          <w:color w:val="C00000"/>
          <w:lang w:val="en-US" w:eastAsia="zh-CN"/>
        </w:rPr>
        <w:t>内部版本：讨论最低版本加入小组合作，尽量是一个低成本简单可实现。最低限度的要求，可实现。不一定要协同，只要能以小组为单位来做</w:t>
      </w:r>
      <w:r>
        <w:rPr>
          <w:rFonts w:hint="eastAsia" w:ascii="FangSong" w:hAnsi="FangSong" w:eastAsia="FangSong" w:cs="FangSong"/>
          <w:color w:val="C00000"/>
          <w:lang w:eastAsia="zh-CN"/>
        </w:rPr>
        <w:t>】</w:t>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w:altName w:val="Helvetica Neue"/>
    <w:panose1 w:val="020B0004020202020204"/>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FangSong">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 w:name="仿宋">
    <w:altName w:val="仿宋-简"/>
    <w:panose1 w:val="02010609060101010101"/>
    <w:charset w:val="86"/>
    <w:family w:val="modern"/>
    <w:pitch w:val="default"/>
    <w:sig w:usb0="00000000" w:usb1="00000000" w:usb2="00000016"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3D225A"/>
    <w:multiLevelType w:val="singleLevel"/>
    <w:tmpl w:val="D13D225A"/>
    <w:lvl w:ilvl="0" w:tentative="0">
      <w:start w:val="1"/>
      <w:numFmt w:val="chineseCounting"/>
      <w:suff w:val="nothing"/>
      <w:lvlText w:val="%1、"/>
      <w:lvlJc w:val="left"/>
      <w:pPr>
        <w:ind w:left="0" w:firstLine="0"/>
      </w:pPr>
      <w:rPr>
        <w:rFonts w:hint="eastAsia"/>
      </w:rPr>
    </w:lvl>
  </w:abstractNum>
  <w:abstractNum w:abstractNumId="1">
    <w:nsid w:val="FACD4FB7"/>
    <w:multiLevelType w:val="singleLevel"/>
    <w:tmpl w:val="FACD4FB7"/>
    <w:lvl w:ilvl="0" w:tentative="0">
      <w:start w:val="1"/>
      <w:numFmt w:val="decimal"/>
      <w:suff w:val="space"/>
      <w:lvlText w:val="%1."/>
      <w:lvlJc w:val="left"/>
    </w:lvl>
  </w:abstractNum>
  <w:abstractNum w:abstractNumId="2">
    <w:nsid w:val="FFF7893F"/>
    <w:multiLevelType w:val="singleLevel"/>
    <w:tmpl w:val="FFF7893F"/>
    <w:lvl w:ilvl="0" w:tentative="0">
      <w:start w:val="1"/>
      <w:numFmt w:val="decimal"/>
      <w:suff w:val="space"/>
      <w:lvlText w:val="(%1)"/>
      <w:lvlJc w:val="left"/>
    </w:lvl>
  </w:abstractNum>
  <w:abstractNum w:abstractNumId="3">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4">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5">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6">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num w:numId="1">
    <w:abstractNumId w:val="0"/>
  </w:num>
  <w:num w:numId="2">
    <w:abstractNumId w:val="1"/>
  </w:num>
  <w:num w:numId="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2"/>
  </w:num>
  <w:num w:numId="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033F7434"/>
    <w:rsid w:val="10FB35D8"/>
    <w:rsid w:val="1FBF06D7"/>
    <w:rsid w:val="31FE9297"/>
    <w:rsid w:val="37FE909D"/>
    <w:rsid w:val="3DF766D5"/>
    <w:rsid w:val="3F6BAE68"/>
    <w:rsid w:val="3FBDD889"/>
    <w:rsid w:val="3FDFE82E"/>
    <w:rsid w:val="3FFB5652"/>
    <w:rsid w:val="473F87CA"/>
    <w:rsid w:val="47955F53"/>
    <w:rsid w:val="49DFB9AA"/>
    <w:rsid w:val="4FFF281C"/>
    <w:rsid w:val="539FB38A"/>
    <w:rsid w:val="53EFE347"/>
    <w:rsid w:val="5BFDD08A"/>
    <w:rsid w:val="5DAF610C"/>
    <w:rsid w:val="5DDF273A"/>
    <w:rsid w:val="5FA36A0B"/>
    <w:rsid w:val="5FB76FCA"/>
    <w:rsid w:val="5FDB3C7C"/>
    <w:rsid w:val="65FA9598"/>
    <w:rsid w:val="6B7F3BD0"/>
    <w:rsid w:val="6CFFCD7A"/>
    <w:rsid w:val="6DDFE3E1"/>
    <w:rsid w:val="6DF68CEC"/>
    <w:rsid w:val="6E4B90E4"/>
    <w:rsid w:val="6F6B4441"/>
    <w:rsid w:val="6F8EF56B"/>
    <w:rsid w:val="76BDA799"/>
    <w:rsid w:val="76FFA87C"/>
    <w:rsid w:val="777E4238"/>
    <w:rsid w:val="777F81BF"/>
    <w:rsid w:val="77BD1ACC"/>
    <w:rsid w:val="77BEC4C7"/>
    <w:rsid w:val="77DFE08C"/>
    <w:rsid w:val="79DDC081"/>
    <w:rsid w:val="79FABD62"/>
    <w:rsid w:val="7A6750A7"/>
    <w:rsid w:val="7AB9AB29"/>
    <w:rsid w:val="7AFD1149"/>
    <w:rsid w:val="7BDF3E4E"/>
    <w:rsid w:val="7BF7B0FC"/>
    <w:rsid w:val="7BFDEBDD"/>
    <w:rsid w:val="7CFF3939"/>
    <w:rsid w:val="7D7764BE"/>
    <w:rsid w:val="7DE5752D"/>
    <w:rsid w:val="7DFF0A21"/>
    <w:rsid w:val="7EBFF889"/>
    <w:rsid w:val="7EE72464"/>
    <w:rsid w:val="7EEB4050"/>
    <w:rsid w:val="7EF75712"/>
    <w:rsid w:val="7F0BEEAC"/>
    <w:rsid w:val="7F6F68E0"/>
    <w:rsid w:val="7F79CC17"/>
    <w:rsid w:val="7F9BC942"/>
    <w:rsid w:val="7FA7F6B3"/>
    <w:rsid w:val="7FB68636"/>
    <w:rsid w:val="7FD79DD9"/>
    <w:rsid w:val="7FDFA99F"/>
    <w:rsid w:val="7FF75A82"/>
    <w:rsid w:val="7FFCE7E3"/>
    <w:rsid w:val="9FA76F3F"/>
    <w:rsid w:val="A4FFD0B7"/>
    <w:rsid w:val="A8EFE5EE"/>
    <w:rsid w:val="AFAF74E6"/>
    <w:rsid w:val="AFDB01A7"/>
    <w:rsid w:val="B752B8FC"/>
    <w:rsid w:val="B9BB0809"/>
    <w:rsid w:val="BA5308EB"/>
    <w:rsid w:val="BAC3887C"/>
    <w:rsid w:val="BD799064"/>
    <w:rsid w:val="BEFC0DCF"/>
    <w:rsid w:val="BF573386"/>
    <w:rsid w:val="BF7C92CC"/>
    <w:rsid w:val="BFB5F6B7"/>
    <w:rsid w:val="BFEB1F1D"/>
    <w:rsid w:val="BFFFD981"/>
    <w:rsid w:val="C6FB443C"/>
    <w:rsid w:val="C7BD5A7D"/>
    <w:rsid w:val="CEDBFD74"/>
    <w:rsid w:val="CF3FC70E"/>
    <w:rsid w:val="D7FF066C"/>
    <w:rsid w:val="DBCFCCE8"/>
    <w:rsid w:val="DDDF8DE8"/>
    <w:rsid w:val="DE7F9418"/>
    <w:rsid w:val="DEFF148F"/>
    <w:rsid w:val="DF3DE46C"/>
    <w:rsid w:val="DFB3EC50"/>
    <w:rsid w:val="DFCF342A"/>
    <w:rsid w:val="DFEEA0C8"/>
    <w:rsid w:val="E117D94D"/>
    <w:rsid w:val="E2F78943"/>
    <w:rsid w:val="E976829E"/>
    <w:rsid w:val="EA7D9188"/>
    <w:rsid w:val="EDDD6A87"/>
    <w:rsid w:val="EF5F0E21"/>
    <w:rsid w:val="EFED86A8"/>
    <w:rsid w:val="EFFBBF42"/>
    <w:rsid w:val="F2B30E77"/>
    <w:rsid w:val="F6FF5B19"/>
    <w:rsid w:val="F6FF9A27"/>
    <w:rsid w:val="F7DD0021"/>
    <w:rsid w:val="F7E67127"/>
    <w:rsid w:val="F7EB4E07"/>
    <w:rsid w:val="F7FBF2E2"/>
    <w:rsid w:val="F8DE1037"/>
    <w:rsid w:val="FBAB1698"/>
    <w:rsid w:val="FBBF4A5C"/>
    <w:rsid w:val="FBF70530"/>
    <w:rsid w:val="FD3F1F73"/>
    <w:rsid w:val="FD6F2822"/>
    <w:rsid w:val="FD7DD766"/>
    <w:rsid w:val="FDEFCECF"/>
    <w:rsid w:val="FFA7A92F"/>
    <w:rsid w:val="FFBF1814"/>
    <w:rsid w:val="FFE3CB2C"/>
    <w:rsid w:val="FFE71BEB"/>
    <w:rsid w:val="FFE7D7CC"/>
    <w:rsid w:val="FFF5387D"/>
    <w:rsid w:val="FFF7B2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83</Words>
  <Characters>475</Characters>
  <Lines>12</Lines>
  <Paragraphs>8</Paragraphs>
  <TotalTime>139</TotalTime>
  <ScaleCrop>false</ScaleCrop>
  <LinksUpToDate>false</LinksUpToDate>
  <CharactersWithSpaces>583</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2026-06-30T20:21:00Z</dcterms:created>
  <dc:creator>Lin</dc:creator>
  <cp:lastModifiedBy>Lin</cp:lastModifiedBy>
  <dcterms:modified xsi:type="dcterms:W3CDTF">2026-07-01T05:14:58Z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1033-12.1.26026.26026</vt:lpwstr>
  </property>
  <property fmtid="{D5CDD505-2E9C-101B-9397-08002B2CF9AE}" pid="3" name="ICV">
    <vt:lpwstr>041F9DD005370B2113B3446A725A94F9_42</vt:lpwstr>
  </property>
</Properties>
</file>