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t>TEST CONTENT: This is a test of the paragraph duplication logic.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