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 @</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forward(), </w:t>
            </w:r>
            <w:proofErr w:type="spellStart"/>
            <w:r>
              <w:rPr>
                <w:rFonts w:ascii="Calibri" w:eastAsia="Times New Roman" w:hAnsi="Calibri" w:cs="Calibri"/>
                <w:color w:val="333333"/>
                <w:sz w:val="21"/>
                <w:szCs w:val="21"/>
              </w:rPr>
              <w:t>ensure_object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main(), </w:t>
            </w:r>
            <w:proofErr w:type="spellStart"/>
            <w:r>
              <w:rPr>
                <w:rFonts w:ascii="Calibri" w:eastAsia="Times New Roman" w:hAnsi="Calibri" w:cs="Calibri"/>
                <w:color w:val="333333"/>
                <w:sz w:val="21"/>
                <w:szCs w:val="21"/>
              </w:rPr>
              <w:t>get_help</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add_command</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list_commands</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process_value</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get_default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w:t>
            </w:r>
            <w:proofErr w:type="spellStart"/>
            <w:r>
              <w:rPr>
                <w:rFonts w:ascii="Calibri" w:eastAsia="Times New Roman" w:hAnsi="Calibri" w:cs="Calibri"/>
                <w:color w:val="333333"/>
                <w:sz w:val="21"/>
                <w:szCs w:val="21"/>
              </w:rPr>
              <w:t>cls</w:t>
            </w:r>
            <w:proofErr w:type="spellEnd"/>
            <w:r>
              <w:rPr>
                <w:rFonts w:ascii="Calibri" w:eastAsia="Times New Roman" w:hAnsi="Calibri" w:cs="Calibri"/>
                <w:color w:val="333333"/>
                <w:sz w:val="21"/>
                <w:szCs w:val="21"/>
              </w:rPr>
              <w:t>, help, hidden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click.group</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invoke_without_command</w:t>
            </w:r>
            <w:proofErr w:type="spellEnd"/>
            <w:r>
              <w:rPr>
                <w:rFonts w:ascii="Calibri" w:eastAsia="Times New Roman" w:hAnsi="Calibri" w:cs="Calibri"/>
                <w:color w:val="333333"/>
                <w:sz w:val="21"/>
                <w:szCs w:val="21"/>
              </w:rPr>
              <w:t>, chain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param_decls</w:t>
            </w:r>
            <w:proofErr w:type="spellEnd"/>
            <w:r>
              <w:rPr>
                <w:rFonts w:ascii="Calibri" w:eastAsia="Times New Roman" w:hAnsi="Calibri" w:cs="Calibri"/>
                <w:color w:val="333333"/>
                <w:sz w:val="21"/>
                <w:szCs w:val="21"/>
              </w:rPr>
              <w:t>, type, default, help</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click.argument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type, </w:t>
            </w:r>
            <w:proofErr w:type="spellStart"/>
            <w:r>
              <w:rPr>
                <w:rFonts w:ascii="Calibri" w:eastAsia="Times New Roman" w:hAnsi="Calibri" w:cs="Calibri"/>
                <w:color w:val="333333"/>
                <w:sz w:val="21"/>
                <w:szCs w:val="21"/>
              </w:rPr>
              <w:t>nargs</w:t>
            </w:r>
            <w:proofErr w:type="spellEnd"/>
            <w:r>
              <w:rPr>
                <w:rFonts w:ascii="Calibri" w:eastAsia="Times New Roman" w:hAnsi="Calibri" w:cs="Calibri"/>
                <w:color w:val="333333"/>
                <w:sz w:val="21"/>
                <w:szCs w:val="21"/>
              </w:rPr>
              <w:t>, required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click.pass_context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click.pass_obj</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ClickException</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UsageError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BadParameter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MissingParameter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FileError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click.echo</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click.prompt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click.confirm</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click.style</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str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click.progressbar</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ProgressBar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click.get_current_context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colorama</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Code </w:t>
            </w:r>
            <w:proofErr w:type="spellStart"/>
            <w:r>
              <w:rPr>
                <w:rFonts w:ascii="Calibri" w:eastAsia="Times New Roman" w:hAnsi="Calibri" w:cs="Calibri"/>
                <w:color w:val="333333"/>
                <w:sz w:val="21"/>
                <w:szCs w:val="21"/>
              </w:rPr>
              <w:t>linting</w:t>
            </w:r>
            <w:proofErr w:type="spellEnd"/>
            <w:r>
              <w:rPr>
                <w:rFonts w:ascii="Calibri" w:eastAsia="Times New Roman" w:hAnsi="Calibri" w:cs="Calibri"/>
                <w:color w:val="333333"/>
                <w:sz w:val="21"/>
                <w:szCs w:val="21"/>
              </w:rPr>
              <w:t xml:space="preserve"> and formatting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pytest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mypy</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Git</w:t>
            </w:r>
            <w:proofErr w:type="spellEnd"/>
            <w:r>
              <w:rPr>
                <w:rFonts w:ascii="Calibri" w:eastAsia="Times New Roman" w:hAnsi="Calibri" w:cs="Calibri"/>
                <w:color w:val="333333"/>
                <w:sz w:val="21"/>
                <w:szCs w:val="21"/>
              </w:rPr>
              <w:t xml:space="preserve"> hooks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init</w:t>
            </w:r>
            <w:proofErr w:type="spellEnd"/>
            <w:r>
              <w:rPr>
                <w:rFonts w:ascii="Calibri" w:eastAsia="Times New Roman" w:hAnsi="Calibri" w:cs="Calibri"/>
                <w:color w:val="333333"/>
                <w:sz w:val="21"/>
                <w:szCs w:val="21"/>
              </w:rPr>
              <w: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&gt;1000 </w:t>
            </w:r>
            <w:proofErr w:type="spellStart"/>
            <w:r>
              <w:rPr>
                <w:rFonts w:ascii="Calibri" w:eastAsia="Times New Roman" w:hAnsi="Calibri" w:cs="Calibri"/>
                <w:color w:val="333333"/>
                <w:sz w:val="21"/>
                <w:szCs w:val="21"/>
              </w:rPr>
              <w:t>args</w:t>
            </w:r>
            <w:proofErr w:type="spellEnd"/>
            <w:r>
              <w:rPr>
                <w:rFonts w:ascii="Calibri" w:eastAsia="Times New Roman" w:hAnsi="Calibri" w:cs="Calibri"/>
                <w:color w:val="333333"/>
                <w:sz w:val="21"/>
                <w:szCs w:val="21"/>
              </w:rPr>
              <w:t>/sec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r w:rsidR="001C4889">
              <w:rPr>
                <w:rFonts w:ascii="Calibri" w:eastAsia="Times New Roman" w:hAnsi="Calibri" w:cs="Calibri"/>
                <w:color w:val="333333"/>
                <w:sz w:val="21"/>
                <w:szCs w:val="21"/>
              </w:rPr>
              <w:t>s</w:t>
            </w:r>
            <w:bookmarkStart w:id="0" w:name="_GoBack"/>
            <w:bookmarkEnd w:id="0"/>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PyPI</w:t>
            </w:r>
            <w:proofErr w:type="spellEnd"/>
            <w:r>
              <w:rPr>
                <w:rFonts w:ascii="Calibri" w:eastAsia="Times New Roman" w:hAnsi="Calibri" w:cs="Calibri"/>
                <w:color w:val="333333"/>
                <w:sz w:val="21"/>
                <w:szCs w:val="21"/>
              </w:rPr>
              <w:t xml:space="preserve">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