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</w:t>
      </w:r>
      <w:proofErr w:type="spellStart"/>
      <w:r w:rsidRPr="00754821">
        <w:rPr>
          <w:rFonts w:ascii="Verdana" w:hAnsi="Verdana"/>
          <w:sz w:val="36"/>
        </w:rPr>
        <w:t>BluePayment</w:t>
      </w:r>
      <w:proofErr w:type="spellEnd"/>
      <w:r w:rsidRPr="00754821">
        <w:rPr>
          <w:rFonts w:ascii="Verdana" w:hAnsi="Verdana"/>
          <w:sz w:val="36"/>
        </w:rPr>
        <w:t>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proofErr w:type="spellStart"/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proofErr w:type="spellStart"/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proofErr w:type="spellEnd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</w:t>
            </w:r>
            <w:proofErr w:type="spellStart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76BE29F3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80632C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722BC4E0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1.7.</w:t>
            </w:r>
            <w:r w:rsidR="00B66BE9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7979639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p w14:paraId="7406A905" w14:textId="4E86BFE5" w:rsidR="00C515D2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7979639" w:history="1">
        <w:r w:rsidR="00C515D2" w:rsidRPr="008C354F">
          <w:rPr>
            <w:rStyle w:val="Hipercze"/>
            <w:rFonts w:ascii="Verdana" w:hAnsi="Verdana"/>
            <w:noProof/>
          </w:rPr>
          <w:t>Spis treści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_Toc7979639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2</w:t>
        </w:r>
        <w:r w:rsidR="00C515D2">
          <w:rPr>
            <w:noProof/>
            <w:webHidden/>
          </w:rPr>
          <w:fldChar w:fldCharType="end"/>
        </w:r>
      </w:hyperlink>
    </w:p>
    <w:p w14:paraId="3E8F0F97" w14:textId="1D90FD99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0" w:history="1">
        <w:r w:rsidR="00C515D2" w:rsidRPr="008C354F">
          <w:rPr>
            <w:rStyle w:val="Hipercze"/>
            <w:rFonts w:ascii="Verdana" w:hAnsi="Verdana"/>
            <w:noProof/>
          </w:rPr>
          <w:t>Podstawowe informacje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_Toc7979640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4</w:t>
        </w:r>
        <w:r w:rsidR="00C515D2">
          <w:rPr>
            <w:noProof/>
            <w:webHidden/>
          </w:rPr>
          <w:fldChar w:fldCharType="end"/>
        </w:r>
      </w:hyperlink>
    </w:p>
    <w:p w14:paraId="1155E78E" w14:textId="499752FE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1" w:history="1">
        <w:r w:rsidR="00C515D2" w:rsidRPr="008C354F">
          <w:rPr>
            <w:rStyle w:val="Hipercze"/>
            <w:rFonts w:ascii="Verdana" w:hAnsi="Verdana"/>
            <w:noProof/>
          </w:rPr>
          <w:t>Główne funkcje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_Toc7979641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4</w:t>
        </w:r>
        <w:r w:rsidR="00C515D2">
          <w:rPr>
            <w:noProof/>
            <w:webHidden/>
          </w:rPr>
          <w:fldChar w:fldCharType="end"/>
        </w:r>
      </w:hyperlink>
    </w:p>
    <w:p w14:paraId="27A0E1F1" w14:textId="7DCA4231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2" w:history="1">
        <w:r w:rsidR="00C515D2" w:rsidRPr="008C354F">
          <w:rPr>
            <w:rStyle w:val="Hipercze"/>
            <w:rFonts w:ascii="Verdana" w:hAnsi="Verdana"/>
            <w:noProof/>
          </w:rPr>
          <w:t>Wymagania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_Toc7979642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4</w:t>
        </w:r>
        <w:r w:rsidR="00C515D2">
          <w:rPr>
            <w:noProof/>
            <w:webHidden/>
          </w:rPr>
          <w:fldChar w:fldCharType="end"/>
        </w:r>
      </w:hyperlink>
    </w:p>
    <w:p w14:paraId="6208AC98" w14:textId="30D8735A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3" w:history="1">
        <w:r w:rsidR="00C515D2" w:rsidRPr="008C354F">
          <w:rPr>
            <w:rStyle w:val="Hipercze"/>
            <w:rFonts w:ascii="Verdana" w:hAnsi="Verdana"/>
            <w:noProof/>
          </w:rPr>
          <w:t>Opis zmian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_Toc7979643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4</w:t>
        </w:r>
        <w:r w:rsidR="00C515D2">
          <w:rPr>
            <w:noProof/>
            <w:webHidden/>
          </w:rPr>
          <w:fldChar w:fldCharType="end"/>
        </w:r>
      </w:hyperlink>
    </w:p>
    <w:p w14:paraId="01D23F74" w14:textId="5191EFE8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4" w:history="1">
        <w:r w:rsidR="00C515D2" w:rsidRPr="008C354F">
          <w:rPr>
            <w:rStyle w:val="Hipercze"/>
            <w:rFonts w:ascii="Verdana" w:hAnsi="Verdana"/>
            <w:noProof/>
          </w:rPr>
          <w:t>Wersja 1.7.0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_Toc7979644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4</w:t>
        </w:r>
        <w:r w:rsidR="00C515D2">
          <w:rPr>
            <w:noProof/>
            <w:webHidden/>
          </w:rPr>
          <w:fldChar w:fldCharType="end"/>
        </w:r>
      </w:hyperlink>
    </w:p>
    <w:p w14:paraId="79D8FEC2" w14:textId="5282ACD8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5" w:history="1">
        <w:r w:rsidR="00C515D2" w:rsidRPr="008C354F">
          <w:rPr>
            <w:rStyle w:val="Hipercze"/>
            <w:rFonts w:ascii="Verdana" w:hAnsi="Verdana"/>
            <w:noProof/>
          </w:rPr>
          <w:t>Wersja 1.6.0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_Toc7979645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4</w:t>
        </w:r>
        <w:r w:rsidR="00C515D2">
          <w:rPr>
            <w:noProof/>
            <w:webHidden/>
          </w:rPr>
          <w:fldChar w:fldCharType="end"/>
        </w:r>
      </w:hyperlink>
    </w:p>
    <w:p w14:paraId="14B24C79" w14:textId="7EA3FAD6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6" w:history="1">
        <w:r w:rsidR="00C515D2" w:rsidRPr="008C354F">
          <w:rPr>
            <w:rStyle w:val="Hipercze"/>
            <w:rFonts w:ascii="Verdana" w:hAnsi="Verdana"/>
            <w:noProof/>
          </w:rPr>
          <w:t>Instalacja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_Toc7979646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5</w:t>
        </w:r>
        <w:r w:rsidR="00C515D2">
          <w:rPr>
            <w:noProof/>
            <w:webHidden/>
          </w:rPr>
          <w:fldChar w:fldCharType="end"/>
        </w:r>
      </w:hyperlink>
    </w:p>
    <w:p w14:paraId="172C690B" w14:textId="63E60687" w:rsidR="00C515D2" w:rsidRDefault="00EC0EE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7" w:history="1">
        <w:r w:rsidR="00C515D2" w:rsidRPr="008C354F">
          <w:rPr>
            <w:rStyle w:val="Hipercze"/>
            <w:rFonts w:ascii="Verdana" w:hAnsi="Verdana"/>
            <w:noProof/>
          </w:rPr>
          <w:t>Instalacja modułu z użyciem pliku .tgz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_Toc7979647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5</w:t>
        </w:r>
        <w:r w:rsidR="00C515D2">
          <w:rPr>
            <w:noProof/>
            <w:webHidden/>
          </w:rPr>
          <w:fldChar w:fldCharType="end"/>
        </w:r>
      </w:hyperlink>
    </w:p>
    <w:p w14:paraId="1DC68F7C" w14:textId="4928CB3D" w:rsidR="00C515D2" w:rsidRDefault="00EC0EE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8" w:history="1">
        <w:r w:rsidR="00C515D2" w:rsidRPr="008C354F">
          <w:rPr>
            <w:rStyle w:val="Hipercze"/>
            <w:rFonts w:ascii="Verdana" w:hAnsi="Verdana"/>
            <w:noProof/>
          </w:rPr>
          <w:t>Ręczna instalacja modułu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_Toc7979648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6</w:t>
        </w:r>
        <w:r w:rsidR="00C515D2">
          <w:rPr>
            <w:noProof/>
            <w:webHidden/>
          </w:rPr>
          <w:fldChar w:fldCharType="end"/>
        </w:r>
      </w:hyperlink>
    </w:p>
    <w:p w14:paraId="657B3C45" w14:textId="4FDCB420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9" w:history="1">
        <w:r w:rsidR="00C515D2" w:rsidRPr="008C354F">
          <w:rPr>
            <w:rStyle w:val="Hipercze"/>
            <w:rFonts w:ascii="Verdana" w:hAnsi="Verdana"/>
            <w:noProof/>
          </w:rPr>
          <w:t>Konfiguracja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_Toc7979649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7</w:t>
        </w:r>
        <w:r w:rsidR="00C515D2">
          <w:rPr>
            <w:noProof/>
            <w:webHidden/>
          </w:rPr>
          <w:fldChar w:fldCharType="end"/>
        </w:r>
      </w:hyperlink>
    </w:p>
    <w:p w14:paraId="43C4140F" w14:textId="51653ED8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0" w:history="1">
        <w:r w:rsidR="00C515D2" w:rsidRPr="008C354F">
          <w:rPr>
            <w:rStyle w:val="Hipercze"/>
            <w:rFonts w:ascii="Verdana" w:hAnsi="Verdana"/>
            <w:noProof/>
          </w:rPr>
          <w:t>Podstawowa konfiguracja modułu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_Toc7979650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7</w:t>
        </w:r>
        <w:r w:rsidR="00C515D2">
          <w:rPr>
            <w:noProof/>
            <w:webHidden/>
          </w:rPr>
          <w:fldChar w:fldCharType="end"/>
        </w:r>
      </w:hyperlink>
    </w:p>
    <w:p w14:paraId="544259FE" w14:textId="57D7AB88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1" w:history="1">
        <w:r w:rsidR="00C515D2" w:rsidRPr="008C354F">
          <w:rPr>
            <w:rStyle w:val="Hipercze"/>
            <w:rFonts w:ascii="Verdana" w:hAnsi="Verdana"/>
            <w:noProof/>
          </w:rPr>
          <w:t>Wyświetlanie kanałów płatności na stronie sklepu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_Toc7979651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8</w:t>
        </w:r>
        <w:r w:rsidR="00C515D2">
          <w:rPr>
            <w:noProof/>
            <w:webHidden/>
          </w:rPr>
          <w:fldChar w:fldCharType="end"/>
        </w:r>
      </w:hyperlink>
    </w:p>
    <w:p w14:paraId="10833740" w14:textId="3D627A44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2" w:history="1">
        <w:r w:rsidR="00C515D2" w:rsidRPr="008C354F">
          <w:rPr>
            <w:rStyle w:val="Hipercze"/>
            <w:rFonts w:ascii="Verdana" w:hAnsi="Verdana"/>
            <w:noProof/>
          </w:rPr>
          <w:t>Przedtransakcja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_Toc7979652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8</w:t>
        </w:r>
        <w:r w:rsidR="00C515D2">
          <w:rPr>
            <w:noProof/>
            <w:webHidden/>
          </w:rPr>
          <w:fldChar w:fldCharType="end"/>
        </w:r>
      </w:hyperlink>
    </w:p>
    <w:p w14:paraId="14EB3ACA" w14:textId="1CE3D1F9" w:rsidR="00C515D2" w:rsidRDefault="00EC0EE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3" w:history="1">
        <w:r w:rsidR="00C515D2" w:rsidRPr="008C354F">
          <w:rPr>
            <w:rStyle w:val="Hipercze"/>
            <w:rFonts w:ascii="Verdana" w:hAnsi="Verdana"/>
            <w:noProof/>
          </w:rPr>
          <w:t>Aktywacja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_Toc7979653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8</w:t>
        </w:r>
        <w:r w:rsidR="00C515D2">
          <w:rPr>
            <w:noProof/>
            <w:webHidden/>
          </w:rPr>
          <w:fldChar w:fldCharType="end"/>
        </w:r>
      </w:hyperlink>
    </w:p>
    <w:p w14:paraId="1F3B1520" w14:textId="4BC3A133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4" w:history="1">
        <w:r w:rsidR="00C515D2" w:rsidRPr="008C354F">
          <w:rPr>
            <w:rStyle w:val="Hipercze"/>
            <w:rFonts w:ascii="Verdana" w:hAnsi="Verdana"/>
            <w:noProof/>
          </w:rPr>
          <w:t>Kanały płatności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_Toc7979654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9</w:t>
        </w:r>
        <w:r w:rsidR="00C515D2">
          <w:rPr>
            <w:noProof/>
            <w:webHidden/>
          </w:rPr>
          <w:fldChar w:fldCharType="end"/>
        </w:r>
      </w:hyperlink>
    </w:p>
    <w:p w14:paraId="38A639E0" w14:textId="629E5133" w:rsidR="00C515D2" w:rsidRDefault="00EC0EE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5" w:history="1">
        <w:r w:rsidR="00C515D2" w:rsidRPr="008C354F">
          <w:rPr>
            <w:rStyle w:val="Hipercze"/>
            <w:rFonts w:ascii="Verdana" w:hAnsi="Verdana"/>
            <w:noProof/>
          </w:rPr>
          <w:t>Odświeżenie listy kanałów płatności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_Toc7979655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9</w:t>
        </w:r>
        <w:r w:rsidR="00C515D2">
          <w:rPr>
            <w:noProof/>
            <w:webHidden/>
          </w:rPr>
          <w:fldChar w:fldCharType="end"/>
        </w:r>
      </w:hyperlink>
    </w:p>
    <w:p w14:paraId="5C072AA1" w14:textId="5DA8317E" w:rsidR="00C515D2" w:rsidRDefault="00EC0EEB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6" w:history="1">
        <w:r w:rsidR="00C515D2" w:rsidRPr="008C354F">
          <w:rPr>
            <w:rStyle w:val="Hipercze"/>
            <w:rFonts w:ascii="Verdana" w:hAnsi="Verdana"/>
            <w:noProof/>
          </w:rPr>
          <w:t>Aktywacja i edycja kanału płatności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_Toc7979656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9</w:t>
        </w:r>
        <w:r w:rsidR="00C515D2">
          <w:rPr>
            <w:noProof/>
            <w:webHidden/>
          </w:rPr>
          <w:fldChar w:fldCharType="end"/>
        </w:r>
      </w:hyperlink>
    </w:p>
    <w:p w14:paraId="19FB3DAE" w14:textId="51661ED0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7" w:history="1">
        <w:r w:rsidR="00C515D2" w:rsidRPr="008C354F">
          <w:rPr>
            <w:rStyle w:val="Hipercze"/>
            <w:rFonts w:ascii="Verdana" w:hAnsi="Verdana"/>
            <w:noProof/>
          </w:rPr>
          <w:t>Płatność w iframe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_Toc7979657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11</w:t>
        </w:r>
        <w:r w:rsidR="00C515D2">
          <w:rPr>
            <w:noProof/>
            <w:webHidden/>
          </w:rPr>
          <w:fldChar w:fldCharType="end"/>
        </w:r>
      </w:hyperlink>
    </w:p>
    <w:p w14:paraId="5679F1DC" w14:textId="55D6F7E7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8" w:history="1">
        <w:r w:rsidR="00C515D2" w:rsidRPr="008C354F">
          <w:rPr>
            <w:rStyle w:val="Hipercze"/>
            <w:rFonts w:ascii="Verdana" w:hAnsi="Verdana"/>
            <w:noProof/>
          </w:rPr>
          <w:t>Aktywacja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_Toc7979658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11</w:t>
        </w:r>
        <w:r w:rsidR="00C515D2">
          <w:rPr>
            <w:noProof/>
            <w:webHidden/>
          </w:rPr>
          <w:fldChar w:fldCharType="end"/>
        </w:r>
      </w:hyperlink>
    </w:p>
    <w:p w14:paraId="1F4060DC" w14:textId="7964E197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9" w:history="1">
        <w:r w:rsidR="00C515D2" w:rsidRPr="008C354F">
          <w:rPr>
            <w:rStyle w:val="Hipercze"/>
            <w:rFonts w:ascii="Verdana" w:hAnsi="Verdana"/>
            <w:noProof/>
          </w:rPr>
          <w:t>Płatności automatyczne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_Toc7979659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11</w:t>
        </w:r>
        <w:r w:rsidR="00C515D2">
          <w:rPr>
            <w:noProof/>
            <w:webHidden/>
          </w:rPr>
          <w:fldChar w:fldCharType="end"/>
        </w:r>
      </w:hyperlink>
    </w:p>
    <w:p w14:paraId="03D0ACE5" w14:textId="5C7FB331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0" w:history="1">
        <w:r w:rsidR="00C515D2" w:rsidRPr="008C354F">
          <w:rPr>
            <w:rStyle w:val="Hipercze"/>
            <w:rFonts w:ascii="Verdana" w:hAnsi="Verdana"/>
            <w:noProof/>
          </w:rPr>
          <w:t>Aktywacja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_Toc7979660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12</w:t>
        </w:r>
        <w:r w:rsidR="00C515D2">
          <w:rPr>
            <w:noProof/>
            <w:webHidden/>
          </w:rPr>
          <w:fldChar w:fldCharType="end"/>
        </w:r>
      </w:hyperlink>
    </w:p>
    <w:p w14:paraId="77857FEA" w14:textId="2BD4A201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1" w:history="1">
        <w:r w:rsidR="00C515D2" w:rsidRPr="008C354F">
          <w:rPr>
            <w:rStyle w:val="Hipercze"/>
            <w:rFonts w:ascii="Verdana" w:hAnsi="Verdana"/>
            <w:noProof/>
          </w:rPr>
          <w:t>Zarządzanie kartami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_Toc7979661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12</w:t>
        </w:r>
        <w:r w:rsidR="00C515D2">
          <w:rPr>
            <w:noProof/>
            <w:webHidden/>
          </w:rPr>
          <w:fldChar w:fldCharType="end"/>
        </w:r>
      </w:hyperlink>
    </w:p>
    <w:p w14:paraId="57893316" w14:textId="2F743A57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2" w:history="1">
        <w:r w:rsidR="00C515D2" w:rsidRPr="008C354F">
          <w:rPr>
            <w:rStyle w:val="Hipercze"/>
            <w:rFonts w:ascii="Verdana" w:hAnsi="Verdana"/>
            <w:noProof/>
          </w:rPr>
          <w:t>Aktualizacja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_Toc7979662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13</w:t>
        </w:r>
        <w:r w:rsidR="00C515D2">
          <w:rPr>
            <w:noProof/>
            <w:webHidden/>
          </w:rPr>
          <w:fldChar w:fldCharType="end"/>
        </w:r>
      </w:hyperlink>
    </w:p>
    <w:p w14:paraId="4579AF3B" w14:textId="48A95077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3" w:history="1">
        <w:r w:rsidR="00C515D2" w:rsidRPr="008C354F">
          <w:rPr>
            <w:rStyle w:val="Hipercze"/>
            <w:rFonts w:ascii="Verdana" w:hAnsi="Verdana"/>
            <w:noProof/>
          </w:rPr>
          <w:t>Aktualizacja modułu z użyciem pliku .tgz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_Toc7979663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13</w:t>
        </w:r>
        <w:r w:rsidR="00C515D2">
          <w:rPr>
            <w:noProof/>
            <w:webHidden/>
          </w:rPr>
          <w:fldChar w:fldCharType="end"/>
        </w:r>
      </w:hyperlink>
    </w:p>
    <w:p w14:paraId="684434E9" w14:textId="6CB74D79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4" w:history="1">
        <w:r w:rsidR="00C515D2" w:rsidRPr="008C354F">
          <w:rPr>
            <w:rStyle w:val="Hipercze"/>
            <w:rFonts w:ascii="Verdana" w:hAnsi="Verdana"/>
            <w:noProof/>
          </w:rPr>
          <w:t>Ręczna aktualizacja modułu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_Toc7979664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13</w:t>
        </w:r>
        <w:r w:rsidR="00C515D2">
          <w:rPr>
            <w:noProof/>
            <w:webHidden/>
          </w:rPr>
          <w:fldChar w:fldCharType="end"/>
        </w:r>
      </w:hyperlink>
    </w:p>
    <w:p w14:paraId="1BAEBD9E" w14:textId="6157806B" w:rsidR="00C515D2" w:rsidRDefault="00EC0EEB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5" w:history="1">
        <w:r w:rsidR="00C515D2" w:rsidRPr="008C354F">
          <w:rPr>
            <w:rStyle w:val="Hipercze"/>
            <w:rFonts w:ascii="Verdana" w:hAnsi="Verdana"/>
            <w:noProof/>
          </w:rPr>
          <w:t>Dezinstalacja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_Toc7979665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13</w:t>
        </w:r>
        <w:r w:rsidR="00C515D2">
          <w:rPr>
            <w:noProof/>
            <w:webHidden/>
          </w:rPr>
          <w:fldChar w:fldCharType="end"/>
        </w:r>
      </w:hyperlink>
    </w:p>
    <w:p w14:paraId="19AD0A40" w14:textId="06B8BBB7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6" w:history="1">
        <w:r w:rsidR="00C515D2" w:rsidRPr="008C354F">
          <w:rPr>
            <w:rStyle w:val="Hipercze"/>
            <w:rFonts w:ascii="Verdana" w:hAnsi="Verdana"/>
            <w:noProof/>
          </w:rPr>
          <w:t>W przypadku instalacji za pomocą pliku .tgz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_Toc7979666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13</w:t>
        </w:r>
        <w:r w:rsidR="00C515D2">
          <w:rPr>
            <w:noProof/>
            <w:webHidden/>
          </w:rPr>
          <w:fldChar w:fldCharType="end"/>
        </w:r>
      </w:hyperlink>
    </w:p>
    <w:p w14:paraId="1E6F0767" w14:textId="468175A4" w:rsidR="00C515D2" w:rsidRDefault="00EC0EEB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7" w:history="1">
        <w:r w:rsidR="00C515D2" w:rsidRPr="008C354F">
          <w:rPr>
            <w:rStyle w:val="Hipercze"/>
            <w:rFonts w:ascii="Verdana" w:hAnsi="Verdana"/>
            <w:noProof/>
          </w:rPr>
          <w:t>W przypadku ręcznej instalacji modułu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_Toc7979667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14</w:t>
        </w:r>
        <w:r w:rsidR="00C515D2">
          <w:rPr>
            <w:noProof/>
            <w:webHidden/>
          </w:rPr>
          <w:fldChar w:fldCharType="end"/>
        </w:r>
      </w:hyperlink>
    </w:p>
    <w:p w14:paraId="0EF9178D" w14:textId="543E45C0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1" w:name="_Toc7979640"/>
      <w:r w:rsidRPr="00754821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2" w:name="_Toc7979641"/>
      <w:r w:rsidRPr="00754821">
        <w:rPr>
          <w:rFonts w:ascii="Verdana" w:hAnsi="Verdana"/>
        </w:rPr>
        <w:t>Główne funkcje</w:t>
      </w:r>
      <w:bookmarkEnd w:id="2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</w:t>
      </w:r>
      <w:proofErr w:type="spellStart"/>
      <w:r w:rsidRPr="00754821">
        <w:rPr>
          <w:rFonts w:ascii="Verdana" w:hAnsi="Verdana"/>
        </w:rPr>
        <w:t>sa</w:t>
      </w:r>
      <w:proofErr w:type="spellEnd"/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7979642"/>
      <w:r w:rsidRPr="00754821">
        <w:rPr>
          <w:rFonts w:ascii="Verdana" w:hAnsi="Verdana"/>
        </w:rPr>
        <w:t>Wymagania</w:t>
      </w:r>
      <w:bookmarkEnd w:id="3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0DE0902C" w:rsidR="001857EC" w:rsidRDefault="001857EC" w:rsidP="001857EC">
      <w:pPr>
        <w:pStyle w:val="Nagwek1"/>
        <w:rPr>
          <w:rFonts w:ascii="Verdana" w:hAnsi="Verdana"/>
        </w:rPr>
      </w:pPr>
      <w:bookmarkStart w:id="4" w:name="_Toc7979643"/>
      <w:r w:rsidRPr="00754821">
        <w:rPr>
          <w:rFonts w:ascii="Verdana" w:hAnsi="Verdana"/>
        </w:rPr>
        <w:t>Opis zmian</w:t>
      </w:r>
      <w:bookmarkStart w:id="5" w:name="_GoBack"/>
      <w:bookmarkEnd w:id="4"/>
      <w:bookmarkEnd w:id="5"/>
    </w:p>
    <w:p w14:paraId="70D4EDA7" w14:textId="39238A1B" w:rsidR="00B21CD9" w:rsidRPr="00754821" w:rsidRDefault="00B21CD9" w:rsidP="00B21CD9">
      <w:pPr>
        <w:pStyle w:val="Nagwek2"/>
        <w:rPr>
          <w:rFonts w:ascii="Verdana" w:hAnsi="Verdana"/>
        </w:rPr>
      </w:pPr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6" w:name="_Toc7979644"/>
      <w:r w:rsidRPr="00754821">
        <w:rPr>
          <w:rFonts w:ascii="Verdana" w:hAnsi="Verdana"/>
        </w:rPr>
        <w:t>Wersja 1.7.0</w:t>
      </w:r>
      <w:bookmarkEnd w:id="6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</w:t>
      </w:r>
      <w:proofErr w:type="spellStart"/>
      <w:r w:rsidRPr="00754821">
        <w:rPr>
          <w:rFonts w:ascii="Verdana" w:hAnsi="Verdana"/>
        </w:rPr>
        <w:t>Niezmienialne</w:t>
      </w:r>
      <w:proofErr w:type="spellEnd"/>
      <w:r w:rsidRPr="00754821">
        <w:rPr>
          <w:rFonts w:ascii="Verdana" w:hAnsi="Verdana"/>
        </w:rPr>
        <w:t xml:space="preserve">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7" w:name="_Toc7979645"/>
      <w:r w:rsidRPr="00754821">
        <w:rPr>
          <w:rFonts w:ascii="Verdana" w:hAnsi="Verdana"/>
        </w:rPr>
        <w:t>Wersja 1.6.0</w:t>
      </w:r>
      <w:bookmarkEnd w:id="7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8" w:name="_Toc7979646"/>
      <w:r w:rsidRPr="00754821">
        <w:rPr>
          <w:rFonts w:ascii="Verdana" w:hAnsi="Verdana"/>
        </w:rPr>
        <w:lastRenderedPageBreak/>
        <w:t>Instalacja</w:t>
      </w:r>
      <w:bookmarkEnd w:id="8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</w:t>
      </w:r>
      <w:proofErr w:type="spellStart"/>
      <w:r w:rsidR="00BB2F54" w:rsidRPr="00754821">
        <w:rPr>
          <w:rFonts w:ascii="Verdana" w:hAnsi="Verdana"/>
          <w:color w:val="FF0000"/>
        </w:rPr>
        <w:t>tgz</w:t>
      </w:r>
      <w:proofErr w:type="spellEnd"/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9" w:name="_Instalacja_modułu_z"/>
      <w:bookmarkStart w:id="10" w:name="_Toc7979647"/>
      <w:bookmarkEnd w:id="9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bookmarkEnd w:id="10"/>
      <w:proofErr w:type="spellEnd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proofErr w:type="spellStart"/>
      <w:r w:rsidR="005F1591" w:rsidRPr="00754821">
        <w:rPr>
          <w:rFonts w:ascii="Verdana" w:hAnsi="Verdana"/>
          <w:b/>
        </w:rPr>
        <w:t>Create</w:t>
      </w:r>
      <w:proofErr w:type="spellEnd"/>
      <w:r w:rsidR="005F1591" w:rsidRPr="00754821">
        <w:rPr>
          <w:rFonts w:ascii="Verdana" w:hAnsi="Verdana"/>
          <w:b/>
        </w:rPr>
        <w:t xml:space="preserve">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 xml:space="preserve">Direct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 xml:space="preserve">2.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z modułem </w:t>
      </w:r>
      <w:proofErr w:type="spellStart"/>
      <w:r w:rsidRPr="00754821">
        <w:rPr>
          <w:rFonts w:ascii="Verdana" w:hAnsi="Verdana"/>
        </w:rPr>
        <w:t>BluePayment</w:t>
      </w:r>
      <w:proofErr w:type="spellEnd"/>
      <w:r w:rsidRPr="00754821">
        <w:rPr>
          <w:rFonts w:ascii="Verdana" w:hAnsi="Verdana"/>
        </w:rPr>
        <w:t>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installed</w:t>
      </w:r>
      <w:proofErr w:type="spellEnd"/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1" w:name="_Ręczna_instalacja_modułu"/>
      <w:bookmarkStart w:id="12" w:name="_Toc7979648"/>
      <w:bookmarkEnd w:id="11"/>
      <w:r w:rsidRPr="00754821">
        <w:rPr>
          <w:rFonts w:ascii="Verdana" w:hAnsi="Verdana"/>
        </w:rPr>
        <w:lastRenderedPageBreak/>
        <w:t>Ręczna instalacja modułu</w:t>
      </w:r>
      <w:bookmarkEnd w:id="12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 xml:space="preserve">tar </w:t>
      </w:r>
      <w:proofErr w:type="spellStart"/>
      <w:r w:rsidRPr="00754821">
        <w:rPr>
          <w:rFonts w:ascii="Verdana" w:hAnsi="Verdana" w:cs="Times New Roman"/>
          <w:b/>
        </w:rPr>
        <w:t>zxvf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 --</w:t>
      </w:r>
      <w:proofErr w:type="spellStart"/>
      <w:r w:rsidRPr="00754821">
        <w:rPr>
          <w:rFonts w:ascii="Verdana" w:hAnsi="Verdana" w:cs="Times New Roman"/>
          <w:b/>
        </w:rPr>
        <w:t>exclude</w:t>
      </w:r>
      <w:proofErr w:type="spellEnd"/>
      <w:r w:rsidRPr="00754821">
        <w:rPr>
          <w:rFonts w:ascii="Verdana" w:hAnsi="Verdana" w:cs="Times New Roman"/>
          <w:b/>
        </w:rPr>
        <w:t xml:space="preserve"> package.xml &amp;&amp; </w:t>
      </w:r>
      <w:proofErr w:type="spellStart"/>
      <w:r w:rsidRPr="00754821">
        <w:rPr>
          <w:rFonts w:ascii="Verdana" w:hAnsi="Verdana" w:cs="Times New Roman"/>
          <w:b/>
        </w:rPr>
        <w:t>rm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3" w:name="_Konfiguracja"/>
      <w:bookmarkStart w:id="14" w:name="_Toc7979649"/>
      <w:bookmarkEnd w:id="13"/>
      <w:r w:rsidRPr="00754821">
        <w:rPr>
          <w:rFonts w:ascii="Verdana" w:hAnsi="Verdana"/>
        </w:rPr>
        <w:lastRenderedPageBreak/>
        <w:t>Konfiguracja</w:t>
      </w:r>
      <w:bookmarkEnd w:id="14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proofErr w:type="spellStart"/>
      <w:r w:rsidR="00300312" w:rsidRPr="00754821">
        <w:rPr>
          <w:rFonts w:ascii="Verdana" w:hAnsi="Verdana"/>
          <w:b/>
        </w:rPr>
        <w:t>Configuration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</w:t>
      </w:r>
      <w:proofErr w:type="spellStart"/>
      <w:r w:rsidR="00300312" w:rsidRPr="00754821">
        <w:rPr>
          <w:rFonts w:ascii="Verdana" w:hAnsi="Verdana"/>
          <w:b/>
        </w:rPr>
        <w:t>Methods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15" w:name="_Podstawowa_konfiguracja_modułu"/>
      <w:bookmarkStart w:id="16" w:name="_Toc7979650"/>
      <w:bookmarkEnd w:id="15"/>
      <w:r w:rsidRPr="00754821">
        <w:rPr>
          <w:rFonts w:ascii="Verdana" w:hAnsi="Verdana"/>
        </w:rPr>
        <w:t>Podstawowa konfiguracja modułu</w:t>
      </w:r>
      <w:bookmarkEnd w:id="16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 xml:space="preserve">Online 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</w:t>
      </w:r>
      <w:proofErr w:type="spellStart"/>
      <w:r w:rsidRPr="00754821">
        <w:rPr>
          <w:rFonts w:ascii="Verdana" w:hAnsi="Verdana"/>
          <w:b/>
        </w:rPr>
        <w:t>Enabled</w:t>
      </w:r>
      <w:proofErr w:type="spellEnd"/>
      <w:r w:rsidRPr="00754821">
        <w:rPr>
          <w:rFonts w:ascii="Verdana" w:hAnsi="Verdana"/>
          <w:b/>
        </w:rPr>
        <w:t>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Tryb testowy [Test </w:t>
      </w:r>
      <w:proofErr w:type="spellStart"/>
      <w:r w:rsidRPr="00754821">
        <w:rPr>
          <w:rFonts w:ascii="Verdana" w:hAnsi="Verdana"/>
          <w:b/>
        </w:rPr>
        <w:t>mode</w:t>
      </w:r>
      <w:proofErr w:type="spellEnd"/>
      <w:r w:rsidRPr="00754821">
        <w:rPr>
          <w:rFonts w:ascii="Verdana" w:hAnsi="Verdana"/>
          <w:b/>
        </w:rPr>
        <w:t>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Identyfikator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serwisu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partnera</w:t>
      </w:r>
      <w:proofErr w:type="spellEnd"/>
      <w:r w:rsidRPr="00754821">
        <w:rPr>
          <w:rFonts w:ascii="Verdana" w:hAnsi="Verdana"/>
          <w:b/>
          <w:lang w:val="en-US"/>
        </w:rPr>
        <w:t xml:space="preserve">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</w:t>
      </w:r>
      <w:proofErr w:type="spellStart"/>
      <w:r w:rsidRPr="00754821">
        <w:rPr>
          <w:rFonts w:ascii="Verdana" w:hAnsi="Verdana"/>
          <w:b/>
        </w:rPr>
        <w:t>Shared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Key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17" w:name="_Toc7979651"/>
      <w:r w:rsidRPr="00754821">
        <w:rPr>
          <w:rFonts w:ascii="Verdana" w:hAnsi="Verdana"/>
        </w:rPr>
        <w:t>Wyświetlanie kanałów płatności na stronie sklepu</w:t>
      </w:r>
      <w:bookmarkEnd w:id="17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 xml:space="preserve">[Gateway </w:t>
      </w:r>
      <w:proofErr w:type="spellStart"/>
      <w:r w:rsidRPr="00754821">
        <w:rPr>
          <w:rFonts w:ascii="Verdana" w:hAnsi="Verdana"/>
          <w:b/>
        </w:rPr>
        <w:t>Selection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</w:t>
      </w:r>
      <w:proofErr w:type="spellStart"/>
      <w:r w:rsidRPr="00754821">
        <w:rPr>
          <w:rFonts w:ascii="Verdana" w:hAnsi="Verdana"/>
        </w:rPr>
        <w:t>loga</w:t>
      </w:r>
      <w:proofErr w:type="spellEnd"/>
      <w:r w:rsidRPr="00754821">
        <w:rPr>
          <w:rFonts w:ascii="Verdana" w:hAnsi="Verdana"/>
        </w:rPr>
        <w:t xml:space="preserve">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18" w:name="_Toc7979652"/>
      <w:proofErr w:type="spellStart"/>
      <w:r w:rsidRPr="00754821">
        <w:rPr>
          <w:rFonts w:ascii="Verdana" w:hAnsi="Verdana"/>
        </w:rPr>
        <w:t>Przedtransakcja</w:t>
      </w:r>
      <w:bookmarkEnd w:id="18"/>
      <w:proofErr w:type="spellEnd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 xml:space="preserve">Usługa </w:t>
      </w:r>
      <w:proofErr w:type="spellStart"/>
      <w:r w:rsidRPr="00754821">
        <w:rPr>
          <w:rFonts w:ascii="Verdana" w:hAnsi="Verdana"/>
        </w:rPr>
        <w:t>przedtransakcji</w:t>
      </w:r>
      <w:proofErr w:type="spellEnd"/>
      <w:r w:rsidRPr="00754821">
        <w:rPr>
          <w:rFonts w:ascii="Verdana" w:hAnsi="Verdana"/>
        </w:rPr>
        <w:t xml:space="preserve">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 xml:space="preserve">ukrycia danych wrażliwych parametrów linku transakcji – sama </w:t>
      </w:r>
      <w:proofErr w:type="spellStart"/>
      <w:r>
        <w:rPr>
          <w:rFonts w:ascii="Verdana" w:hAnsi="Verdana"/>
        </w:rPr>
        <w:t>przedtransakcja</w:t>
      </w:r>
      <w:proofErr w:type="spellEnd"/>
      <w:r>
        <w:rPr>
          <w:rFonts w:ascii="Verdana" w:hAnsi="Verdana"/>
        </w:rPr>
        <w:t xml:space="preserve">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19" w:name="_Toc7979653"/>
      <w:r w:rsidRPr="005357D9">
        <w:rPr>
          <w:rStyle w:val="Nagwek3Znak"/>
          <w:rFonts w:ascii="Verdana" w:hAnsi="Verdana"/>
        </w:rPr>
        <w:t>Aktywacja</w:t>
      </w:r>
      <w:bookmarkEnd w:id="19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proofErr w:type="spellStart"/>
      <w:r w:rsidR="00FB2F92" w:rsidRPr="00754821">
        <w:rPr>
          <w:rFonts w:ascii="Verdana" w:hAnsi="Verdana"/>
          <w:b/>
        </w:rPr>
        <w:t>Przedtransakcja</w:t>
      </w:r>
      <w:proofErr w:type="spellEnd"/>
      <w:r w:rsidR="00FB2F92" w:rsidRPr="00754821">
        <w:rPr>
          <w:rFonts w:ascii="Verdana" w:hAnsi="Verdana"/>
          <w:b/>
        </w:rPr>
        <w:t xml:space="preserve"> [CURL </w:t>
      </w:r>
      <w:proofErr w:type="spellStart"/>
      <w:r w:rsidR="00FB2F92" w:rsidRPr="00754821">
        <w:rPr>
          <w:rFonts w:ascii="Verdana" w:hAnsi="Verdana"/>
          <w:b/>
        </w:rPr>
        <w:t>Payment</w:t>
      </w:r>
      <w:proofErr w:type="spellEnd"/>
      <w:r w:rsidR="00FB2F92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0" w:name="_Toc7979654"/>
      <w:r w:rsidRPr="00754821">
        <w:rPr>
          <w:rFonts w:ascii="Verdana" w:hAnsi="Verdana"/>
        </w:rPr>
        <w:lastRenderedPageBreak/>
        <w:t>Kanały płatności</w:t>
      </w:r>
      <w:bookmarkEnd w:id="20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="0088249D" w:rsidRPr="00754821">
        <w:rPr>
          <w:rFonts w:ascii="Verdana" w:hAnsi="Verdana"/>
        </w:rPr>
        <w:t xml:space="preserve"> -&gt; </w:t>
      </w:r>
      <w:proofErr w:type="spellStart"/>
      <w:r w:rsidR="0088249D" w:rsidRPr="00754821">
        <w:rPr>
          <w:rFonts w:ascii="Verdana" w:hAnsi="Verdana"/>
          <w:b/>
        </w:rPr>
        <w:t>Manage</w:t>
      </w:r>
      <w:proofErr w:type="spellEnd"/>
      <w:r w:rsidR="0088249D" w:rsidRPr="00754821">
        <w:rPr>
          <w:rFonts w:ascii="Verdana" w:hAnsi="Verdana"/>
          <w:b/>
        </w:rPr>
        <w:t xml:space="preserve"> </w:t>
      </w:r>
      <w:proofErr w:type="spellStart"/>
      <w:r w:rsidR="0088249D" w:rsidRPr="00754821">
        <w:rPr>
          <w:rFonts w:ascii="Verdana" w:hAnsi="Verdana"/>
          <w:b/>
        </w:rPr>
        <w:t>Bluegateways</w:t>
      </w:r>
      <w:proofErr w:type="spellEnd"/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1" w:name="_Toc7979655"/>
      <w:r w:rsidRPr="00754821">
        <w:rPr>
          <w:rFonts w:ascii="Verdana" w:hAnsi="Verdana"/>
        </w:rPr>
        <w:t>Odświeżenie listy kanałów płatności</w:t>
      </w:r>
      <w:bookmarkEnd w:id="21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Sync</w:t>
      </w:r>
      <w:proofErr w:type="spellEnd"/>
      <w:r w:rsidRPr="00754821">
        <w:rPr>
          <w:rFonts w:ascii="Verdana" w:hAnsi="Verdana"/>
          <w:b/>
        </w:rPr>
        <w:t xml:space="preserve">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2" w:name="_Toc7979656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2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</w:t>
      </w:r>
      <w:proofErr w:type="spellStart"/>
      <w:r w:rsidRPr="00754821">
        <w:rPr>
          <w:rFonts w:ascii="Verdana" w:hAnsi="Verdana"/>
          <w:b/>
        </w:rPr>
        <w:t>Currency</w:t>
      </w:r>
      <w:proofErr w:type="spellEnd"/>
      <w:r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Bank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 xml:space="preserve">Nazwa [Gateway </w:t>
      </w:r>
      <w:proofErr w:type="spellStart"/>
      <w:r>
        <w:rPr>
          <w:rFonts w:ascii="Verdana" w:hAnsi="Verdana"/>
          <w:b/>
        </w:rPr>
        <w:t>Name</w:t>
      </w:r>
      <w:proofErr w:type="spellEnd"/>
      <w:r>
        <w:rPr>
          <w:rFonts w:ascii="Verdana" w:hAnsi="Verdana"/>
          <w:b/>
        </w:rPr>
        <w:t>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proofErr w:type="spellStart"/>
      <w:r>
        <w:rPr>
          <w:rFonts w:ascii="Verdana" w:hAnsi="Verdana"/>
          <w:b/>
        </w:rPr>
        <w:t>Own</w:t>
      </w:r>
      <w:proofErr w:type="spellEnd"/>
      <w:r w:rsidR="00E01CE1" w:rsidRPr="00754821">
        <w:rPr>
          <w:rFonts w:ascii="Verdana" w:hAnsi="Verdana"/>
          <w:b/>
        </w:rPr>
        <w:t xml:space="preserve"> </w:t>
      </w:r>
      <w:proofErr w:type="spellStart"/>
      <w:r w:rsidR="00E01CE1" w:rsidRPr="00754821">
        <w:rPr>
          <w:rFonts w:ascii="Verdana" w:hAnsi="Verdana"/>
          <w:b/>
        </w:rPr>
        <w:t>Name</w:t>
      </w:r>
      <w:proofErr w:type="spellEnd"/>
      <w:r w:rsidR="00E01CE1"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>(</w:t>
      </w:r>
      <w:proofErr w:type="spellStart"/>
      <w:r w:rsidRPr="00754821">
        <w:rPr>
          <w:rFonts w:ascii="Verdana" w:hAnsi="Verdana"/>
          <w:lang w:val="en-US"/>
        </w:rPr>
        <w:t>informacyjnie</w:t>
      </w:r>
      <w:proofErr w:type="spellEnd"/>
      <w:r w:rsidRPr="00754821">
        <w:rPr>
          <w:rFonts w:ascii="Verdana" w:hAnsi="Verdana"/>
          <w:lang w:val="en-US"/>
        </w:rPr>
        <w:t xml:space="preserve">) </w:t>
      </w:r>
      <w:proofErr w:type="spellStart"/>
      <w:r w:rsidRPr="00754821">
        <w:rPr>
          <w:rFonts w:ascii="Verdana" w:hAnsi="Verdana"/>
          <w:b/>
          <w:lang w:val="en-US"/>
        </w:rPr>
        <w:t>Typ</w:t>
      </w:r>
      <w:proofErr w:type="spellEnd"/>
      <w:r w:rsidRPr="00754821">
        <w:rPr>
          <w:rFonts w:ascii="Verdana" w:hAnsi="Verdana"/>
          <w:b/>
          <w:lang w:val="en-US"/>
        </w:rPr>
        <w:t xml:space="preserve">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 xml:space="preserve">Opis [Gateway </w:t>
      </w:r>
      <w:proofErr w:type="spellStart"/>
      <w:r w:rsidRPr="00754821">
        <w:rPr>
          <w:rFonts w:ascii="Verdana" w:hAnsi="Verdana"/>
          <w:b/>
        </w:rPr>
        <w:t>Description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</w:t>
      </w:r>
      <w:proofErr w:type="spellStart"/>
      <w:r w:rsidRPr="00754821">
        <w:rPr>
          <w:rFonts w:ascii="Verdana" w:hAnsi="Verdana"/>
          <w:b/>
        </w:rPr>
        <w:t>Is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separated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method</w:t>
      </w:r>
      <w:proofErr w:type="spellEnd"/>
      <w:r w:rsidRPr="00754821">
        <w:rPr>
          <w:rFonts w:ascii="Verdana" w:hAnsi="Verdana"/>
          <w:b/>
        </w:rPr>
        <w:t>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00FCBA" w14:textId="54729F4E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URL do logo [Gateway Logo URL]</w:t>
      </w:r>
      <w:r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</w:t>
      </w:r>
      <w:proofErr w:type="spellStart"/>
      <w:r w:rsidRPr="00754821">
        <w:rPr>
          <w:rFonts w:ascii="Verdana" w:hAnsi="Verdana"/>
          <w:b/>
        </w:rPr>
        <w:t>Use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Own</w:t>
      </w:r>
      <w:proofErr w:type="spellEnd"/>
      <w:r w:rsidRPr="00754821">
        <w:rPr>
          <w:rFonts w:ascii="Verdana" w:hAnsi="Verdana"/>
          <w:b/>
        </w:rPr>
        <w:t xml:space="preserve">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Ścieżka do logo [Gateway Logo </w:t>
      </w:r>
      <w:proofErr w:type="spellStart"/>
      <w:r w:rsidRPr="00754821">
        <w:rPr>
          <w:rFonts w:ascii="Verdana" w:hAnsi="Verdana"/>
          <w:b/>
        </w:rPr>
        <w:t>Path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 xml:space="preserve">umożliwia dodanie własnego </w:t>
      </w:r>
      <w:proofErr w:type="spellStart"/>
      <w:r w:rsidR="00302AF7" w:rsidRPr="00754821">
        <w:rPr>
          <w:rFonts w:ascii="Verdana" w:hAnsi="Verdana"/>
        </w:rPr>
        <w:t>loga</w:t>
      </w:r>
      <w:proofErr w:type="spellEnd"/>
      <w:r w:rsidR="00302AF7" w:rsidRPr="00754821">
        <w:rPr>
          <w:rFonts w:ascii="Verdana" w:hAnsi="Verdana"/>
        </w:rPr>
        <w:t xml:space="preserve">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</w:t>
      </w:r>
      <w:proofErr w:type="spellStart"/>
      <w:r w:rsidRPr="00754821">
        <w:rPr>
          <w:rFonts w:ascii="Verdana" w:hAnsi="Verdana"/>
          <w:b/>
        </w:rPr>
        <w:t>Date</w:t>
      </w:r>
      <w:proofErr w:type="spellEnd"/>
      <w:r w:rsidRPr="00754821">
        <w:rPr>
          <w:rFonts w:ascii="Verdana" w:hAnsi="Verdana"/>
          <w:b/>
        </w:rPr>
        <w:t xml:space="preserve">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3" w:name="_Toc7979657"/>
      <w:r w:rsidRPr="00754821">
        <w:rPr>
          <w:rFonts w:ascii="Verdana" w:hAnsi="Verdana"/>
        </w:rPr>
        <w:lastRenderedPageBreak/>
        <w:t xml:space="preserve">Płatność w </w:t>
      </w:r>
      <w:proofErr w:type="spellStart"/>
      <w:r w:rsidRPr="00754821">
        <w:rPr>
          <w:rFonts w:ascii="Verdana" w:hAnsi="Verdana"/>
        </w:rPr>
        <w:t>iframe</w:t>
      </w:r>
      <w:bookmarkEnd w:id="23"/>
      <w:proofErr w:type="spellEnd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4" w:name="_Toc7979658"/>
      <w:r w:rsidRPr="00754821">
        <w:rPr>
          <w:rFonts w:ascii="Verdana" w:hAnsi="Verdana"/>
        </w:rPr>
        <w:t>Aktywacja</w:t>
      </w:r>
      <w:bookmarkEnd w:id="24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 xml:space="preserve">Płatność w </w:t>
      </w:r>
      <w:proofErr w:type="spellStart"/>
      <w:r w:rsidR="0065450F"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[</w:t>
      </w:r>
      <w:proofErr w:type="spellStart"/>
      <w:r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25" w:name="_Toc7979659"/>
      <w:r w:rsidRPr="00754821">
        <w:rPr>
          <w:rFonts w:ascii="Verdana" w:hAnsi="Verdana"/>
        </w:rPr>
        <w:t>Płatności automatyczne</w:t>
      </w:r>
      <w:bookmarkEnd w:id="25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</w:t>
      </w:r>
      <w:proofErr w:type="spellStart"/>
      <w:r w:rsidRPr="00754821">
        <w:rPr>
          <w:rFonts w:ascii="Verdana" w:hAnsi="Verdana" w:cs="Calibri"/>
        </w:rPr>
        <w:t>Click</w:t>
      </w:r>
      <w:proofErr w:type="spellEnd"/>
      <w:r w:rsidRPr="00754821">
        <w:rPr>
          <w:rFonts w:ascii="Verdana" w:hAnsi="Verdana" w:cs="Calibri"/>
        </w:rPr>
        <w:t xml:space="preserve"> </w:t>
      </w:r>
      <w:proofErr w:type="spellStart"/>
      <w:r w:rsidRPr="00754821">
        <w:rPr>
          <w:rFonts w:ascii="Verdana" w:hAnsi="Verdana" w:cs="Calibri"/>
        </w:rPr>
        <w:t>Payment</w:t>
      </w:r>
      <w:proofErr w:type="spellEnd"/>
      <w:r w:rsidRPr="00754821">
        <w:rPr>
          <w:rFonts w:ascii="Verdana" w:hAnsi="Verdana" w:cs="Calibri"/>
        </w:rPr>
        <w:t xml:space="preserve">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26" w:name="_Toc7979660"/>
      <w:r w:rsidRPr="00EC3690">
        <w:rPr>
          <w:rFonts w:ascii="Verdana" w:hAnsi="Verdana"/>
        </w:rPr>
        <w:t>Aktywacja</w:t>
      </w:r>
      <w:bookmarkEnd w:id="26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 xml:space="preserve">Płatności online BM [Online </w:t>
      </w:r>
      <w:proofErr w:type="spellStart"/>
      <w:r w:rsidRPr="00EC3690">
        <w:rPr>
          <w:rFonts w:ascii="Verdana" w:hAnsi="Verdana"/>
          <w:b/>
        </w:rPr>
        <w:t>payment</w:t>
      </w:r>
      <w:proofErr w:type="spellEnd"/>
      <w:r w:rsidRPr="00EC3690">
        <w:rPr>
          <w:rFonts w:ascii="Verdana" w:hAnsi="Verdana"/>
          <w:b/>
        </w:rPr>
        <w:t xml:space="preserve">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 xml:space="preserve">Automatic </w:t>
      </w:r>
      <w:proofErr w:type="spellStart"/>
      <w:r>
        <w:rPr>
          <w:rFonts w:ascii="Verdana" w:hAnsi="Verdana"/>
          <w:b/>
        </w:rPr>
        <w:t>payments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27" w:name="_Toc7979661"/>
      <w:r w:rsidRPr="00EC3690">
        <w:rPr>
          <w:rFonts w:ascii="Verdana" w:hAnsi="Verdana"/>
        </w:rPr>
        <w:t>Zarządzanie kartami</w:t>
      </w:r>
      <w:bookmarkEnd w:id="27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proofErr w:type="spellStart"/>
      <w:r w:rsidRPr="00EC3690">
        <w:rPr>
          <w:rFonts w:ascii="Verdana" w:hAnsi="Verdana"/>
          <w:lang w:val="en-US"/>
        </w:rPr>
        <w:t>Przejść</w:t>
      </w:r>
      <w:proofErr w:type="spellEnd"/>
      <w:r w:rsidRPr="00EC3690">
        <w:rPr>
          <w:rFonts w:ascii="Verdana" w:hAnsi="Verdana"/>
          <w:lang w:val="en-US"/>
        </w:rPr>
        <w:t xml:space="preserve">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proofErr w:type="spellStart"/>
      <w:r>
        <w:rPr>
          <w:rFonts w:ascii="Verdana" w:hAnsi="Verdana"/>
          <w:b/>
          <w:lang w:val="en-US"/>
        </w:rPr>
        <w:t>Moje</w:t>
      </w:r>
      <w:proofErr w:type="spellEnd"/>
      <w:r>
        <w:rPr>
          <w:rFonts w:ascii="Verdana" w:hAnsi="Verdana"/>
          <w:b/>
          <w:lang w:val="en-US"/>
        </w:rPr>
        <w:t xml:space="preserve"> </w:t>
      </w:r>
      <w:proofErr w:type="spellStart"/>
      <w:r>
        <w:rPr>
          <w:rFonts w:ascii="Verdana" w:hAnsi="Verdana"/>
          <w:b/>
          <w:lang w:val="en-US"/>
        </w:rPr>
        <w:t>konto</w:t>
      </w:r>
      <w:proofErr w:type="spellEnd"/>
      <w:r>
        <w:rPr>
          <w:rFonts w:ascii="Verdana" w:hAnsi="Verdana"/>
          <w:b/>
          <w:lang w:val="en-US"/>
        </w:rPr>
        <w:t xml:space="preserve">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</w:t>
      </w:r>
      <w:proofErr w:type="spellStart"/>
      <w:r w:rsidRPr="00EC3690">
        <w:rPr>
          <w:rFonts w:ascii="Verdana" w:hAnsi="Verdana"/>
          <w:b/>
        </w:rPr>
        <w:t>Saved</w:t>
      </w:r>
      <w:proofErr w:type="spellEnd"/>
      <w:r w:rsidRPr="00EC3690">
        <w:rPr>
          <w:rFonts w:ascii="Verdana" w:hAnsi="Verdana"/>
          <w:b/>
        </w:rPr>
        <w:t xml:space="preserve"> </w:t>
      </w:r>
      <w:proofErr w:type="spellStart"/>
      <w:r w:rsidRPr="00EC3690">
        <w:rPr>
          <w:rFonts w:ascii="Verdana" w:hAnsi="Verdana"/>
          <w:b/>
        </w:rPr>
        <w:t>Credit</w:t>
      </w:r>
      <w:proofErr w:type="spellEnd"/>
      <w:r w:rsidRPr="00EC3690">
        <w:rPr>
          <w:rFonts w:ascii="Verdana" w:hAnsi="Verdana"/>
          <w:b/>
        </w:rPr>
        <w:t xml:space="preserve">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</w:t>
      </w:r>
      <w:proofErr w:type="spellStart"/>
      <w:r>
        <w:rPr>
          <w:rFonts w:ascii="Verdana" w:hAnsi="Verdana"/>
          <w:b/>
        </w:rPr>
        <w:t>Delete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28" w:name="_Toc7979662"/>
      <w:r w:rsidRPr="00754821">
        <w:rPr>
          <w:rFonts w:ascii="Verdana" w:hAnsi="Verdana"/>
        </w:rPr>
        <w:lastRenderedPageBreak/>
        <w:t>Aktualizacja</w:t>
      </w:r>
      <w:bookmarkEnd w:id="28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jest możliwa tylko w przypadku, gdy został on zainstalowany również za pomocą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>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29" w:name="_Toc7979663"/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bookmarkEnd w:id="29"/>
      <w:proofErr w:type="spellEnd"/>
    </w:p>
    <w:p w14:paraId="264B2529" w14:textId="77777777" w:rsidR="00D83F0F" w:rsidRPr="00754821" w:rsidRDefault="00EC0EEB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EC0EEB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0" w:name="_Toc7979664"/>
      <w:r w:rsidRPr="00754821">
        <w:rPr>
          <w:rFonts w:ascii="Verdana" w:hAnsi="Verdana"/>
        </w:rPr>
        <w:t>Ręczna aktualizacja modułu</w:t>
      </w:r>
      <w:bookmarkEnd w:id="30"/>
    </w:p>
    <w:p w14:paraId="20261CCC" w14:textId="77777777" w:rsidR="00D83F0F" w:rsidRPr="00754821" w:rsidRDefault="00EC0EEB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1" w:name="_Toc7979665"/>
      <w:r w:rsidRPr="00754821">
        <w:rPr>
          <w:rFonts w:ascii="Verdana" w:hAnsi="Verdana"/>
        </w:rPr>
        <w:t>Dezinstalacja</w:t>
      </w:r>
      <w:bookmarkEnd w:id="31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2" w:name="_W_przypadku_instalacji"/>
      <w:bookmarkStart w:id="33" w:name="_Toc7979666"/>
      <w:bookmarkEnd w:id="32"/>
      <w:r w:rsidRPr="00754821">
        <w:rPr>
          <w:rFonts w:ascii="Verdana" w:hAnsi="Verdana"/>
        </w:rPr>
        <w:t>W przypadku instalacji za pomocą pliku .</w:t>
      </w:r>
      <w:proofErr w:type="spellStart"/>
      <w:r w:rsidRPr="00754821">
        <w:rPr>
          <w:rFonts w:ascii="Verdana" w:hAnsi="Verdana"/>
        </w:rPr>
        <w:t>tgz</w:t>
      </w:r>
      <w:bookmarkEnd w:id="33"/>
      <w:proofErr w:type="spellEnd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proofErr w:type="spellStart"/>
      <w:r w:rsidRPr="00754821">
        <w:rPr>
          <w:rFonts w:ascii="Verdana" w:hAnsi="Verdana"/>
          <w:b/>
        </w:rPr>
        <w:t>Create</w:t>
      </w:r>
      <w:proofErr w:type="spellEnd"/>
      <w:r w:rsidRPr="00754821">
        <w:rPr>
          <w:rFonts w:ascii="Verdana" w:hAnsi="Verdana"/>
          <w:b/>
        </w:rPr>
        <w:t xml:space="preserve">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</w:t>
      </w:r>
      <w:proofErr w:type="spellStart"/>
      <w:r w:rsidRPr="00754821">
        <w:rPr>
          <w:rFonts w:ascii="Verdana" w:hAnsi="Verdana"/>
          <w:lang w:val="en-US"/>
        </w:rPr>
        <w:t>sekcji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odnaleźć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paczkę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bCs/>
          <w:lang w:val="en-US"/>
        </w:rPr>
        <w:t>BlueMedia_BluePayment</w:t>
      </w:r>
      <w:proofErr w:type="spellEnd"/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proofErr w:type="spellStart"/>
      <w:r w:rsidRPr="00754821">
        <w:rPr>
          <w:rFonts w:ascii="Verdana" w:hAnsi="Verdana"/>
          <w:b/>
        </w:rPr>
        <w:t>Uninstall</w:t>
      </w:r>
      <w:proofErr w:type="spellEnd"/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Commit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Changes</w:t>
      </w:r>
      <w:proofErr w:type="spellEnd"/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deleted</w:t>
      </w:r>
      <w:proofErr w:type="spellEnd"/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przypadku niepowodzenia, należy spróbować </w:t>
      </w:r>
      <w:proofErr w:type="spellStart"/>
      <w:r w:rsidRPr="00754821">
        <w:rPr>
          <w:rFonts w:ascii="Verdana" w:hAnsi="Verdana"/>
        </w:rPr>
        <w:t>dezinstalować</w:t>
      </w:r>
      <w:proofErr w:type="spellEnd"/>
      <w:r w:rsidRPr="00754821">
        <w:rPr>
          <w:rFonts w:ascii="Verdana" w:hAnsi="Verdana"/>
        </w:rPr>
        <w:t xml:space="preserve">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4" w:name="_Toc7979667"/>
      <w:r w:rsidRPr="00754821">
        <w:rPr>
          <w:rFonts w:ascii="Verdana" w:hAnsi="Verdana"/>
        </w:rPr>
        <w:t>W przypadku ręcznej instalacji modułu</w:t>
      </w:r>
      <w:bookmarkEnd w:id="34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proofErr w:type="spellStart"/>
      <w:r w:rsidRPr="00754821">
        <w:rPr>
          <w:rFonts w:ascii="Verdana" w:hAnsi="Verdana"/>
          <w:b/>
        </w:rPr>
        <w:t>app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code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community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BlueMedia</w:t>
      </w:r>
      <w:proofErr w:type="spellEnd"/>
      <w:r w:rsidRPr="00754821">
        <w:rPr>
          <w:rFonts w:ascii="Verdana" w:hAnsi="Verdana"/>
          <w:b/>
        </w:rPr>
        <w:t>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js</w:t>
      </w:r>
      <w:proofErr w:type="spellEnd"/>
      <w:r w:rsidRPr="00754821">
        <w:rPr>
          <w:rFonts w:ascii="Verdana" w:hAnsi="Verdana"/>
          <w:b/>
          <w:lang w:val="en-US"/>
        </w:rPr>
        <w:t>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</w:t>
      </w:r>
      <w:proofErr w:type="spellStart"/>
      <w:r w:rsidRPr="00754821">
        <w:rPr>
          <w:rFonts w:ascii="Verdana" w:hAnsi="Verdana"/>
          <w:b/>
          <w:lang w:val="en-US"/>
        </w:rPr>
        <w:t>adminhtml</w:t>
      </w:r>
      <w:proofErr w:type="spellEnd"/>
      <w:r w:rsidRPr="00754821">
        <w:rPr>
          <w:rFonts w:ascii="Verdana" w:hAnsi="Verdana"/>
          <w:b/>
          <w:lang w:val="en-US"/>
        </w:rPr>
        <w:t>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</w:t>
      </w:r>
      <w:proofErr w:type="spellStart"/>
      <w:r w:rsidRPr="00754821">
        <w:rPr>
          <w:rFonts w:ascii="Verdana" w:hAnsi="Verdana"/>
          <w:b/>
          <w:lang w:val="en-US"/>
        </w:rPr>
        <w:t>etc</w:t>
      </w:r>
      <w:proofErr w:type="spellEnd"/>
      <w:r w:rsidRPr="00754821">
        <w:rPr>
          <w:rFonts w:ascii="Verdana" w:hAnsi="Verdana"/>
          <w:b/>
          <w:lang w:val="en-US"/>
        </w:rPr>
        <w:t>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</w:t>
      </w:r>
      <w:proofErr w:type="spellStart"/>
      <w:r w:rsidRPr="00754821">
        <w:rPr>
          <w:rFonts w:ascii="Verdana" w:hAnsi="Verdana"/>
          <w:b/>
          <w:lang w:val="en-US"/>
        </w:rPr>
        <w:t>pl_PL</w:t>
      </w:r>
      <w:proofErr w:type="spellEnd"/>
      <w:r w:rsidRPr="00754821">
        <w:rPr>
          <w:rFonts w:ascii="Verdana" w:hAnsi="Verdana"/>
          <w:b/>
          <w:lang w:val="en-US"/>
        </w:rPr>
        <w:t>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blue_cards</w:t>
      </w:r>
      <w:proofErr w:type="spellEnd"/>
      <w:r w:rsidRPr="00754821">
        <w:rPr>
          <w:rFonts w:ascii="Verdana" w:hAnsi="Verdana"/>
          <w:b/>
        </w:rPr>
        <w:t>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blue_gateways</w:t>
      </w:r>
      <w:proofErr w:type="spellEnd"/>
      <w:r w:rsidRPr="00754821">
        <w:rPr>
          <w:rFonts w:ascii="Verdana" w:hAnsi="Verdana"/>
          <w:b/>
        </w:rPr>
        <w:t>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</w:t>
      </w:r>
      <w:proofErr w:type="spellStart"/>
      <w:r w:rsidRPr="00754821">
        <w:rPr>
          <w:rFonts w:ascii="Verdana" w:hAnsi="Verdana"/>
          <w:b/>
          <w:lang w:val="en-US"/>
        </w:rPr>
        <w:t>core_resource</w:t>
      </w:r>
      <w:proofErr w:type="spellEnd"/>
      <w:r w:rsidRPr="00754821">
        <w:rPr>
          <w:rFonts w:ascii="Verdana" w:hAnsi="Verdana"/>
          <w:b/>
          <w:lang w:val="en-US"/>
        </w:rPr>
        <w:t>` WHERE `code` = "</w:t>
      </w:r>
      <w:proofErr w:type="spellStart"/>
      <w:r w:rsidRPr="00754821">
        <w:rPr>
          <w:rFonts w:ascii="Verdana" w:hAnsi="Verdana"/>
          <w:b/>
          <w:lang w:val="en-US"/>
        </w:rPr>
        <w:t>bluepayment_setup</w:t>
      </w:r>
      <w:proofErr w:type="spellEnd"/>
      <w:r w:rsidRPr="00754821">
        <w:rPr>
          <w:rFonts w:ascii="Verdana" w:hAnsi="Verdana"/>
          <w:b/>
          <w:lang w:val="en-US"/>
        </w:rPr>
        <w:t>";</w:t>
      </w:r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'payment/bluepayment%'</w:t>
      </w:r>
      <w:r w:rsidR="00357AFA" w:rsidRPr="00754821">
        <w:rPr>
          <w:rFonts w:ascii="Verdana" w:hAnsi="Verdana"/>
          <w:b/>
          <w:lang w:val="en-US"/>
        </w:rPr>
        <w:t>;</w:t>
      </w:r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E998A" w14:textId="77777777" w:rsidR="00EC0EEB" w:rsidRDefault="00EC0EEB" w:rsidP="00FF4851">
      <w:pPr>
        <w:spacing w:after="0" w:line="240" w:lineRule="auto"/>
      </w:pPr>
      <w:r>
        <w:separator/>
      </w:r>
    </w:p>
  </w:endnote>
  <w:endnote w:type="continuationSeparator" w:id="0">
    <w:p w14:paraId="6ECED1B1" w14:textId="77777777" w:rsidR="00EC0EEB" w:rsidRDefault="00EC0EEB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FDDC" w14:textId="77777777" w:rsidR="00EC0EEB" w:rsidRDefault="00EC0EEB" w:rsidP="00FF4851">
      <w:pPr>
        <w:spacing w:after="0" w:line="240" w:lineRule="auto"/>
      </w:pPr>
      <w:r>
        <w:separator/>
      </w:r>
    </w:p>
  </w:footnote>
  <w:footnote w:type="continuationSeparator" w:id="0">
    <w:p w14:paraId="719C73FE" w14:textId="77777777" w:rsidR="00EC0EEB" w:rsidRDefault="00EC0EEB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8"/>
  </w:num>
  <w:num w:numId="3">
    <w:abstractNumId w:val="2"/>
  </w:num>
  <w:num w:numId="4">
    <w:abstractNumId w:val="20"/>
  </w:num>
  <w:num w:numId="5">
    <w:abstractNumId w:val="5"/>
  </w:num>
  <w:num w:numId="6">
    <w:abstractNumId w:val="21"/>
  </w:num>
  <w:num w:numId="7">
    <w:abstractNumId w:val="1"/>
  </w:num>
  <w:num w:numId="8">
    <w:abstractNumId w:val="14"/>
  </w:num>
  <w:num w:numId="9">
    <w:abstractNumId w:val="23"/>
  </w:num>
  <w:num w:numId="10">
    <w:abstractNumId w:val="32"/>
  </w:num>
  <w:num w:numId="11">
    <w:abstractNumId w:val="36"/>
  </w:num>
  <w:num w:numId="12">
    <w:abstractNumId w:val="26"/>
  </w:num>
  <w:num w:numId="13">
    <w:abstractNumId w:val="28"/>
  </w:num>
  <w:num w:numId="14">
    <w:abstractNumId w:val="3"/>
  </w:num>
  <w:num w:numId="15">
    <w:abstractNumId w:val="0"/>
  </w:num>
  <w:num w:numId="16">
    <w:abstractNumId w:val="35"/>
  </w:num>
  <w:num w:numId="17">
    <w:abstractNumId w:val="34"/>
  </w:num>
  <w:num w:numId="18">
    <w:abstractNumId w:val="25"/>
  </w:num>
  <w:num w:numId="19">
    <w:abstractNumId w:val="19"/>
  </w:num>
  <w:num w:numId="20">
    <w:abstractNumId w:val="33"/>
  </w:num>
  <w:num w:numId="21">
    <w:abstractNumId w:val="24"/>
  </w:num>
  <w:num w:numId="22">
    <w:abstractNumId w:val="15"/>
  </w:num>
  <w:num w:numId="23">
    <w:abstractNumId w:val="9"/>
  </w:num>
  <w:num w:numId="24">
    <w:abstractNumId w:val="27"/>
  </w:num>
  <w:num w:numId="25">
    <w:abstractNumId w:val="30"/>
  </w:num>
  <w:num w:numId="26">
    <w:abstractNumId w:val="31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2"/>
  </w:num>
  <w:num w:numId="33">
    <w:abstractNumId w:val="13"/>
  </w:num>
  <w:num w:numId="34">
    <w:abstractNumId w:val="6"/>
  </w:num>
  <w:num w:numId="35">
    <w:abstractNumId w:val="7"/>
  </w:num>
  <w:num w:numId="36">
    <w:abstractNumId w:val="1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31434"/>
    <w:rsid w:val="00140AED"/>
    <w:rsid w:val="00145EC5"/>
    <w:rsid w:val="001559C3"/>
    <w:rsid w:val="00155B3D"/>
    <w:rsid w:val="00161A5B"/>
    <w:rsid w:val="00165588"/>
    <w:rsid w:val="001677D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5C8F"/>
    <w:rsid w:val="003C238B"/>
    <w:rsid w:val="003D01C0"/>
    <w:rsid w:val="003D25F0"/>
    <w:rsid w:val="003D377A"/>
    <w:rsid w:val="003D6F6D"/>
    <w:rsid w:val="003E0744"/>
    <w:rsid w:val="003E15A4"/>
    <w:rsid w:val="003E6E7D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1315E"/>
    <w:rsid w:val="00E171AA"/>
    <w:rsid w:val="00E328B9"/>
    <w:rsid w:val="00E3348D"/>
    <w:rsid w:val="00E36EE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21F3-952B-5542-B071-039B69E9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1835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5</cp:revision>
  <cp:lastPrinted>2019-04-28T18:34:00Z</cp:lastPrinted>
  <dcterms:created xsi:type="dcterms:W3CDTF">2019-05-12T20:04:00Z</dcterms:created>
  <dcterms:modified xsi:type="dcterms:W3CDTF">2019-05-12T20:07:00Z</dcterms:modified>
</cp:coreProperties>
</file>