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8"/>
          <w:szCs w:val="28"/>
        </w:rPr>
      </w:pPr>
      <w:bookmarkStart w:colFirst="0" w:colLast="0" w:name="_ifsvtld96edc" w:id="0"/>
      <w:bookmarkEnd w:id="0"/>
      <w:r w:rsidDel="00000000" w:rsidR="00000000" w:rsidRPr="00000000">
        <w:rPr>
          <w:sz w:val="28"/>
          <w:szCs w:val="28"/>
          <w:rtl w:val="0"/>
        </w:rPr>
        <w:t xml:space="preserve">LOGIC DESIGN EXPERIMENT 5: </w:t>
      </w:r>
    </w:p>
    <w:p w:rsidR="00000000" w:rsidDel="00000000" w:rsidP="00000000" w:rsidRDefault="00000000" w:rsidRPr="00000000" w14:paraId="00000002">
      <w:pPr>
        <w:rPr>
          <w:color w:val="000000"/>
          <w:sz w:val="28"/>
          <w:szCs w:val="28"/>
        </w:rPr>
      </w:pPr>
      <w:r w:rsidDel="00000000" w:rsidR="00000000" w:rsidRPr="00000000">
        <w:rPr>
          <w:sz w:val="28"/>
          <w:szCs w:val="28"/>
          <w:rtl w:val="0"/>
        </w:rPr>
        <w:t xml:space="preserve">Two’s complement and One’s complement to Decimal Decoder</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ab/>
        <w:tab/>
        <w:tab/>
        <w:tab/>
        <w:tab/>
        <w:tab/>
        <w:tab/>
        <w:tab/>
        <w:tab/>
        <w:tab/>
        <w:tab/>
        <w:tab/>
        <w:tab/>
        <w:tab/>
        <w:tab/>
        <w:tab/>
        <w:tab/>
        <w:t xml:space="preserve">2022/5</w:t>
      </w:r>
    </w:p>
    <w:p w:rsidR="00000000" w:rsidDel="00000000" w:rsidP="00000000" w:rsidRDefault="00000000" w:rsidRPr="00000000" w14:paraId="00000004">
      <w:pPr>
        <w:spacing w:after="111" w:lineRule="auto"/>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1. Use a 4-bit DIP switch to set 0 or 1 as a 4-bit input binary number. Also use green LEDs to show 1s in inputs.</w:t>
      </w:r>
    </w:p>
    <w:p w:rsidR="00000000" w:rsidDel="00000000" w:rsidP="00000000" w:rsidRDefault="00000000" w:rsidRPr="00000000" w14:paraId="00000005">
      <w:pPr>
        <w:spacing w:after="111" w:lineRule="auto"/>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2. The 4-bit input binary number may represent either two’s complement or one’s complement number. Convert the input binary number to BCD with an additional sign bit. Use red LEDs to indicate 1s in the BCD.</w:t>
      </w:r>
    </w:p>
    <w:p w:rsidR="00000000" w:rsidDel="00000000" w:rsidP="00000000" w:rsidRDefault="00000000" w:rsidRPr="00000000" w14:paraId="00000006">
      <w:pPr>
        <w:spacing w:after="111" w:lineRule="auto"/>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3. Use a quad 2:1 mux to switch between the two’s complement and the one’s complement number representations. A yellow LED must be on to indicate the input is a two’s complement number.</w:t>
      </w:r>
    </w:p>
    <w:p w:rsidR="00000000" w:rsidDel="00000000" w:rsidP="00000000" w:rsidRDefault="00000000" w:rsidRPr="00000000" w14:paraId="00000007">
      <w:pPr>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4. Use a 7-segment-display to show the input binary in decimal. The dot LED in the 7-segment-display must be on to indicate the input binary is negative.</w:t>
      </w:r>
    </w:p>
    <w:p w:rsidR="00000000" w:rsidDel="00000000" w:rsidP="00000000" w:rsidRDefault="00000000" w:rsidRPr="00000000" w14:paraId="00000008">
      <w:pPr>
        <w:rPr>
          <w:rFonts w:ascii="Times New Roman" w:cs="Times New Roman" w:eastAsia="Times New Roman" w:hAnsi="Times New Roman"/>
          <w:color w:val="000000"/>
          <w:sz w:val="23"/>
          <w:szCs w:val="23"/>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Parts:</w:t>
      </w:r>
    </w:p>
    <w:p w:rsidR="00000000" w:rsidDel="00000000" w:rsidP="00000000" w:rsidRDefault="00000000" w:rsidRPr="00000000" w14:paraId="0000000A">
      <w:pPr>
        <w:rPr>
          <w:rFonts w:ascii="Times New Roman" w:cs="Times New Roman" w:eastAsia="Times New Roman" w:hAnsi="Times New Roman"/>
          <w:color w:val="000000"/>
          <w:sz w:val="23"/>
          <w:szCs w:val="23"/>
        </w:rPr>
      </w:pPr>
      <w:r w:rsidDel="00000000" w:rsidR="00000000" w:rsidRPr="00000000">
        <w:rPr>
          <w:rtl w:val="0"/>
        </w:rPr>
      </w:r>
    </w:p>
    <w:p w:rsidR="00000000" w:rsidDel="00000000" w:rsidP="00000000" w:rsidRDefault="00000000" w:rsidRPr="00000000" w14:paraId="0000000B">
      <w:pPr>
        <w:spacing w:after="111" w:lineRule="auto"/>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1. DIP switch (8-bit)*1</w:t>
      </w:r>
    </w:p>
    <w:p w:rsidR="00000000" w:rsidDel="00000000" w:rsidP="00000000" w:rsidRDefault="00000000" w:rsidRPr="00000000" w14:paraId="0000000C">
      <w:pPr>
        <w:spacing w:after="111" w:lineRule="auto"/>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2. LED (green) *4</w:t>
      </w:r>
    </w:p>
    <w:p w:rsidR="00000000" w:rsidDel="00000000" w:rsidP="00000000" w:rsidRDefault="00000000" w:rsidRPr="00000000" w14:paraId="0000000D">
      <w:pPr>
        <w:spacing w:after="111" w:lineRule="auto"/>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3. LED (red) *4</w:t>
      </w:r>
    </w:p>
    <w:p w:rsidR="00000000" w:rsidDel="00000000" w:rsidP="00000000" w:rsidRDefault="00000000" w:rsidRPr="00000000" w14:paraId="0000000E">
      <w:pPr>
        <w:spacing w:after="111" w:lineRule="auto"/>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4. LED (yellow) *1</w:t>
      </w:r>
    </w:p>
    <w:p w:rsidR="00000000" w:rsidDel="00000000" w:rsidP="00000000" w:rsidRDefault="00000000" w:rsidRPr="00000000" w14:paraId="0000000F">
      <w:pPr>
        <w:spacing w:after="111" w:lineRule="auto"/>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5. 1Kohm R *5</w:t>
      </w:r>
    </w:p>
    <w:p w:rsidR="00000000" w:rsidDel="00000000" w:rsidP="00000000" w:rsidRDefault="00000000" w:rsidRPr="00000000" w14:paraId="00000010">
      <w:pPr>
        <w:spacing w:after="111" w:lineRule="auto"/>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6. 0.22Kohm R *16</w:t>
      </w:r>
    </w:p>
    <w:p w:rsidR="00000000" w:rsidDel="00000000" w:rsidP="00000000" w:rsidRDefault="00000000" w:rsidRPr="00000000" w14:paraId="00000011">
      <w:pPr>
        <w:spacing w:after="111" w:lineRule="auto"/>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7. 74157 (quad 2:1 mux) *1</w:t>
      </w:r>
    </w:p>
    <w:p w:rsidR="00000000" w:rsidDel="00000000" w:rsidP="00000000" w:rsidRDefault="00000000" w:rsidRPr="00000000" w14:paraId="00000012">
      <w:pPr>
        <w:spacing w:after="111" w:lineRule="auto"/>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8. 7483 (4-bit adder) *1</w:t>
      </w:r>
    </w:p>
    <w:p w:rsidR="00000000" w:rsidDel="00000000" w:rsidP="00000000" w:rsidRDefault="00000000" w:rsidRPr="00000000" w14:paraId="00000013">
      <w:pPr>
        <w:spacing w:after="111" w:lineRule="auto"/>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9. 7446/7447 (BCD-to-7-seg decoder)*1</w:t>
      </w:r>
    </w:p>
    <w:p w:rsidR="00000000" w:rsidDel="00000000" w:rsidP="00000000" w:rsidRDefault="00000000" w:rsidRPr="00000000" w14:paraId="00000014">
      <w:pPr>
        <w:spacing w:after="111" w:lineRule="auto"/>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10. 7-segment display*1</w:t>
      </w:r>
    </w:p>
    <w:p w:rsidR="00000000" w:rsidDel="00000000" w:rsidP="00000000" w:rsidRDefault="00000000" w:rsidRPr="00000000" w14:paraId="00000015">
      <w:pPr>
        <w:spacing w:after="111" w:lineRule="auto"/>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11. 7402 (NOR) *5</w:t>
      </w:r>
    </w:p>
    <w:p w:rsidR="00000000" w:rsidDel="00000000" w:rsidP="00000000" w:rsidRDefault="00000000" w:rsidRPr="00000000" w14:paraId="00000016">
      <w:pPr>
        <w:spacing w:after="111" w:lineRule="auto"/>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12. 7400 (NAND) *5</w:t>
      </w:r>
    </w:p>
    <w:p w:rsidR="00000000" w:rsidDel="00000000" w:rsidP="00000000" w:rsidRDefault="00000000" w:rsidRPr="00000000" w14:paraId="00000017">
      <w:pPr>
        <w:spacing w:after="111" w:lineRule="auto"/>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13. 7408 (AND) *3</w:t>
      </w:r>
    </w:p>
    <w:p w:rsidR="00000000" w:rsidDel="00000000" w:rsidP="00000000" w:rsidRDefault="00000000" w:rsidRPr="00000000" w14:paraId="00000018">
      <w:pPr>
        <w:spacing w:after="111" w:lineRule="auto"/>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14. 7432 (OR) *3</w:t>
      </w:r>
    </w:p>
    <w:p w:rsidR="00000000" w:rsidDel="00000000" w:rsidP="00000000" w:rsidRDefault="00000000" w:rsidRPr="00000000" w14:paraId="00000019">
      <w:pPr>
        <w:spacing w:after="111" w:lineRule="auto"/>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15. 7404 (NOT) *2</w:t>
      </w:r>
    </w:p>
    <w:p w:rsidR="00000000" w:rsidDel="00000000" w:rsidP="00000000" w:rsidRDefault="00000000" w:rsidRPr="00000000" w14:paraId="0000001A">
      <w:pPr>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16. 7486 (XOR)*1</w:t>
      </w:r>
    </w:p>
    <w:p w:rsidR="00000000" w:rsidDel="00000000" w:rsidP="00000000" w:rsidRDefault="00000000" w:rsidRPr="00000000" w14:paraId="0000001B">
      <w:pPr>
        <w:rPr>
          <w:rFonts w:ascii="Times New Roman" w:cs="Times New Roman" w:eastAsia="Times New Roman" w:hAnsi="Times New Roman"/>
          <w:color w:val="000000"/>
          <w:sz w:val="23"/>
          <w:szCs w:val="23"/>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2060"/>
          <w:rtl w:val="0"/>
        </w:rPr>
        <w:t xml:space="preserve">Common Anode (or Cathode) 7-segment display:</w:t>
      </w: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5631180" cy="2256613"/>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631180" cy="2256613"/>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pgSz w:h="17338" w:w="11906" w:orient="portrait"/>
          <w:pgMar w:bottom="851" w:top="851" w:left="851" w:right="849" w:header="720" w:footer="720"/>
          <w:pgNumType w:start="1"/>
        </w:sectPr>
      </w:pPr>
      <w:hyperlink r:id="rId7">
        <w:r w:rsidDel="00000000" w:rsidR="00000000" w:rsidRPr="00000000">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tl w:val="0"/>
          </w:rPr>
          <w:t xml:space="preserve">https://sites.google.com/a/ntut.org.tw/jimmyhu/projectlist/othertechnicdata/about-7-segment-display</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1314536" cy="1150219"/>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1314536" cy="1150219"/>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sectPr>
          <w:type w:val="continuous"/>
          <w:pgSz w:h="17338" w:w="11906" w:orient="portrait"/>
          <w:pgMar w:bottom="851" w:top="851" w:left="851" w:right="849" w:header="720" w:footer="720"/>
          <w:cols w:equalWidth="0" w:num="2">
            <w:col w:space="284" w:w="4961"/>
            <w:col w:space="0" w:w="4961"/>
          </w:cols>
        </w:sect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首先選定任一接腳為基準，三用電表撥於RX10檔，任一根測試棒固定接觸此接腳，再用另一根測試棒一一接觸各接腳，當顯示器發光時，紅棒接觸的那腳為陰極，黑棒接觸者為陽極。</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9">
        <w:r w:rsidDel="00000000" w:rsidR="00000000" w:rsidRPr="00000000">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tl w:val="0"/>
          </w:rPr>
          <w:t xml:space="preserve">http://content.saihs.edu.tw/contentbook/bep2/U1/07/b/b2_2.htm</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2060"/>
          <w:sz w:val="24"/>
          <w:szCs w:val="24"/>
          <w:u w:val="none"/>
          <w:shd w:fill="auto" w:val="clear"/>
          <w:vertAlign w:val="baseline"/>
          <w:rtl w:val="0"/>
        </w:rPr>
        <w:t xml:space="preserve">One’s and Two’s Complement:</w:t>
      </w:r>
      <w:r w:rsidDel="00000000" w:rsidR="00000000" w:rsidRPr="00000000">
        <w:rPr>
          <w:rtl w:val="0"/>
        </w:rPr>
      </w:r>
    </w:p>
    <w:tbl>
      <w:tblPr>
        <w:tblStyle w:val="Table1"/>
        <w:tblW w:w="4907.0" w:type="dxa"/>
        <w:jc w:val="left"/>
        <w:tblInd w:w="11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37"/>
        <w:gridCol w:w="1843"/>
        <w:gridCol w:w="1827"/>
        <w:tblGridChange w:id="0">
          <w:tblGrid>
            <w:gridCol w:w="1237"/>
            <w:gridCol w:w="1843"/>
            <w:gridCol w:w="1827"/>
          </w:tblGrid>
        </w:tblGridChange>
      </w:tblGrid>
      <w:tr>
        <w:trPr>
          <w:cantSplit w:val="0"/>
          <w:trHeight w:val="90" w:hRule="atLeast"/>
          <w:tblHeader w:val="0"/>
        </w:trPr>
        <w:tc>
          <w:tcPr/>
          <w:p w:rsidR="00000000" w:rsidDel="00000000" w:rsidP="00000000" w:rsidRDefault="00000000" w:rsidRPr="00000000" w14:paraId="00000025">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Decimal</w:t>
            </w:r>
          </w:p>
        </w:tc>
        <w:tc>
          <w:tcPr/>
          <w:p w:rsidR="00000000" w:rsidDel="00000000" w:rsidP="00000000" w:rsidRDefault="00000000" w:rsidRPr="00000000" w14:paraId="00000026">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One’s Complement</w:t>
            </w:r>
          </w:p>
        </w:tc>
        <w:tc>
          <w:tcPr/>
          <w:p w:rsidR="00000000" w:rsidDel="00000000" w:rsidP="00000000" w:rsidRDefault="00000000" w:rsidRPr="00000000" w14:paraId="00000027">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Two’s Complement</w:t>
            </w:r>
          </w:p>
        </w:tc>
      </w:tr>
      <w:tr>
        <w:trPr>
          <w:cantSplit w:val="0"/>
          <w:trHeight w:val="109" w:hRule="atLeast"/>
          <w:tblHeader w:val="0"/>
        </w:trPr>
        <w:tc>
          <w:tcPr/>
          <w:p w:rsidR="00000000" w:rsidDel="00000000" w:rsidP="00000000" w:rsidRDefault="00000000" w:rsidRPr="00000000" w14:paraId="00000028">
            <w:pPr>
              <w:jc w:val="center"/>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7</w:t>
            </w:r>
          </w:p>
        </w:tc>
        <w:tc>
          <w:tcPr/>
          <w:p w:rsidR="00000000" w:rsidDel="00000000" w:rsidP="00000000" w:rsidRDefault="00000000" w:rsidRPr="00000000" w14:paraId="00000029">
            <w:pPr>
              <w:jc w:val="center"/>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0111</w:t>
            </w:r>
          </w:p>
        </w:tc>
        <w:tc>
          <w:tcPr/>
          <w:p w:rsidR="00000000" w:rsidDel="00000000" w:rsidP="00000000" w:rsidRDefault="00000000" w:rsidRPr="00000000" w14:paraId="0000002A">
            <w:pPr>
              <w:jc w:val="center"/>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0111</w:t>
            </w:r>
          </w:p>
        </w:tc>
      </w:tr>
      <w:tr>
        <w:trPr>
          <w:cantSplit w:val="0"/>
          <w:trHeight w:val="109" w:hRule="atLeast"/>
          <w:tblHeader w:val="0"/>
        </w:trPr>
        <w:tc>
          <w:tcPr/>
          <w:p w:rsidR="00000000" w:rsidDel="00000000" w:rsidP="00000000" w:rsidRDefault="00000000" w:rsidRPr="00000000" w14:paraId="0000002B">
            <w:pPr>
              <w:jc w:val="center"/>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6</w:t>
            </w:r>
          </w:p>
        </w:tc>
        <w:tc>
          <w:tcPr/>
          <w:p w:rsidR="00000000" w:rsidDel="00000000" w:rsidP="00000000" w:rsidRDefault="00000000" w:rsidRPr="00000000" w14:paraId="0000002C">
            <w:pPr>
              <w:jc w:val="center"/>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0110</w:t>
            </w:r>
          </w:p>
        </w:tc>
        <w:tc>
          <w:tcPr/>
          <w:p w:rsidR="00000000" w:rsidDel="00000000" w:rsidP="00000000" w:rsidRDefault="00000000" w:rsidRPr="00000000" w14:paraId="0000002D">
            <w:pPr>
              <w:jc w:val="center"/>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0110</w:t>
            </w:r>
          </w:p>
        </w:tc>
      </w:tr>
      <w:tr>
        <w:trPr>
          <w:cantSplit w:val="0"/>
          <w:trHeight w:val="109" w:hRule="atLeast"/>
          <w:tblHeader w:val="0"/>
        </w:trPr>
        <w:tc>
          <w:tcPr/>
          <w:p w:rsidR="00000000" w:rsidDel="00000000" w:rsidP="00000000" w:rsidRDefault="00000000" w:rsidRPr="00000000" w14:paraId="0000002E">
            <w:pPr>
              <w:jc w:val="center"/>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5</w:t>
            </w:r>
          </w:p>
        </w:tc>
        <w:tc>
          <w:tcPr/>
          <w:p w:rsidR="00000000" w:rsidDel="00000000" w:rsidP="00000000" w:rsidRDefault="00000000" w:rsidRPr="00000000" w14:paraId="0000002F">
            <w:pPr>
              <w:jc w:val="center"/>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0101</w:t>
            </w:r>
          </w:p>
        </w:tc>
        <w:tc>
          <w:tcPr/>
          <w:p w:rsidR="00000000" w:rsidDel="00000000" w:rsidP="00000000" w:rsidRDefault="00000000" w:rsidRPr="00000000" w14:paraId="00000030">
            <w:pPr>
              <w:jc w:val="center"/>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0101</w:t>
            </w:r>
          </w:p>
        </w:tc>
      </w:tr>
      <w:tr>
        <w:trPr>
          <w:cantSplit w:val="0"/>
          <w:trHeight w:val="109" w:hRule="atLeast"/>
          <w:tblHeader w:val="0"/>
        </w:trPr>
        <w:tc>
          <w:tcPr/>
          <w:p w:rsidR="00000000" w:rsidDel="00000000" w:rsidP="00000000" w:rsidRDefault="00000000" w:rsidRPr="00000000" w14:paraId="00000031">
            <w:pPr>
              <w:jc w:val="center"/>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4</w:t>
            </w:r>
          </w:p>
        </w:tc>
        <w:tc>
          <w:tcPr/>
          <w:p w:rsidR="00000000" w:rsidDel="00000000" w:rsidP="00000000" w:rsidRDefault="00000000" w:rsidRPr="00000000" w14:paraId="00000032">
            <w:pPr>
              <w:jc w:val="center"/>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0100</w:t>
            </w:r>
          </w:p>
        </w:tc>
        <w:tc>
          <w:tcPr/>
          <w:p w:rsidR="00000000" w:rsidDel="00000000" w:rsidP="00000000" w:rsidRDefault="00000000" w:rsidRPr="00000000" w14:paraId="00000033">
            <w:pPr>
              <w:jc w:val="center"/>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0100</w:t>
            </w:r>
          </w:p>
        </w:tc>
      </w:tr>
      <w:tr>
        <w:trPr>
          <w:cantSplit w:val="0"/>
          <w:trHeight w:val="109" w:hRule="atLeast"/>
          <w:tblHeader w:val="0"/>
        </w:trPr>
        <w:tc>
          <w:tcPr/>
          <w:p w:rsidR="00000000" w:rsidDel="00000000" w:rsidP="00000000" w:rsidRDefault="00000000" w:rsidRPr="00000000" w14:paraId="00000034">
            <w:pPr>
              <w:jc w:val="center"/>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3</w:t>
            </w:r>
          </w:p>
        </w:tc>
        <w:tc>
          <w:tcPr/>
          <w:p w:rsidR="00000000" w:rsidDel="00000000" w:rsidP="00000000" w:rsidRDefault="00000000" w:rsidRPr="00000000" w14:paraId="00000035">
            <w:pPr>
              <w:jc w:val="center"/>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0011</w:t>
            </w:r>
          </w:p>
        </w:tc>
        <w:tc>
          <w:tcPr/>
          <w:p w:rsidR="00000000" w:rsidDel="00000000" w:rsidP="00000000" w:rsidRDefault="00000000" w:rsidRPr="00000000" w14:paraId="00000036">
            <w:pPr>
              <w:jc w:val="center"/>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0011</w:t>
            </w:r>
          </w:p>
        </w:tc>
      </w:tr>
      <w:tr>
        <w:trPr>
          <w:cantSplit w:val="0"/>
          <w:trHeight w:val="109" w:hRule="atLeast"/>
          <w:tblHeader w:val="0"/>
        </w:trPr>
        <w:tc>
          <w:tcPr/>
          <w:p w:rsidR="00000000" w:rsidDel="00000000" w:rsidP="00000000" w:rsidRDefault="00000000" w:rsidRPr="00000000" w14:paraId="00000037">
            <w:pPr>
              <w:jc w:val="center"/>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2</w:t>
            </w:r>
          </w:p>
        </w:tc>
        <w:tc>
          <w:tcPr/>
          <w:p w:rsidR="00000000" w:rsidDel="00000000" w:rsidP="00000000" w:rsidRDefault="00000000" w:rsidRPr="00000000" w14:paraId="00000038">
            <w:pPr>
              <w:jc w:val="center"/>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0010</w:t>
            </w:r>
          </w:p>
        </w:tc>
        <w:tc>
          <w:tcPr/>
          <w:p w:rsidR="00000000" w:rsidDel="00000000" w:rsidP="00000000" w:rsidRDefault="00000000" w:rsidRPr="00000000" w14:paraId="00000039">
            <w:pPr>
              <w:jc w:val="center"/>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0010</w:t>
            </w:r>
          </w:p>
        </w:tc>
      </w:tr>
      <w:tr>
        <w:trPr>
          <w:cantSplit w:val="0"/>
          <w:trHeight w:val="109" w:hRule="atLeast"/>
          <w:tblHeader w:val="0"/>
        </w:trPr>
        <w:tc>
          <w:tcPr/>
          <w:p w:rsidR="00000000" w:rsidDel="00000000" w:rsidP="00000000" w:rsidRDefault="00000000" w:rsidRPr="00000000" w14:paraId="0000003A">
            <w:pPr>
              <w:jc w:val="center"/>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1</w:t>
            </w:r>
          </w:p>
        </w:tc>
        <w:tc>
          <w:tcPr/>
          <w:p w:rsidR="00000000" w:rsidDel="00000000" w:rsidP="00000000" w:rsidRDefault="00000000" w:rsidRPr="00000000" w14:paraId="0000003B">
            <w:pPr>
              <w:jc w:val="center"/>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0001</w:t>
            </w:r>
          </w:p>
        </w:tc>
        <w:tc>
          <w:tcPr/>
          <w:p w:rsidR="00000000" w:rsidDel="00000000" w:rsidP="00000000" w:rsidRDefault="00000000" w:rsidRPr="00000000" w14:paraId="0000003C">
            <w:pPr>
              <w:jc w:val="center"/>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0001</w:t>
            </w:r>
          </w:p>
        </w:tc>
      </w:tr>
      <w:tr>
        <w:trPr>
          <w:cantSplit w:val="0"/>
          <w:trHeight w:val="109" w:hRule="atLeast"/>
          <w:tblHeader w:val="0"/>
        </w:trPr>
        <w:tc>
          <w:tcPr/>
          <w:p w:rsidR="00000000" w:rsidDel="00000000" w:rsidP="00000000" w:rsidRDefault="00000000" w:rsidRPr="00000000" w14:paraId="0000003D">
            <w:pPr>
              <w:jc w:val="center"/>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0</w:t>
            </w:r>
          </w:p>
        </w:tc>
        <w:tc>
          <w:tcPr/>
          <w:p w:rsidR="00000000" w:rsidDel="00000000" w:rsidP="00000000" w:rsidRDefault="00000000" w:rsidRPr="00000000" w14:paraId="0000003E">
            <w:pPr>
              <w:jc w:val="center"/>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0000</w:t>
            </w:r>
          </w:p>
        </w:tc>
        <w:tc>
          <w:tcPr/>
          <w:p w:rsidR="00000000" w:rsidDel="00000000" w:rsidP="00000000" w:rsidRDefault="00000000" w:rsidRPr="00000000" w14:paraId="0000003F">
            <w:pPr>
              <w:jc w:val="center"/>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0000</w:t>
            </w:r>
          </w:p>
        </w:tc>
      </w:tr>
      <w:tr>
        <w:trPr>
          <w:cantSplit w:val="0"/>
          <w:trHeight w:val="109" w:hRule="atLeast"/>
          <w:tblHeader w:val="0"/>
        </w:trPr>
        <w:tc>
          <w:tcPr/>
          <w:p w:rsidR="00000000" w:rsidDel="00000000" w:rsidP="00000000" w:rsidRDefault="00000000" w:rsidRPr="00000000" w14:paraId="00000040">
            <w:pPr>
              <w:jc w:val="center"/>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0</w:t>
            </w:r>
          </w:p>
        </w:tc>
        <w:tc>
          <w:tcPr/>
          <w:p w:rsidR="00000000" w:rsidDel="00000000" w:rsidP="00000000" w:rsidRDefault="00000000" w:rsidRPr="00000000" w14:paraId="00000041">
            <w:pPr>
              <w:jc w:val="center"/>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0000</w:t>
            </w:r>
          </w:p>
        </w:tc>
        <w:tc>
          <w:tcPr/>
          <w:p w:rsidR="00000000" w:rsidDel="00000000" w:rsidP="00000000" w:rsidRDefault="00000000" w:rsidRPr="00000000" w14:paraId="00000042">
            <w:pPr>
              <w:jc w:val="center"/>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0000</w:t>
            </w:r>
          </w:p>
        </w:tc>
      </w:tr>
      <w:tr>
        <w:trPr>
          <w:cantSplit w:val="0"/>
          <w:trHeight w:val="109" w:hRule="atLeast"/>
          <w:tblHeader w:val="0"/>
        </w:trPr>
        <w:tc>
          <w:tcPr/>
          <w:p w:rsidR="00000000" w:rsidDel="00000000" w:rsidP="00000000" w:rsidRDefault="00000000" w:rsidRPr="00000000" w14:paraId="00000043">
            <w:pPr>
              <w:jc w:val="center"/>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-1</w:t>
            </w:r>
          </w:p>
        </w:tc>
        <w:tc>
          <w:tcPr/>
          <w:p w:rsidR="00000000" w:rsidDel="00000000" w:rsidP="00000000" w:rsidRDefault="00000000" w:rsidRPr="00000000" w14:paraId="00000044">
            <w:pPr>
              <w:jc w:val="center"/>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1110</w:t>
            </w:r>
          </w:p>
        </w:tc>
        <w:tc>
          <w:tcPr/>
          <w:p w:rsidR="00000000" w:rsidDel="00000000" w:rsidP="00000000" w:rsidRDefault="00000000" w:rsidRPr="00000000" w14:paraId="00000045">
            <w:pPr>
              <w:jc w:val="center"/>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1111</w:t>
            </w:r>
          </w:p>
        </w:tc>
      </w:tr>
      <w:tr>
        <w:trPr>
          <w:cantSplit w:val="0"/>
          <w:trHeight w:val="109" w:hRule="atLeast"/>
          <w:tblHeader w:val="0"/>
        </w:trPr>
        <w:tc>
          <w:tcPr/>
          <w:p w:rsidR="00000000" w:rsidDel="00000000" w:rsidP="00000000" w:rsidRDefault="00000000" w:rsidRPr="00000000" w14:paraId="00000046">
            <w:pPr>
              <w:jc w:val="center"/>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-2</w:t>
            </w:r>
          </w:p>
        </w:tc>
        <w:tc>
          <w:tcPr/>
          <w:p w:rsidR="00000000" w:rsidDel="00000000" w:rsidP="00000000" w:rsidRDefault="00000000" w:rsidRPr="00000000" w14:paraId="00000047">
            <w:pPr>
              <w:jc w:val="center"/>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1101</w:t>
            </w:r>
          </w:p>
        </w:tc>
        <w:tc>
          <w:tcPr/>
          <w:p w:rsidR="00000000" w:rsidDel="00000000" w:rsidP="00000000" w:rsidRDefault="00000000" w:rsidRPr="00000000" w14:paraId="00000048">
            <w:pPr>
              <w:jc w:val="center"/>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1110</w:t>
            </w:r>
          </w:p>
        </w:tc>
      </w:tr>
      <w:tr>
        <w:trPr>
          <w:cantSplit w:val="0"/>
          <w:trHeight w:val="109" w:hRule="atLeast"/>
          <w:tblHeader w:val="0"/>
        </w:trPr>
        <w:tc>
          <w:tcPr/>
          <w:p w:rsidR="00000000" w:rsidDel="00000000" w:rsidP="00000000" w:rsidRDefault="00000000" w:rsidRPr="00000000" w14:paraId="00000049">
            <w:pPr>
              <w:jc w:val="center"/>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-3</w:t>
            </w:r>
          </w:p>
        </w:tc>
        <w:tc>
          <w:tcPr/>
          <w:p w:rsidR="00000000" w:rsidDel="00000000" w:rsidP="00000000" w:rsidRDefault="00000000" w:rsidRPr="00000000" w14:paraId="0000004A">
            <w:pPr>
              <w:jc w:val="center"/>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1100</w:t>
            </w:r>
          </w:p>
        </w:tc>
        <w:tc>
          <w:tcPr/>
          <w:p w:rsidR="00000000" w:rsidDel="00000000" w:rsidP="00000000" w:rsidRDefault="00000000" w:rsidRPr="00000000" w14:paraId="0000004B">
            <w:pPr>
              <w:jc w:val="center"/>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1101</w:t>
            </w:r>
          </w:p>
        </w:tc>
      </w:tr>
      <w:tr>
        <w:trPr>
          <w:cantSplit w:val="0"/>
          <w:trHeight w:val="109" w:hRule="atLeast"/>
          <w:tblHeader w:val="0"/>
        </w:trPr>
        <w:tc>
          <w:tcPr/>
          <w:p w:rsidR="00000000" w:rsidDel="00000000" w:rsidP="00000000" w:rsidRDefault="00000000" w:rsidRPr="00000000" w14:paraId="0000004C">
            <w:pPr>
              <w:jc w:val="center"/>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-4</w:t>
            </w:r>
          </w:p>
        </w:tc>
        <w:tc>
          <w:tcPr/>
          <w:p w:rsidR="00000000" w:rsidDel="00000000" w:rsidP="00000000" w:rsidRDefault="00000000" w:rsidRPr="00000000" w14:paraId="0000004D">
            <w:pPr>
              <w:jc w:val="center"/>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1011</w:t>
            </w:r>
          </w:p>
        </w:tc>
        <w:tc>
          <w:tcPr/>
          <w:p w:rsidR="00000000" w:rsidDel="00000000" w:rsidP="00000000" w:rsidRDefault="00000000" w:rsidRPr="00000000" w14:paraId="0000004E">
            <w:pPr>
              <w:jc w:val="center"/>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1100</w:t>
            </w:r>
          </w:p>
        </w:tc>
      </w:tr>
      <w:tr>
        <w:trPr>
          <w:cantSplit w:val="0"/>
          <w:trHeight w:val="109" w:hRule="atLeast"/>
          <w:tblHeader w:val="0"/>
        </w:trPr>
        <w:tc>
          <w:tcPr/>
          <w:p w:rsidR="00000000" w:rsidDel="00000000" w:rsidP="00000000" w:rsidRDefault="00000000" w:rsidRPr="00000000" w14:paraId="0000004F">
            <w:pPr>
              <w:jc w:val="center"/>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-5</w:t>
            </w:r>
          </w:p>
        </w:tc>
        <w:tc>
          <w:tcPr/>
          <w:p w:rsidR="00000000" w:rsidDel="00000000" w:rsidP="00000000" w:rsidRDefault="00000000" w:rsidRPr="00000000" w14:paraId="00000050">
            <w:pPr>
              <w:jc w:val="center"/>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1010</w:t>
            </w:r>
          </w:p>
        </w:tc>
        <w:tc>
          <w:tcPr/>
          <w:p w:rsidR="00000000" w:rsidDel="00000000" w:rsidP="00000000" w:rsidRDefault="00000000" w:rsidRPr="00000000" w14:paraId="00000051">
            <w:pPr>
              <w:jc w:val="center"/>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1011</w:t>
            </w:r>
          </w:p>
        </w:tc>
      </w:tr>
      <w:tr>
        <w:trPr>
          <w:cantSplit w:val="0"/>
          <w:trHeight w:val="109" w:hRule="atLeast"/>
          <w:tblHeader w:val="0"/>
        </w:trPr>
        <w:tc>
          <w:tcPr/>
          <w:p w:rsidR="00000000" w:rsidDel="00000000" w:rsidP="00000000" w:rsidRDefault="00000000" w:rsidRPr="00000000" w14:paraId="00000052">
            <w:pPr>
              <w:jc w:val="center"/>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-6</w:t>
            </w:r>
          </w:p>
        </w:tc>
        <w:tc>
          <w:tcPr/>
          <w:p w:rsidR="00000000" w:rsidDel="00000000" w:rsidP="00000000" w:rsidRDefault="00000000" w:rsidRPr="00000000" w14:paraId="00000053">
            <w:pPr>
              <w:jc w:val="center"/>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1001</w:t>
            </w:r>
          </w:p>
        </w:tc>
        <w:tc>
          <w:tcPr/>
          <w:p w:rsidR="00000000" w:rsidDel="00000000" w:rsidP="00000000" w:rsidRDefault="00000000" w:rsidRPr="00000000" w14:paraId="00000054">
            <w:pPr>
              <w:jc w:val="center"/>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1010</w:t>
            </w:r>
          </w:p>
        </w:tc>
      </w:tr>
      <w:tr>
        <w:trPr>
          <w:cantSplit w:val="0"/>
          <w:trHeight w:val="109" w:hRule="atLeast"/>
          <w:tblHeader w:val="0"/>
        </w:trPr>
        <w:tc>
          <w:tcPr/>
          <w:p w:rsidR="00000000" w:rsidDel="00000000" w:rsidP="00000000" w:rsidRDefault="00000000" w:rsidRPr="00000000" w14:paraId="00000055">
            <w:pPr>
              <w:jc w:val="center"/>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-7</w:t>
            </w:r>
          </w:p>
        </w:tc>
        <w:tc>
          <w:tcPr/>
          <w:p w:rsidR="00000000" w:rsidDel="00000000" w:rsidP="00000000" w:rsidRDefault="00000000" w:rsidRPr="00000000" w14:paraId="00000056">
            <w:pPr>
              <w:jc w:val="center"/>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1000</w:t>
            </w:r>
          </w:p>
        </w:tc>
        <w:tc>
          <w:tcPr/>
          <w:p w:rsidR="00000000" w:rsidDel="00000000" w:rsidP="00000000" w:rsidRDefault="00000000" w:rsidRPr="00000000" w14:paraId="00000057">
            <w:pPr>
              <w:jc w:val="center"/>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1001</w:t>
            </w:r>
          </w:p>
        </w:tc>
      </w:tr>
      <w:tr>
        <w:trPr>
          <w:cantSplit w:val="0"/>
          <w:trHeight w:val="109" w:hRule="atLeast"/>
          <w:tblHeader w:val="0"/>
        </w:trPr>
        <w:tc>
          <w:tcPr/>
          <w:p w:rsidR="00000000" w:rsidDel="00000000" w:rsidP="00000000" w:rsidRDefault="00000000" w:rsidRPr="00000000" w14:paraId="00000058">
            <w:pPr>
              <w:jc w:val="center"/>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-8</w:t>
            </w:r>
          </w:p>
        </w:tc>
        <w:tc>
          <w:tcPr/>
          <w:p w:rsidR="00000000" w:rsidDel="00000000" w:rsidP="00000000" w:rsidRDefault="00000000" w:rsidRPr="00000000" w14:paraId="00000059">
            <w:pPr>
              <w:jc w:val="center"/>
              <w:rPr>
                <w:rFonts w:ascii="Times New Roman" w:cs="Times New Roman" w:eastAsia="Times New Roman" w:hAnsi="Times New Roman"/>
                <w:color w:val="000000"/>
                <w:sz w:val="23"/>
                <w:szCs w:val="23"/>
              </w:rPr>
            </w:pPr>
            <w:r w:rsidDel="00000000" w:rsidR="00000000" w:rsidRPr="00000000">
              <w:rPr>
                <w:rtl w:val="0"/>
              </w:rPr>
            </w:r>
          </w:p>
        </w:tc>
        <w:tc>
          <w:tcPr/>
          <w:p w:rsidR="00000000" w:rsidDel="00000000" w:rsidP="00000000" w:rsidRDefault="00000000" w:rsidRPr="00000000" w14:paraId="0000005A">
            <w:pPr>
              <w:jc w:val="center"/>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1000</w:t>
            </w:r>
          </w:p>
        </w:tc>
      </w:tr>
    </w:tbl>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2060"/>
          <w:sz w:val="24"/>
          <w:szCs w:val="24"/>
          <w:u w:val="none"/>
          <w:shd w:fill="auto" w:val="clear"/>
          <w:vertAlign w:val="baseline"/>
          <w:rtl w:val="0"/>
        </w:rPr>
        <w:t xml:space="preserve">7446/7447 (BCD-to-7-seg decoder):</w:t>
      </w: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6757099" cy="2554726"/>
            <wp:effectExtent b="0" l="0" r="0" t="0"/>
            <wp:docPr id="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6757099" cy="2554726"/>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3321861" cy="2272558"/>
            <wp:effectExtent b="0" l="0" r="0" t="0"/>
            <wp:docPr id="4"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3321861" cy="2272558"/>
                    </a:xfrm>
                    <a:prstGeom prst="rect"/>
                    <a:ln/>
                  </pic:spPr>
                </pic:pic>
              </a:graphicData>
            </a:graphic>
          </wp:inline>
        </w:drawing>
      </w:r>
      <w:r w:rsidDel="00000000" w:rsidR="00000000" w:rsidRPr="00000000">
        <w:rPr>
          <w:rtl w:val="0"/>
        </w:rPr>
      </w:r>
    </w:p>
    <w:sectPr>
      <w:type w:val="continuous"/>
      <w:pgSz w:h="17338" w:w="11906" w:orient="portrait"/>
      <w:pgMar w:bottom="851" w:top="851" w:left="851" w:right="849"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4.png"/><Relationship Id="rId10" Type="http://schemas.openxmlformats.org/officeDocument/2006/relationships/image" Target="media/image2.png"/><Relationship Id="rId9" Type="http://schemas.openxmlformats.org/officeDocument/2006/relationships/hyperlink" Target="http://content.saihs.edu.tw/contentbook/bep2/U1/07/b/b2_2.htm"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sites.google.com/a/ntut.org.tw/jimmyhu/projectlist/othertechnicdata/about-7-segment-display" TargetMode="External"/><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