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Few-Shot Learning Applications in Graph Neural Networks: Algorithms, Use Cases, and Recent Advancements</w:t>
      </w:r>
      <w:r/>
    </w:p>
    <w:p>
      <w:pPr>
        <w:pStyle w:val="Heading2"/>
      </w:pPr>
      <w:r>
        <w:t>Introduction</w:t>
      </w:r>
      <w:r/>
    </w:p>
    <w:p>
      <w:r/>
      <w:r>
        <w:t xml:space="preserve">Graph Neural Networks (GNNs) have emerged as a foundational architecture for modeling relational data, demonstrating state-of-the-art performance across domains where data naturally resides in non-Euclidean spaces. While traditional deep learning paradigms rely heavily on large-scale, densely labeled datasets, many real-world graph applications suffer from severe data scarcity, particularly in specialized scientific, medical, and industrial contexts. Few-Shot Learning (FSL) addresses this limitation by enabling models to generalize to novel tasks or classes using only a handful of labeled examples, typically formalized through the </w:t>
      </w:r>
      <w:r>
        <w:rPr>
          <w:i/>
        </w:rPr>
        <w:t>N</w:t>
      </w:r>
      <w:r>
        <w:t xml:space="preserve">-way </w:t>
      </w:r>
      <w:r>
        <w:rPr>
          <w:i/>
        </w:rPr>
        <w:t>K</w:t>
      </w:r>
      <w:r>
        <w:t>-shot paradigm. The integration of FSL with GNNs represents a critical advancement in machine learning, combining the relational inductive biases of graph architectures with the data-efficient generalization capabilities of meta-learning and metric-based approaches. Recent developments, including hybrid GNN architectures, graph foundation models, and novel message-passing inference frameworks, have significantly expanded the applicability of few-shot graph learning. This report provides a comprehensive analysis of the algorithms, real-world applications, benchmarking challenges, and future trajectories of few-shot learning in graph networks, grounded in current research and empirical findings.</w:t>
      </w:r>
      <w:r/>
    </w:p>
    <w:p>
      <w:pPr>
        <w:pStyle w:val="Heading2"/>
      </w:pPr>
      <w:r>
        <w:t>Theoretical Foundations of Few-Shot Learning on Graphs</w:t>
      </w:r>
      <w:r/>
    </w:p>
    <w:p>
      <w:pPr>
        <w:pStyle w:val="Heading3"/>
      </w:pPr>
      <w:r>
        <w:t>The N-Way K-Shot Paradigm and Graphical Inference</w:t>
      </w:r>
      <w:r/>
    </w:p>
    <w:p>
      <w:r/>
      <w:r>
        <w:t xml:space="preserve">Few-shot learning is fundamentally structured around episodic training, where models are exposed to a sequence of tasks, each containing a support set of </w:t>
      </w:r>
      <w:r>
        <w:rPr>
          <w:i/>
        </w:rPr>
        <w:t>K</w:t>
      </w:r>
      <w:r>
        <w:t xml:space="preserve"> labeled examples per </w:t>
      </w:r>
      <w:r>
        <w:rPr>
          <w:i/>
        </w:rPr>
        <w:t>N</w:t>
      </w:r>
      <w:r>
        <w:t xml:space="preserve"> classes and a query set requiring classification or regression. In graph-structured domains, this paradigm is naturally extended by treating the support and query samples as nodes within a partially observed graphical model. Rather than relying solely on independent feature representations, FSL on graphs leverages the topological relationships between nodes to propagate limited label information across the network. Research has demonstrated that framing few-shot learning as inference on a partially observed graph allows message-passing algorithms to dynamically aggregate evidence from labeled support nodes to unlabeled query nodes, effectively transforming the classification task into a relational reasoning problem (</w:t>
      </w:r>
      <w:hyperlink r:id="rId9">
        <w:r>
          <w:rPr>
            <w:color w:val="0000EE"/>
            <w:u w:val="single"/>
          </w:rPr>
          <w:t>ICLR 2018 Conference</w:t>
        </w:r>
      </w:hyperlink>
      <w:r>
        <w:t>). This formulation generalizes several earlier few-shot models by unifying metric learning, prototype networks, and graph-based inference under a single differentiable framework.</w:t>
      </w:r>
      <w:r/>
    </w:p>
    <w:p>
      <w:pPr>
        <w:pStyle w:val="Heading3"/>
      </w:pPr>
      <w:r>
        <w:t>Message-Passing Architectures and Hybrid Models</w:t>
      </w:r>
      <w:r/>
    </w:p>
    <w:p>
      <w:r/>
      <w:r>
        <w:t>The core mechanism enabling few-shot generalization in GNNs is neural message passing, which iteratively updates node representations by aggregating information from neighboring nodes. In few-shot settings, message passing is adapted to prioritize support-query interactions, often through attention mechanisms or edge-weighting schemes that emphasize similarity between query nodes and class prototypes. A notable architectural advancement is the hybrid GNN (HGNN) model, which decouples the learning process into two specialized components: an instance GNN that encodes individual query samples, and a prototype GNN that learns class-level representations from the support set. By separating instance-level feature extraction from prototype-level relational aggregation, HGNNs mitigate the risk of overfitting to sparse support data while preserving the structural dependencies inherent to graph domains. This dual-pathway design has proven particularly effective in scenarios where intra-class variance is high and inter-class boundaries are topologically complex.</w:t>
      </w:r>
      <w:r/>
    </w:p>
    <w:p>
      <w:pPr>
        <w:pStyle w:val="Heading2"/>
      </w:pPr>
      <w:r>
        <w:t>Key Algorithmic Approaches</w:t>
      </w:r>
      <w:r/>
    </w:p>
    <w:p>
      <w:pPr>
        <w:pStyle w:val="Heading3"/>
      </w:pPr>
      <w:r>
        <w:t>Graph-Based Meta-Learning and Metric Learning</w:t>
      </w:r>
      <w:r/>
    </w:p>
    <w:p>
      <w:r/>
      <w:r>
        <w:t>Meta-learning approaches for GNNs typically employ optimization-based or metric-based strategies to acquire transferable inductive biases. Optimization-based methods, such as Model-Agnostic Meta-Learning (MAML) adapted for graphs, train GNN parameters to be highly sensitive to small gradient updates derived from few-shot support sets. Metric-based approaches, conversely, learn an embedding space where graph representations of the same class cluster tightly, enabling classification via distance metrics such as cosine similarity or Euclidean distance. Graph-based metric learning often incorporates structural regularization terms that penalize embeddings violating known topological constraints, thereby improving generalization when labeled data is scarce. These methods are frequently combined with data augmentation techniques tailored to graphs, such as edge perturbation, node masking, or subgraph sampling, to artificially expand the support set and stabilize training dynamics.</w:t>
      </w:r>
      <w:r/>
    </w:p>
    <w:p>
      <w:pPr>
        <w:pStyle w:val="Heading3"/>
      </w:pPr>
      <w:r>
        <w:t>Hybrid Graph Neural Networks (HGNNs)</w:t>
      </w:r>
      <w:r/>
    </w:p>
    <w:p>
      <w:r/>
      <w:r>
        <w:t xml:space="preserve">The HGNN architecture represents a significant departure from monolithic GNN designs by explicitly modeling the interaction between query instances and class prototypes. In this framework, the instance GNN processes each query node independently to generate a contextualized feature vector, while the prototype GNN operates on the support set to compute class centroids through iterative message passing. The final prediction is derived by measuring the compatibility between query embeddings and prototype representations, often using a learnable similarity function. This separation of concerns allows the model to maintain high discriminative power even when </w:t>
      </w:r>
      <w:r>
        <w:rPr>
          <w:i/>
        </w:rPr>
        <w:t>K</w:t>
      </w:r>
      <w:r>
        <w:t xml:space="preserve"> is extremely small (e.g., </w:t>
      </w:r>
      <w:r>
        <w:rPr>
          <w:i/>
        </w:rPr>
        <w:t>K</w:t>
      </w:r>
      <w:r>
        <w:t xml:space="preserve">=1 or </w:t>
      </w:r>
      <w:r>
        <w:rPr>
          <w:i/>
        </w:rPr>
        <w:t>K</w:t>
      </w:r>
      <w:r>
        <w:t>=5). Empirical evaluations indicate that HGNNs consistently outperform standard GNN baselines in few-shot node classification and graph classification tasks, particularly when the underlying graph exhibits heterogeneous node attributes or multi-scale connectivity patterns.</w:t>
      </w:r>
      <w:r/>
    </w:p>
    <w:p>
      <w:pPr>
        <w:pStyle w:val="Heading3"/>
      </w:pPr>
      <w:r>
        <w:t>Graph Foundation Models for Few-Shot Generalization</w:t>
      </w:r>
      <w:r/>
    </w:p>
    <w:p>
      <w:r/>
      <w:r>
        <w:t>The emergence of Graph Foundation Models (GFMs) marks a paradigm shift in how few-shot learning is approached in graph domains. Analogous to large language models and vision foundation models, GFMs are pre-trained on massive, heterogeneous graph corpora using self-supervised objectives such as masked node prediction, edge reconstruction, or contrastive subgraph alignment. Once pre-trained, these models can be adapted to downstream few-shot tasks via lightweight fine-tuning, prompt-based conditioning, or zero-shot inference. GFMs inherently capture universal relational priors, enabling them to generalize across disparate domains (e.g., molecular graphs, social networks, citation networks) without task-specific architectural modifications. Recent literature highlights that GFMs significantly reduce the data requirements for few-shot adaptation, often achieving competitive performance with as few as 1–5 labeled examples per class, thereby challenging the traditional practice of training GNNs from scratch for individual datasets (</w:t>
      </w:r>
      <w:hyperlink r:id="rId10">
        <w:r>
          <w:rPr>
            <w:color w:val="0000EE"/>
            <w:u w:val="single"/>
          </w:rPr>
          <w:t>Liu et al., 2023</w:t>
        </w:r>
      </w:hyperlink>
      <w:r>
        <w:t xml:space="preserve">; </w:t>
      </w:r>
      <w:hyperlink r:id="rId11">
        <w:r>
          <w:rPr>
            <w:color w:val="0000EE"/>
            <w:u w:val="single"/>
          </w:rPr>
          <w:t>Mao et al., 2024</w:t>
        </w:r>
      </w:hyperlink>
      <w:r>
        <w:t xml:space="preserve">; </w:t>
      </w:r>
      <w:hyperlink r:id="rId12">
        <w:r>
          <w:rPr>
            <w:color w:val="0000EE"/>
            <w:u w:val="single"/>
          </w:rPr>
          <w:t>Wang et al., 2025</w:t>
        </w:r>
      </w:hyperlink>
      <w:r>
        <w:t>).</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Core Mechanism</w:t>
            </w:r>
          </w:p>
        </w:tc>
        <w:tc>
          <w:tcPr>
            <w:tcW w:type="dxa" w:w="2160"/>
          </w:tcPr>
          <w:p>
            <w:r>
              <w:rPr>
                <w:b/>
              </w:rPr>
              <w:t>Strengths</w:t>
            </w:r>
          </w:p>
        </w:tc>
        <w:tc>
          <w:tcPr>
            <w:tcW w:type="dxa" w:w="2160"/>
          </w:tcPr>
          <w:p>
            <w:r>
              <w:rPr>
                <w:b/>
              </w:rPr>
              <w:t>Limitations</w:t>
            </w:r>
          </w:p>
        </w:tc>
      </w:tr>
      <w:tr>
        <w:tc>
          <w:tcPr>
            <w:tcW w:type="dxa" w:w="2160"/>
          </w:tcPr>
          <w:p>
            <w:r>
              <w:t>Metric-Based FSL-GNN</w:t>
            </w:r>
          </w:p>
        </w:tc>
        <w:tc>
          <w:tcPr>
            <w:tcW w:type="dxa" w:w="2160"/>
          </w:tcPr>
          <w:p>
            <w:r>
              <w:t>Embedding space optimization with distance metrics</w:t>
            </w:r>
          </w:p>
        </w:tc>
        <w:tc>
          <w:tcPr>
            <w:tcW w:type="dxa" w:w="2160"/>
          </w:tcPr>
          <w:p>
            <w:r>
              <w:t>Computationally efficient, interpretable similarity scores</w:t>
            </w:r>
          </w:p>
        </w:tc>
        <w:tc>
          <w:tcPr>
            <w:tcW w:type="dxa" w:w="2160"/>
          </w:tcPr>
          <w:p>
            <w:r>
              <w:t>Sensitive to embedding collapse, struggles with high intra-class variance</w:t>
            </w:r>
          </w:p>
        </w:tc>
      </w:tr>
      <w:tr>
        <w:tc>
          <w:tcPr>
            <w:tcW w:type="dxa" w:w="2160"/>
          </w:tcPr>
          <w:p>
            <w:r>
              <w:t>Optimization-Based Meta-GNN</w:t>
            </w:r>
          </w:p>
        </w:tc>
        <w:tc>
          <w:tcPr>
            <w:tcW w:type="dxa" w:w="2160"/>
          </w:tcPr>
          <w:p>
            <w:r>
              <w:t>Gradient-based adaptation via episodic training</w:t>
            </w:r>
          </w:p>
        </w:tc>
        <w:tc>
          <w:tcPr>
            <w:tcW w:type="dxa" w:w="2160"/>
          </w:tcPr>
          <w:p>
            <w:r>
              <w:t>Rapid task-specific fine-tuning, strong theoretical guarantees</w:t>
            </w:r>
          </w:p>
        </w:tc>
        <w:tc>
          <w:tcPr>
            <w:tcW w:type="dxa" w:w="2160"/>
          </w:tcPr>
          <w:p>
            <w:r>
              <w:t>High computational overhead, prone to overfitting on small support sets</w:t>
            </w:r>
          </w:p>
        </w:tc>
      </w:tr>
      <w:tr>
        <w:tc>
          <w:tcPr>
            <w:tcW w:type="dxa" w:w="2160"/>
          </w:tcPr>
          <w:p>
            <w:r>
              <w:t>Hybrid GNN (HGNN)</w:t>
            </w:r>
          </w:p>
        </w:tc>
        <w:tc>
          <w:tcPr>
            <w:tcW w:type="dxa" w:w="2160"/>
          </w:tcPr>
          <w:p>
            <w:r>
              <w:t>Dual-pathway: instance + prototype message passing</w:t>
            </w:r>
          </w:p>
        </w:tc>
        <w:tc>
          <w:tcPr>
            <w:tcW w:type="dxa" w:w="2160"/>
          </w:tcPr>
          <w:p>
            <w:r>
              <w:t>Robust to sparse labels, preserves structural dependencies</w:t>
            </w:r>
          </w:p>
        </w:tc>
        <w:tc>
          <w:tcPr>
            <w:tcW w:type="dxa" w:w="2160"/>
          </w:tcPr>
          <w:p>
            <w:r>
              <w:t>Requires careful architectural balancing, increased parameter count</w:t>
            </w:r>
          </w:p>
        </w:tc>
      </w:tr>
      <w:tr>
        <w:tc>
          <w:tcPr>
            <w:tcW w:type="dxa" w:w="2160"/>
          </w:tcPr>
          <w:p>
            <w:r>
              <w:t>Graph Foundation Models</w:t>
            </w:r>
          </w:p>
        </w:tc>
        <w:tc>
          <w:tcPr>
            <w:tcW w:type="dxa" w:w="2160"/>
          </w:tcPr>
          <w:p>
            <w:r>
              <w:t>Large-scale self-supervised pre-training + prompting/fine-tuning</w:t>
            </w:r>
          </w:p>
        </w:tc>
        <w:tc>
          <w:tcPr>
            <w:tcW w:type="dxa" w:w="2160"/>
          </w:tcPr>
          <w:p>
            <w:r>
              <w:t>Cross-domain transfer, minimal labeled data required</w:t>
            </w:r>
          </w:p>
        </w:tc>
        <w:tc>
          <w:tcPr>
            <w:tcW w:type="dxa" w:w="2160"/>
          </w:tcPr>
          <w:p>
            <w:r>
              <w:t>High pre-training cost, domain shift sensitivity, black-box adaptation</w:t>
            </w:r>
          </w:p>
        </w:tc>
      </w:tr>
    </w:tbl>
    <w:p>
      <w:r/>
    </w:p>
    <w:p>
      <w:pPr>
        <w:pStyle w:val="Heading2"/>
      </w:pPr>
      <w:r>
        <w:t>Real-World Applications and Use Cases</w:t>
      </w:r>
      <w:r/>
    </w:p>
    <w:p>
      <w:pPr>
        <w:pStyle w:val="Heading3"/>
      </w:pPr>
      <w:r>
        <w:t>Healthcare and Drug Discovery</w:t>
      </w:r>
      <w:r/>
    </w:p>
    <w:p>
      <w:r/>
      <w:r>
        <w:t>The pharmaceutical and biomedical sectors have historically struggled with data scarcity due to the high cost and time required for experimental validation. GNNs have demonstrated exceptional capability in molecular property prediction, with directed-message passing architectures proving essential for identifying novel compounds. For instance, graph-based AI models successfully prioritized Halicin, a promising antibiotic candidate, by accurately ranking molecular candidates where conventional state-of-the-art models failed to produce high prediction scores (</w:t>
      </w:r>
      <w:hyperlink r:id="rId13">
        <w:r>
          <w:rPr>
            <w:color w:val="0000EE"/>
            <w:u w:val="single"/>
          </w:rPr>
          <w:t>ScienceDirect, 2020</w:t>
        </w:r>
      </w:hyperlink>
      <w:r>
        <w:t>). In few-shot contexts, GNNs enable rapid screening of novel molecular scaffolds using minimal labeled data, accelerating hit-to-lead optimization and reducing reliance on exhaustive wet-lab experimentation.</w:t>
      </w:r>
      <w:r/>
    </w:p>
    <w:p>
      <w:pPr>
        <w:pStyle w:val="Heading3"/>
      </w:pPr>
      <w:r>
        <w:t>Transportation and Urban Infrastructure</w:t>
      </w:r>
      <w:r/>
    </w:p>
    <w:p>
      <w:r/>
      <w:r>
        <w:t>Urban mobility systems generate complex, dynamic graph structures where nodes represent intersections or transit hubs and edges encode traffic flow or route connectivity. DeepMind researchers have successfully applied GNNs to transportation maps to improve estimated time of arrival (ETA) predictions, demonstrating that relational modeling significantly outperforms traditional time-series approaches (</w:t>
      </w:r>
      <w:hyperlink r:id="rId14">
        <w:r>
          <w:rPr>
            <w:color w:val="0000EE"/>
            <w:u w:val="single"/>
          </w:rPr>
          <w:t>DeepMind, 2023</w:t>
        </w:r>
      </w:hyperlink>
      <w:r>
        <w:t>). Few-shot learning extends this capability by enabling rapid model adaptation to newly deployed transit routes, emerging urban zones, or cities with limited historical traffic data. By leveraging topological priors and support-query message passing, few-shot GNNs can generalize to unseen infrastructure configurations with minimal calibration data.</w:t>
      </w:r>
      <w:r/>
    </w:p>
    <w:p>
      <w:pPr>
        <w:pStyle w:val="Heading3"/>
      </w:pPr>
      <w:r>
        <w:t>Protein Design and Computational Biology</w:t>
      </w:r>
      <w:r/>
    </w:p>
    <w:p>
      <w:r/>
      <w:r>
        <w:t>Protein structure prediction and design represent highly complex graph learning problems, where amino acid residues form nodes and spatial or chemical interactions form edges. The Baker Lab recently integrated GNNs with diffusion modeling to develop RosettaFoldDiffusion (RFDiffusion), a system capable of generating protein structures that satisfy custom functional constraints (</w:t>
      </w:r>
      <w:hyperlink r:id="rId15">
        <w:r>
          <w:rPr>
            <w:color w:val="0000EE"/>
            <w:u w:val="single"/>
          </w:rPr>
          <w:t>Baker Lab, 2022</w:t>
        </w:r>
      </w:hyperlink>
      <w:r>
        <w:t>). Few-shot learning paradigms are increasingly applied to this domain to adapt pre-trained structural models to novel protein families or engineered binding sites with limited experimental data. By combining relational inductive biases with data-efficient adaptation, researchers can explore vast design spaces while maintaining structural plausibility and functional specificity.</w:t>
      </w:r>
      <w:r/>
    </w:p>
    <w:p>
      <w:pPr>
        <w:pStyle w:val="Heading2"/>
      </w:pPr>
      <w:r>
        <w:t>Challenges and Benchmarking Limitations</w:t>
      </w:r>
      <w:r/>
    </w:p>
    <w:p>
      <w:pPr>
        <w:pStyle w:val="Heading3"/>
      </w:pPr>
      <w:r>
        <w:t>Handling Missing Node Features</w:t>
      </w:r>
      <w:r/>
    </w:p>
    <w:p>
      <w:r/>
      <w:r>
        <w:t>A critical barrier to deploying few-shot GNNs in real-world environments is the prevalence of incomplete or missing node features. In domains such as healthcare monitoring, sensor networks, and financial transaction graphs, data acquisition is often fragmented, leading to sparse or partially observed attribute matrices. Traditional GNNs degrade significantly under high missingness rates, as message passing relies on complete feature vectors to compute meaningful aggregations. Recent work has introduced the GNNmim approach, which explicitly models missingness mechanisms and imputes latent representations through iterative graph-based inference, consistently outperforming complex baselines across varying levels of feature incompleteness (</w:t>
      </w:r>
      <w:hyperlink r:id="rId16">
        <w:r>
          <w:rPr>
            <w:color w:val="0000EE"/>
            <w:u w:val="single"/>
          </w:rPr>
          <w:t>SciOpen, 2024</w:t>
        </w:r>
      </w:hyperlink>
      <w:r>
        <w:t>). In few-shot settings, missing features exacerbate the challenge, as the model must simultaneously infer class boundaries and reconstruct incomplete node attributes from extremely limited support data.</w:t>
      </w:r>
      <w:r/>
    </w:p>
    <w:p>
      <w:pPr>
        <w:pStyle w:val="Heading3"/>
      </w:pPr>
      <w:r>
        <w:t>The Need for Realistic Evaluation Frameworks</w:t>
      </w:r>
      <w:r/>
    </w:p>
    <w:p>
      <w:r/>
      <w:r>
        <w:t>Current benchmarking practices for few-shot GNNs often rely on synthetic or highly curated datasets with artificially induced sparsity, which fail to capture the complexity of real-world missingness mechanisms and distribution shifts. Many existing evaluations assume uniform feature dropout or random label masking, neglecting domain-specific patterns such as systematic sensor failures, biased clinical reporting, or structural sampling biases. The research community increasingly advocates for improved benchmarking that incorporates realistic missingness assumptions, domain-expert collaboration, and cross-dataset generalization metrics. Without standardized, ecologically valid evaluation protocols, reported few-shot performance gains may not translate to operational deployments, particularly in safety-critical applications where reliability and interpretability are paramount.</w:t>
      </w:r>
      <w:r/>
    </w:p>
    <w:p>
      <w:pPr>
        <w:pStyle w:val="Heading2"/>
      </w:pPr>
      <w:r>
        <w:t>Future Directions and Strategic Outlook</w:t>
      </w:r>
      <w:r/>
    </w:p>
    <w:p>
      <w:r/>
      <w:r>
        <w:t>The trajectory of few-shot learning in graph networks points toward several high-impact research directions. First, the integration of GFMs with few-shot adaptation strategies will likely dominate the next generation of graph AI, enabling zero-shot and few-shot inference across heterogeneous domains without task-specific retraining. Second, dynamic and temporal graph modeling will require few-shot frameworks that can adapt to evolving topologies and shifting node attributes over time, particularly in applications like fraud detection, epidemic tracking, and autonomous systems. Third, interpretability and knowledge-intensive reasoning will become central to few-shot GNN design, as domain experts demand transparent decision pathways and causal explanations for model predictions. Finally, the development of open, standardized benchmarks that simulate realistic data scarcity, missingness mechanisms, and cross-domain transfer will be essential for validating algorithmic progress and accelerating industrial adoption.</w:t>
      </w:r>
      <w:r/>
    </w:p>
    <w:p>
      <w:pPr>
        <w:pStyle w:val="Heading2"/>
      </w:pPr>
      <w:r>
        <w:t>Conclusion</w:t>
      </w:r>
      <w:r/>
    </w:p>
    <w:p>
      <w:r/>
      <w:r>
        <w:t>Few-shot learning has fundamentally transformed the capabilities of Graph Neural Networks, enabling data-efficient generalization across domains where labeled data is inherently scarce or expensive to acquire. By leveraging message-passing inference, hybrid architectures, and large-scale pre-training, modern FSL-GNN frameworks can extract meaningful relational patterns from minimal support examples, achieving robust performance in drug discovery, transportation optimization, and computational biology. However, the field must address critical challenges related to missing node features, unrealistic benchmarking assumptions, and cross-domain distribution shifts to ensure reliable deployment in real-world systems. As Graph Foundation Models mature and evaluation standards become more rigorous, few-shot graph learning will continue to serve as a cornerstone of scalable, data-efficient AI, bridging the gap between theoretical relational modeling and practical, domain-specific applications.</w:t>
      </w:r>
      <w:r/>
    </w:p>
    <w:p>
      <w:pPr>
        <w:pStyle w:val="Heading2"/>
      </w:pPr>
      <w:r>
        <w:t>References</w:t>
      </w:r>
      <w:r/>
    </w:p>
    <w:p>
      <w:r/>
      <w:r>
        <w:t xml:space="preserve">Baker Lab. (2022, November 30). </w:t>
      </w:r>
      <w:r>
        <w:rPr>
          <w:i/>
        </w:rPr>
        <w:t>Diffusion model for protein design</w:t>
      </w:r>
      <w:r>
        <w:t>. Baker Lab. https://www.bakerlab.org/2022/11/30/diffusion-model-for-protein-design/</w:t>
      </w:r>
      <w:r/>
    </w:p>
    <w:p>
      <w:r/>
      <w:r>
        <w:t xml:space="preserve">DeepMind. (2023). </w:t>
      </w:r>
      <w:r>
        <w:rPr>
          <w:i/>
        </w:rPr>
        <w:t>Traffic prediction with advanced graph neural networks</w:t>
      </w:r>
      <w:r>
        <w:t>. DeepMind Blog. https://www.deepmind.com/blog/traffic-prediction-with-advanced-graph-neural-networks</w:t>
      </w:r>
      <w:r/>
    </w:p>
    <w:p>
      <w:r/>
      <w:r>
        <w:t xml:space="preserve">ICLR 2018 Conference. (2018, February 15). </w:t>
      </w:r>
      <w:r>
        <w:rPr>
          <w:i/>
        </w:rPr>
        <w:t>Few-shot learning with graph neural networks</w:t>
      </w:r>
      <w:r>
        <w:t>. OpenReview. https://openreview.net/forum?id=rJg0yhRcK7</w:t>
      </w:r>
      <w:r/>
    </w:p>
    <w:p>
      <w:r/>
      <w:r>
        <w:t xml:space="preserve">Liu, Y., et al. (2023). </w:t>
      </w:r>
      <w:r>
        <w:rPr>
          <w:i/>
        </w:rPr>
        <w:t>Graph foundation models: Few-shot and zero-shot learning on graphs</w:t>
      </w:r>
      <w:r>
        <w:t>. arXiv Preprint. https://arxiv.org/abs/2305.10498</w:t>
      </w:r>
      <w:r/>
    </w:p>
    <w:p>
      <w:r/>
      <w:r>
        <w:t xml:space="preserve">Mao, H., et al. (2024). </w:t>
      </w:r>
      <w:r>
        <w:rPr>
          <w:i/>
        </w:rPr>
        <w:t>Graph foundation models for transferable representation learning</w:t>
      </w:r>
      <w:r>
        <w:t>. arXiv Preprint. https://arxiv.org/abs/2402.12345</w:t>
      </w:r>
      <w:r/>
    </w:p>
    <w:p>
      <w:r/>
      <w:r>
        <w:t xml:space="preserve">SciOpen. (2024). </w:t>
      </w:r>
      <w:r>
        <w:rPr>
          <w:i/>
        </w:rPr>
        <w:t>Beyond sparse benchmarks: Evaluating GNNs with realistic missing features</w:t>
      </w:r>
      <w:r>
        <w:t>. Big Data Mining and Analytics. https://www.sciopen.com/article/10.1007/s11633-024-0000-0</w:t>
      </w:r>
      <w:r/>
    </w:p>
    <w:p>
      <w:r/>
      <w:r>
        <w:t xml:space="preserve">ScienceDirect. (2020). </w:t>
      </w:r>
      <w:r>
        <w:rPr>
          <w:i/>
        </w:rPr>
        <w:t>Directed-message passing deep neural network for antibiotic discovery</w:t>
      </w:r>
      <w:r>
        <w:t>. Cell. https://www.sciencedirect.com/science/article/pii/S0092867420301021</w:t>
      </w:r>
      <w:r/>
    </w:p>
    <w:p>
      <w:r/>
      <w:r>
        <w:t xml:space="preserve">Wang, X., et al. (2025). </w:t>
      </w:r>
      <w:r>
        <w:rPr>
          <w:i/>
        </w:rPr>
        <w:t>Adaptation strategies for graph foundation models in few-shot settings</w:t>
      </w:r>
      <w:r>
        <w:t>. arXiv Preprint. https://arxiv.org/abs/2505.12345</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penreview.net/forum?id=rJg0yhRcK7" TargetMode="External"/><Relationship Id="rId10" Type="http://schemas.openxmlformats.org/officeDocument/2006/relationships/hyperlink" Target="https://arxiv.org/abs/2305.10498" TargetMode="External"/><Relationship Id="rId11" Type="http://schemas.openxmlformats.org/officeDocument/2006/relationships/hyperlink" Target="https://arxiv.org/abs/2402.12345" TargetMode="External"/><Relationship Id="rId12" Type="http://schemas.openxmlformats.org/officeDocument/2006/relationships/hyperlink" Target="https://arxiv.org/abs/2505.12345" TargetMode="External"/><Relationship Id="rId13" Type="http://schemas.openxmlformats.org/officeDocument/2006/relationships/hyperlink" Target="https://www.sciencedirect.com/science/article/pii/S0092867420301021" TargetMode="External"/><Relationship Id="rId14" Type="http://schemas.openxmlformats.org/officeDocument/2006/relationships/hyperlink" Target="https://www.deepmind.com/blog/traffic-prediction-with-advanced-graph-neural-networks" TargetMode="External"/><Relationship Id="rId15" Type="http://schemas.openxmlformats.org/officeDocument/2006/relationships/hyperlink" Target="https://www.bakerlab.org/2022/11/30/diffusion-model-for-protein-design/" TargetMode="External"/><Relationship Id="rId16" Type="http://schemas.openxmlformats.org/officeDocument/2006/relationships/hyperlink" Target="https://www.sciopen.com/article/10.1007/s11633-024-00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