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68"/>
        </w:rPr>
        <w:t>題材雷達</w:t>
      </w:r>
    </w:p>
    <w:p>
      <w:pPr>
        <w:jc w:val="center"/>
      </w:pPr>
      <w:r>
        <w:rPr>
          <w:b/>
          <w:color w:val="1F3864"/>
          <w:sz w:val="48"/>
        </w:rPr>
        <w:t>訊號有效性驗證報告</w:t>
      </w:r>
    </w:p>
    <w:p>
      <w:pPr>
        <w:jc w:val="center"/>
      </w:pPr>
      <w:r>
        <w:rPr>
          <w:color w:val="2E75B6"/>
          <w:sz w:val="28"/>
        </w:rPr>
        <w:t>Signal Validation Report</w:t>
      </w:r>
    </w:p>
    <w:p/>
    <w:p>
      <w:pPr>
        <w:jc w:val="center"/>
      </w:pPr>
      <w:r>
        <w:rPr>
          <w:i/>
          <w:color w:val="707070"/>
          <w:sz w:val="24"/>
        </w:rPr>
        <w:t>「NII / Phase 訊號是否領先股價？」三方獨立檢驗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1814"/>
            <w:shd w:val="clear" w:color="auto" w:fill="1F38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報告版本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分析日期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2026-05-30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資料區間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2025-11-26 ～ 2026-05-25（約 116 交易日）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驗證方法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交叉相關（變化量 / 水位）＋ 事件研究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結論等級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初步驗證（樣本有限）</w:t>
            </w:r>
          </w:p>
        </w:tc>
      </w:tr>
    </w:tbl>
    <w:p/>
    <w:p>
      <w:pPr>
        <w:jc w:val="center"/>
      </w:pPr>
      <w:r>
        <w:rPr>
          <w:i/>
          <w:color w:val="C55A11"/>
          <w:sz w:val="18"/>
        </w:rPr>
        <w:t>⚠️ 本報告為方法論驗證，所有結論不構成投資建議。</w:t>
      </w:r>
    </w:p>
    <w:p>
      <w:r>
        <w:br w:type="page"/>
      </w:r>
    </w:p>
    <w:p>
      <w:pPr>
        <w:spacing w:before="360" w:after="80"/>
      </w:pPr>
      <w:r>
        <w:rPr>
          <w:b/>
          <w:color w:val="1F3864"/>
          <w:sz w:val="32"/>
        </w:rPr>
        <w:t>摘要（Executive Summary）</w:t>
      </w:r>
    </w:p>
    <w:p>
      <w:pPr>
        <w:spacing w:after="160"/>
        <w:pBdr>
          <w:bottom w:val="single" w:sz="6" w:space="1" w:color="2E75B6"/>
        </w:pBdr>
      </w:pPr>
    </w:p>
    <w:p>
      <w:pPr>
        <w:spacing w:after="120"/>
      </w:pPr>
      <w:r>
        <w:rPr>
          <w:b w:val="0"/>
          <w:sz w:val="21"/>
        </w:rPr>
        <w:t>本報告針對「題材雷達」系統的核心假設——「NII（新聞強度指數）與其衍生的 Phase（相位）訊號能否『領先』股價，進而作為早期進場依據」——進行三種獨立的統計檢驗。</w:t>
      </w:r>
    </w:p>
    <w:p>
      <w:pPr>
        <w:spacing w:before="120" w:after="160"/>
        <w:ind w:left="170" w:right="170"/>
        <w:pBdr>
          <w:top w:val="single" w:sz="12" w:space="5" w:color="C0392B"/>
          <w:left w:val="single" w:sz="12" w:space="5" w:color="C0392B"/>
          <w:bottom w:val="single" w:sz="12" w:space="5" w:color="C0392B"/>
          <w:right w:val="single" w:sz="12" w:space="5" w:color="C0392B"/>
        </w:pBdr>
      </w:pPr>
      <w:r>
        <w:rPr>
          <w:b/>
          <w:color w:val="C0392B"/>
          <w:sz w:val="21"/>
        </w:rPr>
        <w:t>核心結論</w:t>
        <w:br/>
      </w:r>
      <w:r>
        <w:rPr>
          <w:color w:val="404040"/>
          <w:sz w:val="20"/>
        </w:rPr>
        <w:t>在目前約 116 個交易日的資料下，三種方法一致顯示：NII / Phase 訊號「並未」展現可靠的領先預測力。最強的訊號關聯均為「同步」（與股價同時反應），而「預熱」訊號後進場的報酬與「隨機任一天進場」相比無顯著優勢。</w:t>
        <w:br/>
        <w:br/>
        <w:t>→ 系統應定位為「題材熱度即時監控儀表板（同步指標）」，而非「擇時進場工具（領先指標）」。</w:t>
      </w:r>
    </w:p>
    <w:p>
      <w:pPr>
        <w:spacing w:before="240" w:after="60"/>
      </w:pPr>
      <w:r>
        <w:rPr>
          <w:b/>
          <w:color w:val="2E75B6"/>
          <w:sz w:val="26"/>
        </w:rPr>
        <w:t>三方檢驗結果一覽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檢驗方法</w:t>
            </w:r>
          </w:p>
        </w:tc>
        <w:tc>
          <w:tcPr>
            <w:tcW w:type="dxa" w:w="311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檢驗的問題</w:t>
            </w:r>
          </w:p>
        </w:tc>
        <w:tc>
          <w:tcPr>
            <w:tcW w:type="dxa" w:w="311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結果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2E75B6"/>
                <w:sz w:val="18"/>
              </w:rPr>
              <w:t>① 變化量交叉相關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ΔNII 能否預測未來報酬的變化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404040"/>
                <w:sz w:val="18"/>
              </w:rPr>
              <w:t>0/7 正向領先；最強關聯在 lag=0（同步）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2E75B6"/>
                <w:sz w:val="18"/>
              </w:rPr>
              <w:t>② 水位交叉相關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NII 高檔狀態能否預測未來報酬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404040"/>
                <w:sz w:val="18"/>
              </w:rPr>
              <w:t>0/7 正向領先；最強關聯仍在 lag=0（同步）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2E75B6"/>
                <w:sz w:val="18"/>
              </w:rPr>
              <w:t>③ 事件研究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「預熱」訊號進場能否打敗隨機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404040"/>
                <w:sz w:val="18"/>
              </w:rPr>
              <w:t>59 次事件，無顯著優勢（p=0.13～0.49）</w:t>
            </w:r>
          </w:p>
        </w:tc>
      </w:tr>
    </w:tbl>
    <w:p/>
    <w:p>
      <w:pPr>
        <w:spacing w:before="360" w:after="80"/>
      </w:pPr>
      <w:r>
        <w:rPr>
          <w:b/>
          <w:color w:val="1F3864"/>
          <w:sz w:val="32"/>
        </w:rPr>
        <w:t>1．驗證背景與問題定義</w:t>
      </w:r>
    </w:p>
    <w:p>
      <w:pPr>
        <w:spacing w:after="160"/>
        <w:pBdr>
          <w:bottom w:val="single" w:sz="6" w:space="1" w:color="2E75B6"/>
        </w:pBdr>
      </w:pPr>
    </w:p>
    <w:p>
      <w:pPr>
        <w:spacing w:after="120"/>
      </w:pPr>
      <w:r>
        <w:rPr>
          <w:b w:val="0"/>
          <w:sz w:val="21"/>
        </w:rPr>
        <w:t>「題材雷達」每日計算 7 個半導體題材的 NII，並依其相對水位與斜率分類為四個相位：冷卻❄️、預熱🌡、發燒🔥、降溫📉。系統的核心產品主張是：「預熱」代表題材熱度在低檔翻揚，是「早期進場訊號」。</w:t>
      </w:r>
    </w:p>
    <w:p>
      <w:pPr>
        <w:spacing w:after="120"/>
      </w:pPr>
      <w:r>
        <w:rPr>
          <w:b w:val="0"/>
          <w:sz w:val="21"/>
        </w:rPr>
        <w:t>此主張隱含一個關鍵的、過去從未被驗證的假設：</w:t>
      </w:r>
    </w:p>
    <w:p>
      <w:pPr>
        <w:spacing w:before="120" w:after="160"/>
        <w:ind w:left="170" w:right="170"/>
        <w:pBdr>
          <w:top w:val="single" w:sz="12" w:space="5" w:color="2E75B6"/>
          <w:left w:val="single" w:sz="12" w:space="5" w:color="2E75B6"/>
          <w:bottom w:val="single" w:sz="12" w:space="5" w:color="2E75B6"/>
          <w:right w:val="single" w:sz="12" w:space="5" w:color="2E75B6"/>
        </w:pBdr>
      </w:pPr>
      <w:r>
        <w:rPr>
          <w:b/>
          <w:color w:val="2E75B6"/>
          <w:sz w:val="21"/>
        </w:rPr>
        <w:t>待驗證的核心假設</w:t>
        <w:br/>
      </w:r>
      <w:r>
        <w:rPr>
          <w:color w:val="404040"/>
          <w:sz w:val="20"/>
        </w:rPr>
        <w:t>新聞熱度（NII）的變化「領先」股價的變化——亦即新聞先動、股價後動。</w:t>
        <w:br/>
        <w:t>若此假設成立，Phase 訊號便有提前布局的價值；若不成立（新聞與股價同步、或新聞落後於股價），則依訊號進場等同追高，不具參考價值。</w:t>
      </w:r>
    </w:p>
    <w:p>
      <w:pPr>
        <w:spacing w:after="120"/>
      </w:pPr>
      <w:r>
        <w:rPr>
          <w:b w:val="0"/>
          <w:color w:val="404040"/>
          <w:sz w:val="21"/>
        </w:rPr>
        <w:t>為避免單一方法的偏誤，本報告以三種互補的方法交叉檢驗，並全程使用「日報酬率」與「逐日擴張窗口」等嚴謹設計，杜絕共同趨勢造成的假相關與偷看未來資料（lookahead bias）。</w:t>
      </w:r>
    </w:p>
    <w:p>
      <w:pPr>
        <w:spacing w:before="360" w:after="80"/>
      </w:pPr>
      <w:r>
        <w:rPr>
          <w:b/>
          <w:color w:val="1F3864"/>
          <w:sz w:val="32"/>
        </w:rPr>
        <w:t>2．方法論</w:t>
      </w:r>
    </w:p>
    <w:p>
      <w:pPr>
        <w:spacing w:after="160"/>
        <w:pBdr>
          <w:bottom w:val="single" w:sz="6" w:space="1" w:color="2E75B6"/>
        </w:pBdr>
      </w:pPr>
    </w:p>
    <w:p>
      <w:pPr>
        <w:spacing w:after="120"/>
      </w:pPr>
      <w:r>
        <w:rPr>
          <w:b w:val="0"/>
          <w:sz w:val="21"/>
        </w:rPr>
        <w:t>股價代理一律採用 SMI（Sector Momentum Index，類股等權報酬指數）——將每個題材的相關概念股以等權方式組成籃子。相較單一個股，籃子能有效降低個股特有的雜訊，更能代表整個題材的股價動向。</w:t>
      </w:r>
    </w:p>
    <w:p>
      <w:pPr>
        <w:spacing w:before="240" w:after="60"/>
      </w:pPr>
      <w:r>
        <w:rPr>
          <w:b/>
          <w:color w:val="2E75B6"/>
          <w:sz w:val="26"/>
        </w:rPr>
        <w:t>方法一：變化量交叉相關（最嚴謹）</w:t>
      </w:r>
    </w:p>
    <w:p>
      <w:pPr>
        <w:spacing w:after="120"/>
      </w:pPr>
      <w:r>
        <w:rPr>
          <w:b w:val="0"/>
          <w:sz w:val="21"/>
        </w:rPr>
        <w:t>計算 corr(ΔNII_t, 報酬_{t+k})，k 從 −10 到 +10 天。將 NII 取「日變化量」與股價「日報酬」相關，兩者皆為平穩序列，可避免共同趨勢造成的虛假相關。正 lag 相關高代表 NII 領先；負 lag 代表落後。</w:t>
      </w:r>
    </w:p>
    <w:p>
      <w:pPr>
        <w:spacing w:before="240" w:after="60"/>
      </w:pPr>
      <w:r>
        <w:rPr>
          <w:b/>
          <w:color w:val="2E75B6"/>
          <w:sz w:val="26"/>
        </w:rPr>
        <w:t>方法二：水位交叉相關（貼近 Phase 邏輯）</w:t>
      </w:r>
    </w:p>
    <w:p>
      <w:pPr>
        <w:spacing w:after="120"/>
      </w:pPr>
      <w:r>
        <w:rPr>
          <w:b w:val="0"/>
          <w:sz w:val="21"/>
        </w:rPr>
        <w:t>同上，但訊號改用 NII「絕對水位」而非變化量。由於 Phase 系統本身即以 NII 水位（是否超過均值±1σ）定義，此版本更貼近系統實際發訊號的方式。代價是水位序列較持續，須留意假相關，故與方法一交叉對照。</w:t>
      </w:r>
    </w:p>
    <w:p>
      <w:pPr>
        <w:spacing w:before="240" w:after="60"/>
      </w:pPr>
      <w:r>
        <w:rPr>
          <w:b/>
          <w:color w:val="2E75B6"/>
          <w:sz w:val="26"/>
        </w:rPr>
        <w:t>方法三：事件研究（最貼近產品主張）</w:t>
      </w:r>
    </w:p>
    <w:p>
      <w:pPr>
        <w:spacing w:after="120"/>
      </w:pPr>
      <w:r>
        <w:rPr>
          <w:b w:val="0"/>
          <w:sz w:val="21"/>
        </w:rPr>
        <w:t>直接檢驗「預熱→進場」主張。以「逐日擴張窗口」重建每個題材的歷史相位（每天僅用當天為止的資料計算均值與標準差，與系統上線時逐日運作完全一致，絕不偷看未來），找出每一次「進入預熱」的事件，統計其後 5/10/20 天的 SMI 累積報酬，並與「隨機任一天進場」的基準以 Welch t 檢定比較。</w:t>
      </w:r>
    </w:p>
    <w:p>
      <w:r>
        <w:br w:type="page"/>
      </w:r>
    </w:p>
    <w:p>
      <w:pPr>
        <w:spacing w:before="360" w:after="80"/>
      </w:pPr>
      <w:r>
        <w:rPr>
          <w:b/>
          <w:color w:val="1F3864"/>
          <w:sz w:val="32"/>
        </w:rPr>
        <w:t>3．檢驗結果</w:t>
      </w:r>
    </w:p>
    <w:p>
      <w:pPr>
        <w:spacing w:after="160"/>
        <w:pBdr>
          <w:bottom w:val="single" w:sz="6" w:space="1" w:color="2E75B6"/>
        </w:pBdr>
      </w:pPr>
    </w:p>
    <w:p>
      <w:pPr>
        <w:spacing w:before="240" w:after="60"/>
      </w:pPr>
      <w:r>
        <w:rPr>
          <w:b/>
          <w:color w:val="2E75B6"/>
          <w:sz w:val="26"/>
        </w:rPr>
        <w:t>3.1 方法一：變化量交叉相關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題材</w:t>
            </w:r>
          </w:p>
        </w:tc>
        <w:tc>
          <w:tcPr>
            <w:tcW w:type="dxa" w:w="181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同步相關 (lag=0)</w:t>
            </w:r>
          </w:p>
        </w:tc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峰值 (lag / r)</w:t>
            </w:r>
          </w:p>
        </w:tc>
        <w:tc>
          <w:tcPr>
            <w:tcW w:type="dxa" w:w="243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矽光子 / CPO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+0.447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0 / +0.447</w:t>
            </w:r>
          </w:p>
        </w:tc>
        <w:tc>
          <w:tcPr>
            <w:tcW w:type="dxa" w:w="243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同步（最強，無領先）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被動元件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+0.378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0 / +0.378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同步（次強，無領先）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AI 伺服器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+0.131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−4 / −0.214</w:t>
            </w:r>
          </w:p>
        </w:tc>
        <w:tc>
          <w:tcPr>
            <w:tcW w:type="dxa" w:w="243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NII 落後股價 ❌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光通訊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+0.010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−9 / −0.288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NII 落後股價 ❌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CoWoS 先進封裝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+0.100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+10 / −0.226</w:t>
            </w:r>
          </w:p>
        </w:tc>
        <w:tc>
          <w:tcPr>
            <w:tcW w:type="dxa" w:w="243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反向領先（邊緣，疑雜訊）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HBM 高頻寬記憶體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+0.140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+8 / −0.172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無顯著訊號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電源管理 / 儲能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−0.014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+1 / +0.139</w:t>
            </w:r>
          </w:p>
        </w:tc>
        <w:tc>
          <w:tcPr>
            <w:tcW w:type="dxa" w:w="243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無顯著訊號</w:t>
            </w:r>
          </w:p>
        </w:tc>
      </w:tr>
    </w:tbl>
    <w:p>
      <w:pPr>
        <w:spacing w:after="80"/>
      </w:pPr>
      <w:r>
        <w:rPr>
          <w:b w:val="0"/>
          <w:color w:val="404040"/>
          <w:sz w:val="19"/>
        </w:rPr>
        <w:t>95% 顯著門檻 = ±0.188。整體：0 個正向領先、1 個反向領先、2 個落後、2 個同步、2 個無顯著訊號。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7401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_lag_chan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07070"/>
          <w:sz w:val="17"/>
        </w:rPr>
        <w:t>圖 1：變化量交叉相關函數（綠=NII領先，紅=NII落後，灰虛線=95%顯著門檻；橘點為峰值）</w:t>
      </w:r>
    </w:p>
    <w:p>
      <w:pPr>
        <w:spacing w:before="240" w:after="60"/>
      </w:pPr>
      <w:r>
        <w:rPr>
          <w:b/>
          <w:color w:val="2E75B6"/>
          <w:sz w:val="26"/>
        </w:rPr>
        <w:t>3.2 方法二：水位交叉相關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題材</w:t>
            </w:r>
          </w:p>
        </w:tc>
        <w:tc>
          <w:tcPr>
            <w:tcW w:type="dxa" w:w="181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同步相關 (lag=0)</w:t>
            </w:r>
          </w:p>
        </w:tc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峰值 (lag / r)</w:t>
            </w:r>
          </w:p>
        </w:tc>
        <w:tc>
          <w:tcPr>
            <w:tcW w:type="dxa" w:w="243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被動元件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+0.570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0 / +0.570</w:t>
            </w:r>
          </w:p>
        </w:tc>
        <w:tc>
          <w:tcPr>
            <w:tcW w:type="dxa" w:w="243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同步（最強，無領先）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矽光子 / CPO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+0.287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0 / +0.287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同步（次強，無領先）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AI 伺服器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+0.180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−3 / +0.248</w:t>
            </w:r>
          </w:p>
        </w:tc>
        <w:tc>
          <w:tcPr>
            <w:tcW w:type="dxa" w:w="243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NII 落後股價 ❌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光通訊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+0.138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−9 / −0.244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NII 落後股價 ❌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電源管理 / 儲能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+0.184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+7 / −0.203</w:t>
            </w:r>
          </w:p>
        </w:tc>
        <w:tc>
          <w:tcPr>
            <w:tcW w:type="dxa" w:w="243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反向領先（疑雜訊）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CoWoS 先進封裝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+0.072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+3 / −0.223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反向領先（疑雜訊）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HBM 高頻寬記憶體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+0.082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lag +7 / −0.152</w:t>
            </w:r>
          </w:p>
        </w:tc>
        <w:tc>
          <w:tcPr>
            <w:tcW w:type="dxa" w:w="243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無顯著訊號</w:t>
            </w:r>
          </w:p>
        </w:tc>
      </w:tr>
    </w:tbl>
    <w:p>
      <w:pPr>
        <w:spacing w:after="80"/>
      </w:pPr>
      <w:r>
        <w:rPr>
          <w:b w:val="0"/>
          <w:color w:val="404040"/>
          <w:sz w:val="19"/>
        </w:rPr>
        <w:t>整體：0 個正向領先、2 個反向領先、2 個落後、2 個同步、1 個無顯著訊號。水位版的同步相關甚至更強（被動元件 +0.57），更加印證 NII 是「同步」而非「領先」指標。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7401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_lag_le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07070"/>
          <w:sz w:val="17"/>
        </w:rPr>
        <w:t>圖 2：水位交叉相關函數。最強關聯（被動元件、矽光子）依舊落在 lag=0。</w:t>
      </w:r>
    </w:p>
    <w:p>
      <w:r>
        <w:br w:type="page"/>
      </w:r>
    </w:p>
    <w:p>
      <w:pPr>
        <w:spacing w:before="240" w:after="60"/>
      </w:pPr>
      <w:r>
        <w:rPr>
          <w:b/>
          <w:color w:val="2E75B6"/>
          <w:sz w:val="26"/>
        </w:rPr>
        <w:t>3.3 方法三：事件研究（預熱訊號）</w:t>
      </w:r>
    </w:p>
    <w:p>
      <w:pPr>
        <w:spacing w:after="120"/>
      </w:pPr>
      <w:r>
        <w:rPr>
          <w:b w:val="0"/>
          <w:sz w:val="21"/>
        </w:rPr>
        <w:t>跨 7 題材共偵測到 59 次「進入預熱」事件（CoWoS 7、HBM 10、矽光子 6、AI伺服器 7、電源管理 7、被動元件 9、光通訊 13）。各持有天數的報酬比較如下：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持有天數</w:t>
            </w:r>
          </w:p>
        </w:tc>
        <w:tc>
          <w:tcPr>
            <w:tcW w:type="dxa" w:w="158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事件平均報酬</w:t>
            </w:r>
          </w:p>
        </w:tc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隨機基準</w:t>
            </w:r>
          </w:p>
        </w:tc>
        <w:tc>
          <w:tcPr>
            <w:tcW w:type="dxa" w:w="130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超額報酬</w:t>
            </w:r>
          </w:p>
        </w:tc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 值 / p 值</w:t>
            </w:r>
          </w:p>
        </w:tc>
        <w:tc>
          <w:tcPr>
            <w:tcW w:type="dxa" w:w="85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顯著?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5 天</w:t>
            </w:r>
          </w:p>
        </w:tc>
        <w:tc>
          <w:tcPr>
            <w:tcW w:type="dxa" w:w="158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+1.83%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+3.35%</w:t>
            </w:r>
          </w:p>
        </w:tc>
        <w:tc>
          <w:tcPr>
            <w:tcW w:type="dxa" w:w="130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−1.51%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t=−1.52 / p=0.132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否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10 天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+5.85%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+6.79%</w:t>
            </w:r>
          </w:p>
        </w:tc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−0.94%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t=−0.70 / p=0.486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否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 天</w:t>
            </w:r>
          </w:p>
        </w:tc>
        <w:tc>
          <w:tcPr>
            <w:tcW w:type="dxa" w:w="158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+16.89%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+14.26%</w:t>
            </w:r>
          </w:p>
        </w:tc>
        <w:tc>
          <w:tcPr>
            <w:tcW w:type="dxa" w:w="130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+2.63%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t=+0.96 / p=0.343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否</w:t>
            </w:r>
          </w:p>
        </w:tc>
      </w:tr>
    </w:tbl>
    <w:p>
      <w:pPr>
        <w:spacing w:after="80"/>
      </w:pPr>
      <w:r>
        <w:rPr>
          <w:b w:val="0"/>
          <w:color w:val="404040"/>
          <w:sz w:val="19"/>
        </w:rPr>
        <w:t>三個持有期的超額報酬皆不顯著（p 遠大於 0.05）。值得注意的是，持有前 10 天，預熱訊號進場的報酬甚至「略低於」隨機進場。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801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study_warm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07070"/>
          <w:sz w:val="17"/>
        </w:rPr>
        <w:t>圖 3：進入「預熱」後 SMI 平均累積報酬（橘）vs 隨機進場（灰虛線）。橘色 ±1 標準誤帶全程覆蓋基準線，兩者統計上無法區分。</w:t>
      </w:r>
    </w:p>
    <w:p>
      <w:pPr>
        <w:spacing w:before="120" w:after="160"/>
        <w:ind w:left="170" w:right="170"/>
        <w:pBdr>
          <w:top w:val="single" w:sz="12" w:space="5" w:color="C55A11"/>
          <w:left w:val="single" w:sz="12" w:space="5" w:color="C55A11"/>
          <w:bottom w:val="single" w:sz="12" w:space="5" w:color="C55A11"/>
          <w:right w:val="single" w:sz="12" w:space="5" w:color="C55A11"/>
        </w:pBdr>
      </w:pPr>
      <w:r>
        <w:rPr>
          <w:b/>
          <w:color w:val="C55A11"/>
          <w:sz w:val="21"/>
        </w:rPr>
        <w:t>為何如此？一個關鍵觀察</w:t>
        <w:br/>
      </w:r>
      <w:r>
        <w:rPr>
          <w:color w:val="404040"/>
          <w:sz w:val="20"/>
        </w:rPr>
        <w:t>基準報酬本身就很高（隨機進場 20 天平均 +14%），因為這半年半導體類股整體為大多頭。在普漲行情中，擇時訊號難以加值——幾乎哪天買都會漲。這提醒：目前的正報酬主要來自 beta（大盤帶動），而非來自 Phase 訊號的 alpha（選時能力）。</w:t>
      </w:r>
    </w:p>
    <w:p>
      <w:r>
        <w:br w:type="page"/>
      </w:r>
    </w:p>
    <w:p>
      <w:pPr>
        <w:spacing w:before="360" w:after="80"/>
      </w:pPr>
      <w:r>
        <w:rPr>
          <w:b/>
          <w:color w:val="1F3864"/>
          <w:sz w:val="32"/>
        </w:rPr>
        <w:t>4．統一結論與產品定位</w:t>
      </w:r>
    </w:p>
    <w:p>
      <w:pPr>
        <w:spacing w:after="160"/>
        <w:pBdr>
          <w:bottom w:val="single" w:sz="6" w:space="1" w:color="2E75B6"/>
        </w:pBdr>
      </w:pPr>
    </w:p>
    <w:p>
      <w:pPr>
        <w:spacing w:after="120"/>
      </w:pPr>
      <w:r>
        <w:rPr>
          <w:b w:val="0"/>
          <w:sz w:val="21"/>
        </w:rPr>
        <w:t>三種獨立方法、三個不同角度，得到完全一致的結論：在目前資料下，把 Phase 訊號當進場依據缺乏統計支持。據此，系統價值應重新定位：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3685"/>
            <w:shd w:val="clear" w:color="auto" w:fill="C0392B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❌ 它不是</w:t>
            </w:r>
          </w:p>
        </w:tc>
        <w:tc>
          <w:tcPr>
            <w:tcW w:type="dxa" w:w="3969"/>
            <w:shd w:val="clear" w:color="auto" w:fill="C0392B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shd w:val="clear" w:color="auto" w:fill="37863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✅ 它是</w:t>
            </w:r>
          </w:p>
        </w:tc>
      </w:tr>
      <w:tr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C0392B"/>
                <w:sz w:val="18"/>
              </w:rPr>
              <w:t>領先進場的擇時工具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37863D"/>
                <w:sz w:val="18"/>
              </w:rPr>
              <w:t>即時的題材熱度溫度計</w:t>
            </w:r>
          </w:p>
        </w:tc>
      </w:tr>
      <w:tr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C0392B"/>
                <w:sz w:val="18"/>
              </w:rPr>
              <w:t>預測股價漲跌的水晶球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37863D"/>
                <w:sz w:val="18"/>
              </w:rPr>
              <w:t>「現在哪個題材在發燒」的監控儀表板</w:t>
            </w:r>
          </w:p>
        </w:tc>
      </w:tr>
      <w:tr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C0392B"/>
                <w:sz w:val="18"/>
              </w:rPr>
              <w:t>能產生超額報酬（alpha）的訊號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37863D"/>
                <w:sz w:val="18"/>
              </w:rPr>
              <w:t>幫你不漏接題材、分配注意力的工具</w:t>
            </w:r>
          </w:p>
        </w:tc>
      </w:tr>
    </w:tbl>
    <w:p/>
    <w:p>
      <w:pPr>
        <w:spacing w:before="120" w:after="160"/>
        <w:ind w:left="170" w:right="170"/>
        <w:pBdr>
          <w:top w:val="single" w:sz="12" w:space="5" w:color="37863D"/>
          <w:left w:val="single" w:sz="12" w:space="5" w:color="37863D"/>
          <w:bottom w:val="single" w:sz="12" w:space="5" w:color="37863D"/>
          <w:right w:val="single" w:sz="12" w:space="5" w:color="37863D"/>
        </w:pBdr>
      </w:pPr>
      <w:r>
        <w:rPr>
          <w:b/>
          <w:color w:val="37863D"/>
          <w:sz w:val="21"/>
        </w:rPr>
        <w:t>重要：這不否定 NII 本身的價值</w:t>
        <w:br/>
      </w:r>
      <w:r>
        <w:rPr>
          <w:color w:val="404040"/>
          <w:sz w:val="20"/>
        </w:rPr>
        <w:t>NII 作為「同步指標」是有效的——矽光子、被動元件呈現 +0.4～0.57 的同步相關，證明它確實準確捕捉了真實的市場關注度。它只是反映「當下」而非「未來」。當即時監控儀表板使用，它是稱職的。</w:t>
      </w:r>
    </w:p>
    <w:p>
      <w:pPr>
        <w:spacing w:before="360" w:after="80"/>
      </w:pPr>
      <w:r>
        <w:rPr>
          <w:b/>
          <w:color w:val="1F3864"/>
          <w:sz w:val="32"/>
        </w:rPr>
        <w:t>5．但書與限制</w:t>
      </w:r>
    </w:p>
    <w:p>
      <w:pPr>
        <w:spacing w:after="160"/>
        <w:pBdr>
          <w:bottom w:val="single" w:sz="6" w:space="1" w:color="2E75B6"/>
        </w:pBdr>
      </w:pPr>
    </w:p>
    <w:p>
      <w:pPr>
        <w:spacing w:after="60"/>
        <w:ind w:left="454" w:hanging="170"/>
      </w:pPr>
      <w:r>
        <w:rPr>
          <w:b/>
          <w:color w:val="C55A11"/>
        </w:rPr>
        <w:t xml:space="preserve">①  </w:t>
      </w:r>
      <w:r>
        <w:rPr>
          <w:sz w:val="21"/>
        </w:rPr>
        <w:t>樣本有限：僅約 116 個交易日、59 次事件。統計檢定力本就偏弱，微弱的真實領先訊號可能被埋沒。再累積 1～2 年資料後重跑，結論有可能（但不保證）改變。</w:t>
      </w:r>
    </w:p>
    <w:p>
      <w:pPr>
        <w:spacing w:after="60"/>
        <w:ind w:left="454" w:hanging="170"/>
      </w:pPr>
      <w:r>
        <w:rPr>
          <w:b/>
          <w:color w:val="C55A11"/>
        </w:rPr>
        <w:t xml:space="preserve">②  </w:t>
      </w:r>
      <w:r>
        <w:rPr>
          <w:sz w:val="21"/>
        </w:rPr>
        <w:t>單一市場狀態：資料涵蓋的半年為半導體大多頭，未經歷大跌或長期盤整。Phase 訊號在下跌段或盤整段是否更有用，目前無從得知。</w:t>
      </w:r>
    </w:p>
    <w:p>
      <w:pPr>
        <w:spacing w:after="60"/>
        <w:ind w:left="454" w:hanging="170"/>
      </w:pPr>
      <w:r>
        <w:rPr>
          <w:b/>
          <w:color w:val="C55A11"/>
        </w:rPr>
        <w:t xml:space="preserve">③  </w:t>
      </w:r>
      <w:r>
        <w:rPr>
          <w:sz w:val="21"/>
        </w:rPr>
        <w:t>事件非完全獨立：相鄰事件、跨題材的共同行情可能使 t 檢定的實際顯著性被高估，故即使未達顯著，也不宜過度解讀任何單點的正超額報酬。</w:t>
      </w:r>
    </w:p>
    <w:p>
      <w:pPr>
        <w:spacing w:after="60"/>
        <w:ind w:left="454" w:hanging="170"/>
      </w:pPr>
      <w:r>
        <w:rPr>
          <w:b/>
          <w:color w:val="C55A11"/>
        </w:rPr>
        <w:t xml:space="preserve">④  </w:t>
      </w:r>
      <w:r>
        <w:rPr>
          <w:sz w:val="21"/>
        </w:rPr>
        <w:t>NII 品質上游限制：情緒分析（SnowNLP）未經財經領域驗證、Google Trends 偶有限流、新聞 RSS 僅含近 12 個月——這些上游雜訊都會稀釋 NII 的訊號品質。</w:t>
      </w:r>
    </w:p>
    <w:p>
      <w:pPr>
        <w:spacing w:before="360" w:after="80"/>
      </w:pPr>
      <w:r>
        <w:rPr>
          <w:b/>
          <w:color w:val="1F3864"/>
          <w:sz w:val="32"/>
        </w:rPr>
        <w:t>6．建議行動</w:t>
      </w:r>
    </w:p>
    <w:p>
      <w:pPr>
        <w:spacing w:after="160"/>
        <w:pBdr>
          <w:bottom w:val="single" w:sz="6" w:space="1" w:color="2E75B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73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優先</w:t>
            </w:r>
          </w:p>
        </w:tc>
        <w:tc>
          <w:tcPr>
            <w:tcW w:type="dxa" w:w="4082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行動</w:t>
            </w:r>
          </w:p>
        </w:tc>
        <w:tc>
          <w:tcPr>
            <w:tcW w:type="dxa" w:w="2835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8"/>
              </w:rPr>
              <w:t>P0</w:t>
            </w:r>
          </w:p>
        </w:tc>
        <w:tc>
          <w:tcPr>
            <w:tcW w:type="dxa" w:w="408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更新產品定位：README 與 Telegram 通知措辭，由「早期進場訊號」改為「題材熱度監控」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404040"/>
                <w:sz w:val="18"/>
              </w:rPr>
              <w:t>讓系統名實相符，避免誤導使用方式</w:t>
            </w:r>
          </w:p>
        </w:tc>
      </w:tr>
      <w:tr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8"/>
              </w:rPr>
              <w:t>P1</w:t>
            </w:r>
          </w:p>
        </w:tc>
        <w:tc>
          <w:tcPr>
            <w:tcW w:type="dxa" w:w="408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持續累積資料，於約 250 交易日（再約 5 個月）自動重跑本三方驗證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404040"/>
                <w:sz w:val="18"/>
              </w:rPr>
              <w:t>提升統計檢定力，確認結論是否穩健</w:t>
            </w:r>
          </w:p>
        </w:tc>
      </w:tr>
      <w:tr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8"/>
              </w:rPr>
              <w:t>P1</w:t>
            </w:r>
          </w:p>
        </w:tc>
        <w:tc>
          <w:tcPr>
            <w:tcW w:type="dxa" w:w="408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改善 NII 上游品質：情緒模型驗證、Trends 失效備援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404040"/>
                <w:sz w:val="18"/>
              </w:rPr>
              <w:t>若訊號品質提升，領先性有機會浮現</w:t>
            </w:r>
          </w:p>
        </w:tc>
      </w:tr>
      <w:tr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8"/>
              </w:rPr>
              <w:t>P2</w:t>
            </w:r>
          </w:p>
        </w:tc>
        <w:tc>
          <w:tcPr>
            <w:tcW w:type="dxa" w:w="408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待資料足夠後，補做 walk-forward 樣本外回測與 Granger 因果檢定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404040"/>
                <w:sz w:val="18"/>
              </w:rPr>
              <w:t>進一步確立或否定預測力</w:t>
            </w:r>
          </w:p>
        </w:tc>
      </w:tr>
      <w:tr>
        <w:tc>
          <w:tcPr>
            <w:tcW w:type="dxa" w:w="73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5B6"/>
                <w:sz w:val="18"/>
              </w:rPr>
              <w:t>P2</w:t>
            </w:r>
          </w:p>
        </w:tc>
        <w:tc>
          <w:tcPr>
            <w:tcW w:type="dxa" w:w="408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8"/>
              </w:rPr>
              <w:t>經歷一次完整多空循環後重新評估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color w:val="404040"/>
                <w:sz w:val="18"/>
              </w:rPr>
              <w:t>檢驗訊號在不同市場狀態下的表現</w:t>
            </w:r>
          </w:p>
        </w:tc>
      </w:tr>
    </w:tbl>
    <w:p/>
    <w:p>
      <w:pPr>
        <w:spacing w:before="360" w:after="80"/>
      </w:pPr>
      <w:r>
        <w:rPr>
          <w:b/>
          <w:color w:val="1F3864"/>
          <w:sz w:val="32"/>
        </w:rPr>
        <w:t>7．可重現性（如何重跑驗證）</w:t>
      </w:r>
    </w:p>
    <w:p>
      <w:pPr>
        <w:spacing w:after="160"/>
        <w:pBdr>
          <w:bottom w:val="single" w:sz="6" w:space="1" w:color="2E75B6"/>
        </w:pBdr>
      </w:pPr>
    </w:p>
    <w:p>
      <w:pPr>
        <w:spacing w:after="120"/>
      </w:pPr>
      <w:r>
        <w:rPr>
          <w:b w:val="0"/>
          <w:sz w:val="21"/>
        </w:rPr>
        <w:t>本報告所有結果可由以下兩支腳本完整重現，未來每累積一段資料即可重跑：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▶  </w:t>
      </w:r>
      <w:r>
        <w:rPr>
          <w:sz w:val="21"/>
        </w:rPr>
        <w:t>scripts/lead_lag_analysis.py　—　交叉相關（--signal-mode change / level 切換變化量或水位版）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▶  </w:t>
      </w:r>
      <w:r>
        <w:rPr>
          <w:sz w:val="21"/>
        </w:rPr>
        <w:t>scripts/event_study.py　—　預熱訊號事件研究（逐日擴張窗口重建相位，無 lookahead）</w:t>
      </w:r>
    </w:p>
    <w:p>
      <w:pPr>
        <w:spacing w:after="120"/>
        <w:ind w:left="283"/>
      </w:pPr>
      <w:r>
        <w:rPr>
          <w:b w:val="0"/>
          <w:color w:val="707070"/>
          <w:sz w:val="19"/>
        </w:rPr>
        <w:t>圖表輸出於 reports/：lead_lag_change.png、lead_lag_level.png、event_study_warming.png。</w:t>
      </w:r>
    </w:p>
    <w:p>
      <w:pPr>
        <w:spacing w:before="320"/>
        <w:pBdr>
          <w:top w:val="single" w:sz="6" w:space="4" w:color="2E75B6"/>
        </w:pBdr>
      </w:pPr>
      <w:r>
        <w:rPr>
          <w:b/>
          <w:color w:val="2E75B6"/>
          <w:sz w:val="19"/>
        </w:rPr>
        <w:t xml:space="preserve">免責聲明　</w:t>
      </w:r>
      <w:r>
        <w:rPr>
          <w:i/>
          <w:color w:val="707070"/>
          <w:sz w:val="18"/>
        </w:rPr>
        <w:t>本報告為系統訊號之方法論驗證，所有分析結果僅供研究與產品設計參考，不構成任何投資建議、買賣建議或財務規劃意見。統計結論受限於樣本期間與市場狀態，過去表現不代表未來結果。投資決策應由使用者自行判斷並承擔風險。</w:t>
      </w:r>
    </w:p>
    <w:sectPr w:rsidR="00FC693F" w:rsidRPr="0006063C" w:rsidSect="00034616">
      <w:pgSz w:w="11909" w:h="16834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