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REBOOT 2026</w:t>
      </w:r>
    </w:p>
    <w:p>
      <w:pPr>
        <w:jc w:val="center"/>
      </w:pPr>
      <w:r>
        <w:rPr>
          <w:b/>
          <w:sz w:val="44"/>
        </w:rPr>
        <w:t>Week 6 Master Workbook</w:t>
        <w:br/>
      </w:r>
      <w:r>
        <w:t>LOCKED PUBLICATION EDITION v1.0</w:t>
        <w:br/>
      </w:r>
      <w:r>
        <w:t>Phase II — Professional Engineering Practice</w:t>
        <w:br/>
        <w:br/>
      </w:r>
      <w:r>
        <w:t>Status: LOCKED</w:t>
        <w:br/>
      </w:r>
      <w:r>
        <w:t>Planning Authority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Master Workbook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Planning Authority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Edition</w:t>
            </w:r>
          </w:p>
        </w:tc>
        <w:tc>
          <w:tcPr>
            <w:tcW w:type="dxa" w:w="4320"/>
          </w:tcPr>
          <w:p>
            <w:r>
              <w:t>Locked Publication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Approved and Locked</w:t>
            </w:r>
          </w:p>
        </w:tc>
      </w:tr>
      <w:tr>
        <w:tc>
          <w:tcPr>
            <w:tcW w:type="dxa" w:w="4320"/>
          </w:tcPr>
          <w:p>
            <w:r>
              <w:t>Authority</w:t>
            </w:r>
          </w:p>
        </w:tc>
        <w:tc>
          <w:tcPr>
            <w:tcW w:type="dxa" w:w="4320"/>
          </w:tcPr>
          <w:p>
            <w:r>
              <w:t>Engineering Reboot Governance; Weeks 03–06 Re-Baseline</w:t>
            </w:r>
          </w:p>
        </w:tc>
      </w:tr>
      <w:tr>
        <w:tc>
          <w:tcPr>
            <w:tcW w:type="dxa" w:w="4320"/>
          </w:tcPr>
          <w:p>
            <w:r>
              <w:t>Effective Phase</w:t>
            </w:r>
          </w:p>
        </w:tc>
        <w:tc>
          <w:tcPr>
            <w:tcW w:type="dxa" w:w="4320"/>
          </w:tcPr>
          <w:p>
            <w:r>
              <w:t>Phase II – Professional Engineering Practice</w:t>
            </w:r>
          </w:p>
        </w:tc>
      </w:tr>
      <w:tr>
        <w:tc>
          <w:tcPr>
            <w:tcW w:type="dxa" w:w="4320"/>
          </w:tcPr>
          <w:p>
            <w:r>
              <w:t>Supersedes</w:t>
            </w:r>
          </w:p>
        </w:tc>
        <w:tc>
          <w:tcPr>
            <w:tcW w:type="dxa" w:w="4320"/>
          </w:tcPr>
          <w:p>
            <w:r>
              <w:t>Week 6 Draft and Publication Manuscript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2026-07-12</w:t>
            </w:r>
          </w:p>
        </w:tc>
        <w:tc>
          <w:tcPr>
            <w:tcW w:type="dxa" w:w="2160"/>
          </w:tcPr>
          <w:p>
            <w:r>
              <w:t>Initial planning draft</w:t>
            </w:r>
          </w:p>
        </w:tc>
        <w:tc>
          <w:tcPr>
            <w:tcW w:type="dxa" w:w="2160"/>
          </w:tcPr>
          <w:p>
            <w:r>
              <w:t>Superseded</w:t>
            </w:r>
          </w:p>
        </w:tc>
      </w:tr>
      <w:tr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2026-07-12</w:t>
            </w:r>
          </w:p>
        </w:tc>
        <w:tc>
          <w:tcPr>
            <w:tcW w:type="dxa" w:w="2160"/>
          </w:tcPr>
          <w:p>
            <w:r>
              <w:t>Publication manuscript</w:t>
            </w:r>
          </w:p>
        </w:tc>
        <w:tc>
          <w:tcPr>
            <w:tcW w:type="dxa" w:w="2160"/>
          </w:tcPr>
          <w:p>
            <w:r>
              <w:t>Superseded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2026-07-12</w:t>
            </w:r>
          </w:p>
        </w:tc>
        <w:tc>
          <w:tcPr>
            <w:tcW w:type="dxa" w:w="2160"/>
          </w:tcPr>
          <w:p>
            <w:r>
              <w:t>Locked publication incorporating editorial refinements</w:t>
            </w:r>
          </w:p>
        </w:tc>
        <w:tc>
          <w:tcPr>
            <w:tcW w:type="dxa" w:w="2160"/>
          </w:tcPr>
          <w:p>
            <w:r>
              <w:t>Locked</w:t>
            </w:r>
          </w:p>
        </w:tc>
      </w:tr>
    </w:tbl>
    <w:p>
      <w:pPr>
        <w:pStyle w:val="Heading1"/>
      </w:pPr>
      <w:r>
        <w:t>Approvals</w:t>
      </w:r>
    </w:p>
    <w:p>
      <w:r>
        <w:t>Planning Authority: Engineering Reboot Program</w:t>
        <w:br/>
        <w:t>Status: Approved for Week 6 execution.</w:t>
      </w:r>
    </w:p>
    <w:p>
      <w:pPr>
        <w:pStyle w:val="Heading1"/>
      </w:pPr>
      <w:r>
        <w:t>Table of Contents</w:t>
      </w:r>
    </w:p>
    <w:p>
      <w:r>
        <w:t xml:space="preserve">Right-click in Microsoft Word and choose </w:t>
      </w:r>
      <w:r>
        <w:rPr>
          <w:b/>
        </w:rPr>
        <w:t>Update Field</w:t>
      </w:r>
      <w:r>
        <w:t xml:space="preserve"> after opening the document to generate the table of contents.</w:t>
      </w:r>
    </w:p>
    <w:p>
      <w:pPr>
        <w:pStyle w:val="Heading1"/>
      </w:pPr>
      <w:r>
        <w:t>Workbook Purpose</w:t>
      </w:r>
    </w:p>
    <w:p>
      <w:r>
        <w:t>Defines the objectives, scope, engineering expectations, deliverables, and execution strategy for Week 6.</w:t>
      </w:r>
    </w:p>
    <w:p>
      <w:pPr>
        <w:pStyle w:val="Heading1"/>
      </w:pPr>
      <w:r>
        <w:t>Week 6 Theme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professional engineer is defined not only by the software they build, but by the discipline, workflow, and judgment they apply while building it.</w:t>
            </w:r>
          </w:p>
        </w:tc>
      </w:tr>
    </w:tbl>
    <w:p>
      <w:pPr>
        <w:pStyle w:val="Heading1"/>
      </w:pPr>
      <w:r>
        <w:t>Mission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Week 6 transitions the reboot from rebuilding Python proficiency to practicing professional software engineering.</w:t>
            </w:r>
          </w:p>
        </w:tc>
      </w:tr>
    </w:tbl>
    <w:p>
      <w:pPr>
        <w:pStyle w:val="Heading1"/>
      </w:pPr>
      <w:r>
        <w:t>Strategic Objectives</w:t>
      </w:r>
    </w:p>
    <w:p>
      <w:r>
        <w:t>Technical: Linux, WSL2, Bash, Python under Linux, Git workflows, virtual environments, package management.</w:t>
        <w:br/>
        <w:br/>
        <w:t>Engineering: Incremental implementation, modularity, reusable abstractions, defensive programming, testing, maintainability, engineering reviews.</w:t>
      </w:r>
    </w:p>
    <w:p>
      <w:pPr>
        <w:pStyle w:val="Heading1"/>
      </w:pPr>
      <w:r>
        <w:t>Learning Philosophy</w:t>
      </w:r>
    </w:p>
    <w:p>
      <w:r>
        <w:t>Engineering quality is evaluated alongside functional correctness. The development environment is part of the engineering process.</w:t>
      </w:r>
    </w:p>
    <w:p>
      <w:pPr>
        <w:pStyle w:val="Heading1"/>
      </w:pPr>
      <w:r>
        <w:t>Engineering Perspective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Professional tooling and repeatable workflows reduce friction and enable engineers to focus on solving problems rather than managing their tools.</w:t>
            </w:r>
          </w:p>
        </w:tc>
      </w:tr>
    </w:tbl>
    <w:p>
      <w:pPr>
        <w:pStyle w:val="Heading1"/>
      </w:pPr>
      <w:r>
        <w:t>Weekly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Primary Objective</w:t>
            </w:r>
          </w:p>
        </w:tc>
        <w:tc>
          <w:tcPr>
            <w:tcW w:type="dxa" w:w="1728"/>
          </w:tcPr>
          <w:p>
            <w:r>
              <w:t>Deliverable</w:t>
            </w:r>
          </w:p>
        </w:tc>
        <w:tc>
          <w:tcPr>
            <w:tcW w:type="dxa" w:w="1728"/>
          </w:tcPr>
          <w:p>
            <w:r>
              <w:t>Mini-Project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Linux &amp; WSL2</w:t>
            </w:r>
          </w:p>
        </w:tc>
        <w:tc>
          <w:tcPr>
            <w:tcW w:type="dxa" w:w="1728"/>
          </w:tcPr>
          <w:p>
            <w:r>
              <w:t>Developer environment</w:t>
            </w:r>
          </w:p>
        </w:tc>
        <w:tc>
          <w:tcPr>
            <w:tcW w:type="dxa" w:w="1728"/>
          </w:tcPr>
          <w:p>
            <w:r>
              <w:t>Exercises + Evidence</w:t>
            </w:r>
          </w:p>
        </w:tc>
        <w:tc>
          <w:tcPr>
            <w:tcW w:type="dxa" w:w="1728"/>
          </w:tcPr>
          <w:p>
            <w:r>
              <w:t>CLI setup utility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Bash &amp; Filesystem</w:t>
            </w:r>
          </w:p>
        </w:tc>
        <w:tc>
          <w:tcPr>
            <w:tcW w:type="dxa" w:w="1728"/>
          </w:tcPr>
          <w:p>
            <w:r>
              <w:t>Command-line fluency</w:t>
            </w:r>
          </w:p>
        </w:tc>
        <w:tc>
          <w:tcPr>
            <w:tcW w:type="dxa" w:w="1728"/>
          </w:tcPr>
          <w:p>
            <w:r>
              <w:t>Exercises + Evidence</w:t>
            </w:r>
          </w:p>
        </w:tc>
        <w:tc>
          <w:tcPr>
            <w:tcW w:type="dxa" w:w="1728"/>
          </w:tcPr>
          <w:p>
            <w:r>
              <w:t>Filesystem automation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Python &amp; Venv</w:t>
            </w:r>
          </w:p>
        </w:tc>
        <w:tc>
          <w:tcPr>
            <w:tcW w:type="dxa" w:w="1728"/>
          </w:tcPr>
          <w:p>
            <w:r>
              <w:t>Environment isolation</w:t>
            </w:r>
          </w:p>
        </w:tc>
        <w:tc>
          <w:tcPr>
            <w:tcW w:type="dxa" w:w="1728"/>
          </w:tcPr>
          <w:p>
            <w:r>
              <w:t>Exercises + Evidence</w:t>
            </w:r>
          </w:p>
        </w:tc>
        <w:tc>
          <w:tcPr>
            <w:tcW w:type="dxa" w:w="1728"/>
          </w:tcPr>
          <w:p>
            <w:r>
              <w:t>Managed Python app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Git Workflow</w:t>
            </w:r>
          </w:p>
        </w:tc>
        <w:tc>
          <w:tcPr>
            <w:tcW w:type="dxa" w:w="1728"/>
          </w:tcPr>
          <w:p>
            <w:r>
              <w:t>Cross-platform Git</w:t>
            </w:r>
          </w:p>
        </w:tc>
        <w:tc>
          <w:tcPr>
            <w:tcW w:type="dxa" w:w="1728"/>
          </w:tcPr>
          <w:p>
            <w:r>
              <w:t>Exercises + Evidence</w:t>
            </w:r>
          </w:p>
        </w:tc>
        <w:tc>
          <w:tcPr>
            <w:tcW w:type="dxa" w:w="1728"/>
          </w:tcPr>
          <w:p>
            <w:r>
              <w:t>Repository workflow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Professional workflow</w:t>
            </w:r>
          </w:p>
        </w:tc>
        <w:tc>
          <w:tcPr>
            <w:tcW w:type="dxa" w:w="1728"/>
          </w:tcPr>
          <w:p>
            <w:r>
              <w:t>Week completion</w:t>
            </w:r>
          </w:p>
        </w:tc>
        <w:tc>
          <w:tcPr>
            <w:tcW w:type="dxa" w:w="1728"/>
          </w:tcPr>
          <w:p>
            <w:r>
              <w:t>Integrated CLI project</w:t>
            </w:r>
          </w:p>
        </w:tc>
      </w:tr>
    </w:tbl>
    <w:p>
      <w:pPr>
        <w:pStyle w:val="Heading1"/>
      </w:pPr>
      <w:r>
        <w:t>Daily Workflow</w:t>
      </w:r>
    </w:p>
    <w:p>
      <w:r>
        <w:t>Review → Study → Exercises → Design → Implement → Validate → Engineering Review → Evidence → Notes → Journal → Git verification.</w:t>
      </w:r>
    </w:p>
    <w:p>
      <w:pPr>
        <w:pStyle w:val="Heading1"/>
      </w:pPr>
      <w:r>
        <w:t>Engineering Review Framework</w:t>
      </w:r>
    </w:p>
    <w:p>
      <w:r>
        <w:t>Functional Review: correctness, validation, edge cases.</w:t>
        <w:br/>
        <w:t>Engineering Review: decomposition, abstraction, readability, maintainability, cohesion, interface clarity, Pythonic practices.</w:t>
      </w:r>
    </w:p>
    <w:p>
      <w:pPr>
        <w:pStyle w:val="Heading1"/>
      </w:pPr>
      <w:r>
        <w:t>Success Criteria</w:t>
      </w:r>
    </w:p>
    <w:p>
      <w:r>
        <w:t>Environment competency, engineering competency, documentation complete, Git synchronized, evidence captured.</w:t>
      </w:r>
    </w:p>
    <w:p>
      <w:pPr>
        <w:pStyle w:val="Heading1"/>
      </w:pPr>
      <w:r>
        <w:t>Transition to Week 7</w:t>
      </w:r>
    </w:p>
    <w:p>
      <w:r>
        <w:t>Completion of Week 6 prepares the reboot for Object-Oriented Programming and larger multi-module systems.</w:t>
      </w:r>
    </w:p>
    <w:p>
      <w:pPr>
        <w:pStyle w:val="Heading1"/>
      </w:pPr>
      <w:r>
        <w:t>Closing Remarks</w:t>
      </w:r>
    </w:p>
    <w:p>
      <w:r>
        <w:t>Phase II emphasizes engineering judgment as much as implementation. This workbook is the planning authority for Week 6 and the template for future weekly workbooks.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Week 6 Master Workbook v1.0 • Locked Publication Edition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Engineering Reboot 2026 • Week 6 Master Workbook • Locked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