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381D" w14:textId="77777777" w:rsidR="005275B5" w:rsidRPr="005275B5" w:rsidRDefault="005275B5" w:rsidP="005275B5">
      <w:pPr>
        <w:widowControl w:val="0"/>
        <w:spacing w:after="0" w:line="240" w:lineRule="auto"/>
        <w:jc w:val="center"/>
        <w:rPr>
          <w:rFonts w:ascii="Times New Roman" w:eastAsia="Times New Roman" w:hAnsi="Times New Roman" w:cs="Times New Roman"/>
          <w:b/>
          <w:sz w:val="24"/>
          <w:szCs w:val="24"/>
          <w:lang w:val="es-CR" w:eastAsia="es-ES"/>
        </w:rPr>
      </w:pPr>
    </w:p>
    <w:p w14:paraId="125B381E" w14:textId="77777777" w:rsidR="005275B5" w:rsidRPr="005275B5" w:rsidRDefault="005275B5" w:rsidP="005275B5">
      <w:pPr>
        <w:widowControl w:val="0"/>
        <w:spacing w:after="0" w:line="240" w:lineRule="auto"/>
        <w:jc w:val="center"/>
        <w:rPr>
          <w:rFonts w:ascii="Arial" w:eastAsia="Times New Roman" w:hAnsi="Arial" w:cs="Arial"/>
          <w:color w:val="000000"/>
          <w:sz w:val="24"/>
          <w:szCs w:val="24"/>
          <w:lang w:val="es-CR" w:eastAsia="es-ES"/>
        </w:rPr>
      </w:pPr>
    </w:p>
    <w:p w14:paraId="125B381F" w14:textId="77777777" w:rsidR="005275B5" w:rsidRPr="005275B5" w:rsidRDefault="005275B5" w:rsidP="005275B5">
      <w:pPr>
        <w:widowControl w:val="0"/>
        <w:spacing w:after="0" w:line="240" w:lineRule="auto"/>
        <w:jc w:val="center"/>
        <w:rPr>
          <w:rFonts w:ascii="Arial" w:eastAsia="Times New Roman" w:hAnsi="Arial" w:cs="Arial"/>
          <w:color w:val="000000"/>
          <w:sz w:val="24"/>
          <w:szCs w:val="24"/>
          <w:lang w:val="es-CR" w:eastAsia="es-ES"/>
        </w:rPr>
      </w:pPr>
      <w:r w:rsidRPr="005275B5">
        <w:rPr>
          <w:rFonts w:ascii="Arial" w:eastAsia="Times New Roman" w:hAnsi="Arial" w:cs="Arial"/>
          <w:noProof/>
          <w:color w:val="000000"/>
          <w:sz w:val="24"/>
          <w:szCs w:val="24"/>
          <w:lang w:val="es-CR" w:eastAsia="es-CR"/>
        </w:rPr>
        <mc:AlternateContent>
          <mc:Choice Requires="wps">
            <w:drawing>
              <wp:anchor distT="0" distB="0" distL="114300" distR="114300" simplePos="0" relativeHeight="251654656" behindDoc="0" locked="0" layoutInCell="1" allowOverlap="1" wp14:anchorId="125B396A" wp14:editId="125B396B">
                <wp:simplePos x="0" y="0"/>
                <wp:positionH relativeFrom="column">
                  <wp:posOffset>-328930</wp:posOffset>
                </wp:positionH>
                <wp:positionV relativeFrom="paragraph">
                  <wp:posOffset>-175260</wp:posOffset>
                </wp:positionV>
                <wp:extent cx="6515100" cy="8801100"/>
                <wp:effectExtent l="23495" t="24765" r="24130" b="22860"/>
                <wp:wrapNone/>
                <wp:docPr id="9"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80110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AE76C" id="Rectangle 217" o:spid="_x0000_s1026" style="position:absolute;margin-left:-25.9pt;margin-top:-13.8pt;width:513pt;height:6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" filled="f" strokeweight="3pt">
                <v:stroke linestyle="thinThin"/>
              </v:rect>
            </w:pict>
          </mc:Fallback>
        </mc:AlternateContent>
      </w:r>
      <w:r w:rsidRPr="005275B5">
        <w:rPr>
          <w:rFonts w:ascii="Arial" w:eastAsia="Times New Roman" w:hAnsi="Arial" w:cs="Arial"/>
          <w:color w:val="000000"/>
          <w:sz w:val="24"/>
          <w:szCs w:val="24"/>
          <w:lang w:val="es-CR" w:eastAsia="es-ES"/>
        </w:rPr>
        <w:t xml:space="preserve">CONSEJO NACIONAL DE SUPERVISIÓN DEL </w:t>
      </w:r>
    </w:p>
    <w:p w14:paraId="125B3820" w14:textId="77777777" w:rsidR="005275B5" w:rsidRPr="005275B5" w:rsidRDefault="005275B5" w:rsidP="005275B5">
      <w:pPr>
        <w:widowControl w:val="0"/>
        <w:spacing w:after="0" w:line="240" w:lineRule="auto"/>
        <w:jc w:val="center"/>
        <w:rPr>
          <w:rFonts w:ascii="Arial" w:eastAsia="Times New Roman" w:hAnsi="Arial" w:cs="Arial"/>
          <w:color w:val="000000"/>
          <w:sz w:val="24"/>
          <w:szCs w:val="24"/>
          <w:lang w:val="es-CR" w:eastAsia="es-ES"/>
        </w:rPr>
      </w:pPr>
      <w:r w:rsidRPr="005275B5">
        <w:rPr>
          <w:rFonts w:ascii="Arial" w:eastAsia="Times New Roman" w:hAnsi="Arial" w:cs="Arial"/>
          <w:color w:val="000000"/>
          <w:sz w:val="24"/>
          <w:szCs w:val="24"/>
          <w:lang w:val="es-CR" w:eastAsia="es-ES"/>
        </w:rPr>
        <w:t>SISTEMA FINANCIERO</w:t>
      </w:r>
    </w:p>
    <w:p w14:paraId="125B3821" w14:textId="77777777" w:rsidR="005275B5" w:rsidRPr="005275B5" w:rsidRDefault="005275B5" w:rsidP="005275B5">
      <w:pPr>
        <w:widowControl w:val="0"/>
        <w:spacing w:after="0" w:line="240" w:lineRule="auto"/>
        <w:jc w:val="center"/>
        <w:rPr>
          <w:rFonts w:ascii="Arial" w:eastAsia="Times New Roman" w:hAnsi="Arial" w:cs="Arial"/>
          <w:color w:val="000000"/>
          <w:sz w:val="24"/>
          <w:szCs w:val="24"/>
          <w:lang w:val="es-CR" w:eastAsia="es-ES"/>
        </w:rPr>
      </w:pPr>
    </w:p>
    <w:p w14:paraId="125B3822" w14:textId="77777777" w:rsidR="005275B5" w:rsidRPr="005275B5" w:rsidRDefault="005275B5" w:rsidP="005275B5">
      <w:pPr>
        <w:widowControl w:val="0"/>
        <w:spacing w:after="0" w:line="240" w:lineRule="auto"/>
        <w:jc w:val="center"/>
        <w:rPr>
          <w:rFonts w:ascii="Arial" w:eastAsia="Times New Roman" w:hAnsi="Arial" w:cs="Arial"/>
          <w:b/>
          <w:color w:val="000000"/>
          <w:sz w:val="24"/>
          <w:szCs w:val="24"/>
          <w:lang w:val="es-CR" w:eastAsia="es-ES"/>
        </w:rPr>
      </w:pPr>
    </w:p>
    <w:p w14:paraId="125B3823" w14:textId="77777777" w:rsidR="005275B5" w:rsidRPr="005275B5" w:rsidRDefault="005275B5" w:rsidP="005275B5">
      <w:pPr>
        <w:widowControl w:val="0"/>
        <w:spacing w:after="0" w:line="240" w:lineRule="auto"/>
        <w:jc w:val="both"/>
        <w:rPr>
          <w:rFonts w:ascii="Arial" w:eastAsia="Times New Roman" w:hAnsi="Arial" w:cs="Arial"/>
          <w:sz w:val="24"/>
          <w:szCs w:val="24"/>
          <w:lang w:val="es-CR" w:eastAsia="es-ES"/>
        </w:rPr>
      </w:pPr>
      <w:r w:rsidRPr="005275B5">
        <w:rPr>
          <w:rFonts w:ascii="Arial" w:eastAsia="Times New Roman" w:hAnsi="Arial" w:cs="Arial"/>
          <w:noProof/>
          <w:sz w:val="24"/>
          <w:szCs w:val="24"/>
          <w:lang w:val="es-CR" w:eastAsia="es-CR"/>
        </w:rPr>
        <mc:AlternateContent>
          <mc:Choice Requires="wpg">
            <w:drawing>
              <wp:anchor distT="0" distB="0" distL="114300" distR="114300" simplePos="0" relativeHeight="251658752" behindDoc="0" locked="0" layoutInCell="1" allowOverlap="1" wp14:anchorId="125B396C" wp14:editId="125B396D">
                <wp:simplePos x="0" y="0"/>
                <wp:positionH relativeFrom="column">
                  <wp:posOffset>4581525</wp:posOffset>
                </wp:positionH>
                <wp:positionV relativeFrom="paragraph">
                  <wp:posOffset>76835</wp:posOffset>
                </wp:positionV>
                <wp:extent cx="1019175" cy="1043940"/>
                <wp:effectExtent l="0" t="19050" r="161925" b="3810"/>
                <wp:wrapSquare wrapText="bothSides"/>
                <wp:docPr id="1"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1043940"/>
                          <a:chOff x="1152" y="2448"/>
                          <a:chExt cx="1605" cy="1644"/>
                        </a:xfrm>
                      </wpg:grpSpPr>
                      <wps:wsp>
                        <wps:cNvPr id="4" name="AutoShape 219" descr="Papel periódico"/>
                        <wps:cNvSpPr>
                          <a:spLocks noChangeArrowheads="1"/>
                        </wps:cNvSpPr>
                        <wps:spPr bwMode="auto">
                          <a:xfrm>
                            <a:off x="2182" y="2448"/>
                            <a:ext cx="520" cy="585"/>
                          </a:xfrm>
                          <a:prstGeom prst="diamond">
                            <a:avLst/>
                          </a:prstGeom>
                          <a:blipFill dpi="0" rotWithShape="0">
                            <a:blip r:embed="rId10"/>
                            <a:srcRect/>
                            <a:tile tx="0" ty="0" sx="100000" sy="100000" flip="none" algn="tl"/>
                          </a:blipFill>
                          <a:ln w="9525">
                            <a:miter lim="800000"/>
                            <a:headEnd/>
                            <a:tailEnd/>
                          </a:ln>
                          <a:effectLst/>
                          <a:scene3d>
                            <a:camera prst="legacyPerspectiveFront">
                              <a:rot lat="20099999" lon="20099999" rev="0"/>
                            </a:camera>
                            <a:lightRig rig="legacyFlat2" dir="t"/>
                          </a:scene3d>
                          <a:sp3d extrusionH="887400" prstMaterial="legacyMatte">
                            <a:bevelT w="13500" h="13500" prst="angle"/>
                            <a:bevelB w="13500" h="13500" prst="angle"/>
                            <a:extrusionClr>
                              <a:srgbClr val="F8F8F8"/>
                            </a:extrusionClr>
                          </a:sp3d>
                          <a:extLst>
                            <a:ext uri="{AF507438-7753-43E0-B8FC-AC1667EBCBE1}">
                              <a14:hiddenEffects xmlns:a14="http://schemas.microsoft.com/office/drawing/2010/main">
                                <a:effectLst>
                                  <a:outerShdw dist="107763" dir="8100000" algn="ctr" rotWithShape="0">
                                    <a:srgbClr val="808080"/>
                                  </a:outerShdw>
                                </a:effectLst>
                              </a14:hiddenEffects>
                            </a:ext>
                          </a:extLst>
                        </wps:spPr>
                        <wps:bodyPr rot="0" vert="horz" wrap="none" lIns="91440" tIns="45720" rIns="91440" bIns="45720" anchor="ctr" anchorCtr="0" upright="1">
                          <a:noAutofit/>
                        </wps:bodyPr>
                      </wps:wsp>
                      <wps:wsp>
                        <wps:cNvPr id="5" name="AutoShape 220" descr="Tejas"/>
                        <wps:cNvSpPr>
                          <a:spLocks noChangeArrowheads="1"/>
                        </wps:cNvSpPr>
                        <wps:spPr bwMode="auto">
                          <a:xfrm>
                            <a:off x="2182" y="3118"/>
                            <a:ext cx="520" cy="585"/>
                          </a:xfrm>
                          <a:prstGeom prst="diamond">
                            <a:avLst/>
                          </a:prstGeom>
                          <a:pattFill prst="shingle">
                            <a:fgClr>
                              <a:srgbClr val="F8F8F8"/>
                            </a:fgClr>
                            <a:bgClr>
                              <a:srgbClr val="FFFFFF"/>
                            </a:bgClr>
                          </a:pattFill>
                          <a:ln w="9525">
                            <a:miter lim="800000"/>
                            <a:headEnd/>
                            <a:tailEnd/>
                          </a:ln>
                          <a:effectLst/>
                          <a:scene3d>
                            <a:camera prst="legacyPerspectiveFront">
                              <a:rot lat="20099999" lon="1500000" rev="0"/>
                            </a:camera>
                            <a:lightRig rig="legacyFlat4" dir="b"/>
                          </a:scene3d>
                          <a:sp3d extrusionH="430200" prstMaterial="legacyMatte">
                            <a:bevelT w="13500" h="13500" prst="angle"/>
                            <a:bevelB w="13500" h="13500" prst="angle"/>
                            <a:extrusionClr>
                              <a:srgbClr val="F8F8F8"/>
                            </a:extrusionClr>
                          </a:sp3d>
                          <a:extLst>
                            <a:ext uri="{AF507438-7753-43E0-B8FC-AC1667EBCBE1}">
                              <a14:hiddenEffects xmlns:a14="http://schemas.microsoft.com/office/drawing/2010/main">
                                <a:effectLst>
                                  <a:outerShdw dist="107763" dir="8100000" algn="ctr" rotWithShape="0">
                                    <a:srgbClr val="808080"/>
                                  </a:outerShdw>
                                </a:effectLst>
                              </a14:hiddenEffects>
                            </a:ext>
                          </a:extLst>
                        </wps:spPr>
                        <wps:bodyPr rot="0" vert="horz" wrap="none" lIns="91440" tIns="45720" rIns="91440" bIns="45720" anchor="ctr" anchorCtr="0" upright="1">
                          <a:noAutofit/>
                        </wps:bodyPr>
                      </wps:wsp>
                      <wps:wsp>
                        <wps:cNvPr id="6" name="AutoShape 221" descr="Diagonal hacia abajo clara"/>
                        <wps:cNvSpPr>
                          <a:spLocks noChangeArrowheads="1"/>
                        </wps:cNvSpPr>
                        <wps:spPr bwMode="auto">
                          <a:xfrm>
                            <a:off x="2240" y="2883"/>
                            <a:ext cx="517" cy="585"/>
                          </a:xfrm>
                          <a:prstGeom prst="diamond">
                            <a:avLst/>
                          </a:prstGeom>
                          <a:pattFill prst="ltDnDiag">
                            <a:fgClr>
                              <a:srgbClr val="EDF8FF"/>
                            </a:fgClr>
                            <a:bgClr>
                              <a:srgbClr val="FFFFFF"/>
                            </a:bgClr>
                          </a:patt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EDF8FF"/>
                            </a:extrusionClr>
                          </a:sp3d>
                          <a:extLst>
                            <a:ext uri="{AF507438-7753-43E0-B8FC-AC1667EBCBE1}">
                              <a14:hiddenEffects xmlns:a14="http://schemas.microsoft.com/office/drawing/2010/main">
                                <a:effectLst>
                                  <a:outerShdw dist="107763" dir="8100000" algn="ctr" rotWithShape="0">
                                    <a:srgbClr val="808080"/>
                                  </a:outerShdw>
                                </a:effectLst>
                              </a14:hiddenEffects>
                            </a:ext>
                          </a:extLst>
                        </wps:spPr>
                        <wps:bodyPr rot="0" vert="horz" wrap="none" lIns="91440" tIns="45720" rIns="91440" bIns="45720" anchor="ctr" anchorCtr="0" upright="1">
                          <a:noAutofit/>
                        </wps:bodyPr>
                      </wps:wsp>
                      <wps:wsp>
                        <wps:cNvPr id="7" name="AutoShape 222" descr="Diagonal hacia arriba clara"/>
                        <wps:cNvSpPr>
                          <a:spLocks noChangeArrowheads="1"/>
                        </wps:cNvSpPr>
                        <wps:spPr bwMode="auto">
                          <a:xfrm>
                            <a:off x="1872" y="2786"/>
                            <a:ext cx="518" cy="585"/>
                          </a:xfrm>
                          <a:prstGeom prst="diamond">
                            <a:avLst/>
                          </a:prstGeom>
                          <a:pattFill prst="ltUpDiag">
                            <a:fgClr>
                              <a:srgbClr val="CCFFCC"/>
                            </a:fgClr>
                            <a:bgClr>
                              <a:srgbClr val="FFFFFF"/>
                            </a:bgClr>
                          </a:pattFill>
                          <a:ln w="9525">
                            <a:miter lim="800000"/>
                            <a:headEnd/>
                            <a:tailEnd/>
                          </a:ln>
                          <a:effectLst/>
                          <a:scene3d>
                            <a:camera prst="legacyPerspectiveFront">
                              <a:rot lat="20099999" lon="1500000" rev="0"/>
                            </a:camera>
                            <a:lightRig rig="legacyFlat4" dir="b"/>
                          </a:scene3d>
                          <a:sp3d extrusionH="430200" prstMaterial="legacyMatte">
                            <a:bevelT w="13500" h="13500" prst="angle"/>
                            <a:bevelB w="13500" h="13500" prst="angle"/>
                            <a:extrusionClr>
                              <a:srgbClr val="CCFFCC"/>
                            </a:extrusionClr>
                          </a:sp3d>
                          <a:extLst>
                            <a:ext uri="{AF507438-7753-43E0-B8FC-AC1667EBCBE1}">
                              <a14:hiddenEffects xmlns:a14="http://schemas.microsoft.com/office/drawing/2010/main">
                                <a:effectLst>
                                  <a:outerShdw dist="107763" dir="8100000" algn="ctr" rotWithShape="0">
                                    <a:srgbClr val="808080"/>
                                  </a:outerShdw>
                                </a:effectLst>
                              </a14:hiddenEffects>
                            </a:ext>
                          </a:extLst>
                        </wps:spPr>
                        <wps:bodyPr rot="0" vert="horz" wrap="none" lIns="91440" tIns="45720" rIns="91440" bIns="45720" anchor="ctr" anchorCtr="0" upright="1">
                          <a:noAutofit/>
                        </wps:bodyPr>
                      </wps:wsp>
                      <wps:wsp>
                        <wps:cNvPr id="8" name="Text Box 223"/>
                        <wps:cNvSpPr txBox="1">
                          <a:spLocks noChangeArrowheads="1"/>
                        </wps:cNvSpPr>
                        <wps:spPr bwMode="auto">
                          <a:xfrm>
                            <a:off x="1152" y="3456"/>
                            <a:ext cx="1584" cy="636"/>
                          </a:xfrm>
                          <a:prstGeom prst="rect">
                            <a:avLst/>
                          </a:prstGeom>
                          <a:noFill/>
                          <a:ln>
                            <a:noFill/>
                          </a:ln>
                          <a:effectLst>
                            <a:prstShdw prst="shdw11">
                              <a:srgbClr val="808080"/>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25B3978" w14:textId="77777777" w:rsidR="005275B5" w:rsidRDefault="005275B5" w:rsidP="005275B5">
                              <w:pPr>
                                <w:rPr>
                                  <w:rFonts w:ascii="Arial Black" w:hAnsi="Arial Black"/>
                                  <w:snapToGrid w:val="0"/>
                                  <w:color w:val="C29D00"/>
                                  <w:sz w:val="18"/>
                                </w:rPr>
                              </w:pPr>
                              <w:r>
                                <w:rPr>
                                  <w:rFonts w:ascii="Arial Black" w:hAnsi="Arial Black"/>
                                  <w:snapToGrid w:val="0"/>
                                  <w:color w:val="C29D00"/>
                                  <w:sz w:val="18"/>
                                </w:rPr>
                                <w:t>CONASSIF</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25B396C" id="Group 218" o:spid="_x0000_s1026" style="position:absolute;left:0;text-align:left;margin-left:360.75pt;margin-top:6.05pt;width:80.25pt;height:82.2pt;z-index:251658752" coordorigin="1152,2448" coordsize="1605,16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">
                <v:shapetype id="_x0000_t4" coordsize="21600,21600" o:spt="4" path="m10800,l,10800,10800,21600,21600,10800xe">
                  <v:stroke joinstyle="miter"/>
                  <v:path gradientshapeok="t" o:connecttype="rect" textboxrect="5400,5400,16200,16200"/>
                </v:shapetype>
                <v:shape id="AutoShape 219" o:spid="_x0000_s1027" type="#_x0000_t4" alt="Papel periódico" style="position:absolute;left:2182;top:2448;width:520;height: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">
                  <v:fill r:id="rId11" o:title="Papel periódico" recolor="t" type="tile"/>
                  <v:shadow offset="-6pt,6pt"/>
                  <o:extrusion v:ext="view" backdepth="1in" color="#f8f8f8" on="t" rotationangle="1638402fd,-1638402fd" viewpoint="0,0" viewpointorigin="0,0" skewangle="0" skewamt="0" lightposition="-50000,-50000" lightposition2="50000" type="perspective"/>
                </v:shape>
                <v:shape id="AutoShape 220" o:spid="_x0000_s1028" type="#_x0000_t4" alt="Tejas" style="position:absolute;left:2182;top:3118;width:520;height: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" fillcolor="#f8f8f8">
                  <v:fill r:id="rId12" o:title="" type="pattern"/>
                  <v:shadow offset="-6pt,6pt"/>
                  <o:extrusion v:ext="view" color="#f8f8f8" on="t" rotationangle="1638402fd,25" viewpoint="0,0" viewpointorigin="0,0" skewangle="0" skewamt="0" lightposition=",-50000" type="perspective"/>
                </v:shape>
                <v:shape id="AutoShape 221" o:spid="_x0000_s1029" type="#_x0000_t4" alt="Diagonal hacia abajo clara" style="position:absolute;left:2240;top:2883;width:517;height: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" fillcolor="#edf8ff">
                  <v:fill r:id="rId13" o:title="" type="pattern"/>
                  <v:shadow offset="-6pt,6pt"/>
                  <o:extrusion v:ext="view" backdepth="1in" color="#edf8ff" on="t" type="perspective"/>
                </v:shape>
                <v:shape id="AutoShape 222" o:spid="_x0000_s1030" type="#_x0000_t4" alt="Diagonal hacia arriba clara" style="position:absolute;left:1872;top:2786;width:518;height: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" fillcolor="#cfc">
                  <v:fill r:id="rId14" o:title="" type="pattern"/>
                  <v:shadow offset="-6pt,6pt"/>
                  <o:extrusion v:ext="view" color="#cfc" on="t" rotationangle="1638402fd,25" viewpoint="0,0" viewpointorigin="0,0" skewangle="0" skewamt="0" lightposition=",-50000" type="perspective"/>
                </v:shape>
                <v:shapetype id="_x0000_t202" coordsize="21600,21600" o:spt="202" path="m,l,21600r21600,l21600,xe">
                  <v:stroke joinstyle="miter"/>
                  <v:path gradientshapeok="t" o:connecttype="rect"/>
                </v:shapetype>
                <v:shape id="Text Box 223" o:spid="_x0000_s1031" type="#_x0000_t202" style="position:absolute;left:1152;top:3456;width:158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" filled="f" stroked="f">
                  <v:shadow on="t" type="perspective" origin="-.5,.5" offset="0,0" matrix=",92680f,,,,-95367431641e-17"/>
                  <v:textbox style="mso-fit-shape-to-text:t">
                    <w:txbxContent>
                      <w:p w14:paraId="125B3978" w14:textId="77777777" w:rsidR="005275B5" w:rsidRDefault="005275B5" w:rsidP="005275B5">
                        <w:pPr>
                          <w:rPr>
                            <w:rFonts w:ascii="Arial Black" w:hAnsi="Arial Black"/>
                            <w:snapToGrid w:val="0"/>
                            <w:color w:val="C29D00"/>
                            <w:sz w:val="18"/>
                          </w:rPr>
                        </w:pPr>
                        <w:r>
                          <w:rPr>
                            <w:rFonts w:ascii="Arial Black" w:hAnsi="Arial Black"/>
                            <w:snapToGrid w:val="0"/>
                            <w:color w:val="C29D00"/>
                            <w:sz w:val="18"/>
                          </w:rPr>
                          <w:t>CONASSIF</w:t>
                        </w:r>
                      </w:p>
                    </w:txbxContent>
                  </v:textbox>
                </v:shape>
                <w10:wrap type="square"/>
              </v:group>
            </w:pict>
          </mc:Fallback>
        </mc:AlternateContent>
      </w:r>
      <w:r w:rsidRPr="005275B5">
        <w:rPr>
          <w:rFonts w:ascii="Arial" w:eastAsia="Times New Roman" w:hAnsi="Arial" w:cs="Arial"/>
          <w:sz w:val="24"/>
          <w:szCs w:val="24"/>
          <w:lang w:val="es-CR" w:eastAsia="es-ES"/>
        </w:rPr>
        <w:object w:dxaOrig="1920" w:dyaOrig="1755" w14:anchorId="125B3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92pt" o:ole="">
            <v:imagedata r:id="rId15" o:title=""/>
          </v:shape>
          <o:OLEObject Type="Embed" ProgID="MSPhotoEd.3" ShapeID="_x0000_i1025" DrawAspect="Content" ObjectID="_1750491003" r:id="rId16"/>
        </w:object>
      </w:r>
    </w:p>
    <w:p w14:paraId="125B3824" w14:textId="77777777" w:rsidR="005275B5" w:rsidRPr="005275B5" w:rsidRDefault="005275B5" w:rsidP="005275B5">
      <w:pPr>
        <w:widowControl w:val="0"/>
        <w:spacing w:after="0" w:line="240" w:lineRule="auto"/>
        <w:jc w:val="both"/>
        <w:rPr>
          <w:rFonts w:ascii="Arial" w:eastAsia="Times New Roman" w:hAnsi="Arial" w:cs="Arial"/>
          <w:sz w:val="24"/>
          <w:szCs w:val="24"/>
          <w:lang w:val="es-CR" w:eastAsia="es-ES"/>
        </w:rPr>
      </w:pPr>
    </w:p>
    <w:p w14:paraId="125B3825" w14:textId="77777777" w:rsidR="005275B5" w:rsidRPr="005275B5" w:rsidRDefault="005275B5" w:rsidP="005275B5">
      <w:pPr>
        <w:widowControl w:val="0"/>
        <w:spacing w:after="0" w:line="240" w:lineRule="auto"/>
        <w:jc w:val="center"/>
        <w:rPr>
          <w:rFonts w:ascii="Arial" w:eastAsia="Times New Roman" w:hAnsi="Arial" w:cs="Arial"/>
          <w:sz w:val="24"/>
          <w:szCs w:val="24"/>
          <w:lang w:val="es-MX" w:eastAsia="es-ES"/>
        </w:rPr>
      </w:pPr>
    </w:p>
    <w:p w14:paraId="125B3826" w14:textId="77777777" w:rsidR="005275B5" w:rsidRPr="005275B5" w:rsidRDefault="005275B5" w:rsidP="005275B5">
      <w:pPr>
        <w:widowControl w:val="0"/>
        <w:spacing w:after="0" w:line="240" w:lineRule="auto"/>
        <w:jc w:val="center"/>
        <w:rPr>
          <w:rFonts w:ascii="Arial" w:eastAsia="Times New Roman" w:hAnsi="Arial" w:cs="Arial"/>
          <w:sz w:val="24"/>
          <w:szCs w:val="24"/>
          <w:lang w:val="es-MX" w:eastAsia="es-ES"/>
        </w:rPr>
      </w:pPr>
      <w:r w:rsidRPr="005275B5">
        <w:rPr>
          <w:rFonts w:ascii="Times New Roman" w:eastAsia="Calibri" w:hAnsi="Times New Roman" w:cs="Times New Roman"/>
          <w:noProof/>
          <w:sz w:val="24"/>
          <w:szCs w:val="24"/>
          <w:lang w:val="es-CR" w:eastAsia="es-CR"/>
        </w:rPr>
        <w:drawing>
          <wp:anchor distT="0" distB="0" distL="114300" distR="114300" simplePos="0" relativeHeight="251662848" behindDoc="1" locked="0" layoutInCell="1" allowOverlap="1" wp14:anchorId="125B396F" wp14:editId="125B3970">
            <wp:simplePos x="0" y="0"/>
            <wp:positionH relativeFrom="page">
              <wp:posOffset>2908935</wp:posOffset>
            </wp:positionH>
            <wp:positionV relativeFrom="page">
              <wp:posOffset>3705801</wp:posOffset>
            </wp:positionV>
            <wp:extent cx="1945005" cy="89979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5005" cy="899795"/>
                    </a:xfrm>
                    <a:prstGeom prst="rect">
                      <a:avLst/>
                    </a:prstGeom>
                    <a:noFill/>
                  </pic:spPr>
                </pic:pic>
              </a:graphicData>
            </a:graphic>
            <wp14:sizeRelH relativeFrom="margin">
              <wp14:pctWidth>0</wp14:pctWidth>
            </wp14:sizeRelH>
            <wp14:sizeRelV relativeFrom="margin">
              <wp14:pctHeight>0</wp14:pctHeight>
            </wp14:sizeRelV>
          </wp:anchor>
        </w:drawing>
      </w:r>
    </w:p>
    <w:p w14:paraId="125B3827" w14:textId="77777777" w:rsidR="005275B5" w:rsidRPr="005275B5" w:rsidRDefault="005275B5" w:rsidP="005275B5">
      <w:pPr>
        <w:widowControl w:val="0"/>
        <w:spacing w:after="0" w:line="240" w:lineRule="auto"/>
        <w:jc w:val="center"/>
        <w:rPr>
          <w:rFonts w:ascii="Arial" w:eastAsia="Times New Roman" w:hAnsi="Arial" w:cs="Arial"/>
          <w:sz w:val="24"/>
          <w:szCs w:val="24"/>
          <w:lang w:val="es-MX" w:eastAsia="es-ES"/>
        </w:rPr>
      </w:pPr>
    </w:p>
    <w:p w14:paraId="125B3828" w14:textId="77777777" w:rsidR="005275B5" w:rsidRPr="005275B5" w:rsidRDefault="005275B5" w:rsidP="005275B5">
      <w:pPr>
        <w:widowControl w:val="0"/>
        <w:spacing w:after="0" w:line="240" w:lineRule="auto"/>
        <w:jc w:val="center"/>
        <w:rPr>
          <w:rFonts w:ascii="Arial" w:eastAsia="Times New Roman" w:hAnsi="Arial" w:cs="Arial"/>
          <w:sz w:val="24"/>
          <w:szCs w:val="24"/>
          <w:lang w:val="es-MX" w:eastAsia="es-ES"/>
        </w:rPr>
      </w:pPr>
    </w:p>
    <w:p w14:paraId="125B3829" w14:textId="39A2B805" w:rsidR="005275B5" w:rsidRDefault="005275B5" w:rsidP="005275B5">
      <w:pPr>
        <w:widowControl w:val="0"/>
        <w:spacing w:after="0" w:line="240" w:lineRule="auto"/>
        <w:jc w:val="center"/>
        <w:rPr>
          <w:rFonts w:ascii="Times New Roman" w:eastAsia="Times New Roman" w:hAnsi="Times New Roman" w:cs="Times New Roman"/>
          <w:b/>
          <w:bCs/>
          <w:color w:val="365F91" w:themeColor="accent1" w:themeShade="BF"/>
          <w:sz w:val="56"/>
          <w:szCs w:val="56"/>
          <w:lang w:val="es-CR" w:eastAsia="es-ES"/>
        </w:rPr>
      </w:pPr>
      <w:r w:rsidRPr="00074F69">
        <w:rPr>
          <w:rFonts w:ascii="Times New Roman" w:eastAsia="Times New Roman" w:hAnsi="Times New Roman" w:cs="Times New Roman"/>
          <w:b/>
          <w:bCs/>
          <w:color w:val="365F91" w:themeColor="accent1" w:themeShade="BF"/>
          <w:sz w:val="56"/>
          <w:szCs w:val="56"/>
          <w:lang w:val="es-CR" w:eastAsia="es-ES"/>
        </w:rPr>
        <w:t>REGLAMENTO ACTUARIAL</w:t>
      </w:r>
    </w:p>
    <w:p w14:paraId="327A722E" w14:textId="6318A219" w:rsidR="004D3988" w:rsidRPr="004D3988" w:rsidRDefault="004D3988" w:rsidP="005275B5">
      <w:pPr>
        <w:widowControl w:val="0"/>
        <w:spacing w:after="0" w:line="240" w:lineRule="auto"/>
        <w:jc w:val="center"/>
        <w:rPr>
          <w:rFonts w:ascii="Arial" w:eastAsia="Times New Roman" w:hAnsi="Arial" w:cs="Arial"/>
          <w:b/>
          <w:color w:val="365F91" w:themeColor="accent1" w:themeShade="BF"/>
          <w:sz w:val="44"/>
          <w:szCs w:val="44"/>
          <w:lang w:val="es-CR" w:eastAsia="es-ES"/>
        </w:rPr>
      </w:pPr>
      <w:r w:rsidRPr="004D3988">
        <w:rPr>
          <w:rFonts w:ascii="Times New Roman" w:eastAsia="Times New Roman" w:hAnsi="Times New Roman" w:cs="Times New Roman"/>
          <w:b/>
          <w:bCs/>
          <w:color w:val="365F91" w:themeColor="accent1" w:themeShade="BF"/>
          <w:sz w:val="44"/>
          <w:szCs w:val="44"/>
          <w:lang w:val="es-CR" w:eastAsia="es-ES"/>
        </w:rPr>
        <w:t>Acuerdo SUPEN</w:t>
      </w:r>
      <w:r>
        <w:rPr>
          <w:rFonts w:ascii="Times New Roman" w:eastAsia="Times New Roman" w:hAnsi="Times New Roman" w:cs="Times New Roman"/>
          <w:b/>
          <w:bCs/>
          <w:color w:val="365F91" w:themeColor="accent1" w:themeShade="BF"/>
          <w:sz w:val="44"/>
          <w:szCs w:val="44"/>
          <w:lang w:val="es-CR" w:eastAsia="es-ES"/>
        </w:rPr>
        <w:t xml:space="preserve"> </w:t>
      </w:r>
      <w:r w:rsidRPr="004D3988">
        <w:rPr>
          <w:rFonts w:ascii="Times New Roman" w:eastAsia="Times New Roman" w:hAnsi="Times New Roman" w:cs="Times New Roman"/>
          <w:b/>
          <w:bCs/>
          <w:color w:val="365F91" w:themeColor="accent1" w:themeShade="BF"/>
          <w:sz w:val="44"/>
          <w:szCs w:val="44"/>
          <w:lang w:val="es-CR" w:eastAsia="es-ES"/>
        </w:rPr>
        <w:t>4-16</w:t>
      </w:r>
    </w:p>
    <w:p w14:paraId="125B382A" w14:textId="77777777" w:rsidR="005275B5" w:rsidRPr="005275B5" w:rsidRDefault="005275B5" w:rsidP="005275B5">
      <w:pPr>
        <w:autoSpaceDE w:val="0"/>
        <w:autoSpaceDN w:val="0"/>
        <w:adjustRightInd w:val="0"/>
        <w:spacing w:after="0" w:line="240" w:lineRule="auto"/>
        <w:jc w:val="center"/>
        <w:rPr>
          <w:rFonts w:ascii="Arial" w:eastAsia="Calibri" w:hAnsi="Arial" w:cs="Arial"/>
          <w:bCs/>
          <w:color w:val="000000"/>
          <w:sz w:val="24"/>
          <w:szCs w:val="24"/>
          <w:lang w:val="es-CR"/>
        </w:rPr>
      </w:pPr>
    </w:p>
    <w:p w14:paraId="125B382B" w14:textId="77777777" w:rsidR="005275B5" w:rsidRPr="005275B5" w:rsidRDefault="005275B5" w:rsidP="005275B5">
      <w:pPr>
        <w:autoSpaceDE w:val="0"/>
        <w:autoSpaceDN w:val="0"/>
        <w:adjustRightInd w:val="0"/>
        <w:spacing w:after="0" w:line="240" w:lineRule="auto"/>
        <w:jc w:val="center"/>
        <w:rPr>
          <w:rFonts w:ascii="Arial" w:eastAsia="Calibri" w:hAnsi="Arial" w:cs="Arial"/>
          <w:bCs/>
          <w:color w:val="000000"/>
          <w:sz w:val="24"/>
          <w:szCs w:val="24"/>
          <w:lang w:val="es-CR"/>
        </w:rPr>
      </w:pPr>
    </w:p>
    <w:p w14:paraId="125B382C" w14:textId="77777777" w:rsidR="005275B5" w:rsidRPr="005275B5" w:rsidRDefault="005275B5" w:rsidP="005275B5">
      <w:pPr>
        <w:autoSpaceDE w:val="0"/>
        <w:autoSpaceDN w:val="0"/>
        <w:adjustRightInd w:val="0"/>
        <w:spacing w:after="0" w:line="240" w:lineRule="auto"/>
        <w:jc w:val="both"/>
        <w:rPr>
          <w:rFonts w:ascii="Arial" w:eastAsia="Calibri" w:hAnsi="Arial" w:cs="Arial"/>
          <w:bCs/>
          <w:color w:val="000000"/>
          <w:sz w:val="24"/>
          <w:szCs w:val="24"/>
          <w:lang w:val="es-CR"/>
        </w:rPr>
      </w:pPr>
    </w:p>
    <w:p w14:paraId="125B382D" w14:textId="77777777" w:rsidR="005275B5" w:rsidRPr="005275B5" w:rsidRDefault="005275B5" w:rsidP="005275B5">
      <w:pPr>
        <w:autoSpaceDE w:val="0"/>
        <w:autoSpaceDN w:val="0"/>
        <w:adjustRightInd w:val="0"/>
        <w:spacing w:after="0" w:line="240" w:lineRule="auto"/>
        <w:jc w:val="both"/>
        <w:rPr>
          <w:rFonts w:ascii="Arial" w:eastAsia="Calibri" w:hAnsi="Arial" w:cs="Arial"/>
          <w:bCs/>
          <w:color w:val="000000"/>
          <w:sz w:val="24"/>
          <w:szCs w:val="24"/>
          <w:lang w:val="es-CR"/>
        </w:rPr>
      </w:pPr>
    </w:p>
    <w:p w14:paraId="125B382E" w14:textId="77777777" w:rsidR="005275B5" w:rsidRPr="005275B5" w:rsidRDefault="005275B5" w:rsidP="000C6A2D">
      <w:pPr>
        <w:autoSpaceDE w:val="0"/>
        <w:autoSpaceDN w:val="0"/>
        <w:adjustRightInd w:val="0"/>
        <w:spacing w:after="0" w:line="240" w:lineRule="auto"/>
        <w:ind w:left="708" w:right="567"/>
        <w:jc w:val="center"/>
        <w:rPr>
          <w:rFonts w:ascii="Times New Roman" w:eastAsia="Calibri" w:hAnsi="Times New Roman" w:cs="Times New Roman"/>
          <w:bCs/>
          <w:color w:val="000000"/>
          <w:sz w:val="24"/>
          <w:szCs w:val="24"/>
          <w:lang w:val="es-CR"/>
        </w:rPr>
      </w:pPr>
      <w:r w:rsidRPr="005275B5">
        <w:rPr>
          <w:rFonts w:ascii="Times New Roman" w:eastAsia="Calibri" w:hAnsi="Times New Roman" w:cs="Times New Roman"/>
          <w:bCs/>
          <w:color w:val="000000"/>
          <w:sz w:val="24"/>
          <w:szCs w:val="24"/>
          <w:lang w:val="es-CR"/>
        </w:rPr>
        <w:t xml:space="preserve">APROBADO POR EL CONSEJO NACIONAL DE SUPERVISIÓN DEL </w:t>
      </w:r>
      <w:r w:rsidR="000C6A2D">
        <w:rPr>
          <w:rFonts w:ascii="Times New Roman" w:eastAsia="Calibri" w:hAnsi="Times New Roman" w:cs="Times New Roman"/>
          <w:bCs/>
          <w:color w:val="000000"/>
          <w:sz w:val="24"/>
          <w:szCs w:val="24"/>
          <w:lang w:val="es-CR"/>
        </w:rPr>
        <w:t xml:space="preserve">       </w:t>
      </w:r>
      <w:r w:rsidRPr="005275B5">
        <w:rPr>
          <w:rFonts w:ascii="Times New Roman" w:eastAsia="Calibri" w:hAnsi="Times New Roman" w:cs="Times New Roman"/>
          <w:bCs/>
          <w:color w:val="000000"/>
          <w:sz w:val="24"/>
          <w:szCs w:val="24"/>
          <w:lang w:val="es-CR"/>
        </w:rPr>
        <w:t xml:space="preserve">SISTEMA FINANCIERO, MEDIANTE ARTÍCULO 5 DEL ACTA DE LA SESIÓN 1275-2016, </w:t>
      </w:r>
    </w:p>
    <w:p w14:paraId="125B382F" w14:textId="77777777" w:rsidR="005275B5" w:rsidRPr="005275B5" w:rsidRDefault="005275B5" w:rsidP="000C6A2D">
      <w:pPr>
        <w:autoSpaceDE w:val="0"/>
        <w:autoSpaceDN w:val="0"/>
        <w:adjustRightInd w:val="0"/>
        <w:spacing w:after="0" w:line="240" w:lineRule="auto"/>
        <w:ind w:left="-284" w:right="567" w:firstLine="992"/>
        <w:jc w:val="center"/>
        <w:rPr>
          <w:rFonts w:ascii="Times New Roman" w:eastAsia="Calibri" w:hAnsi="Times New Roman" w:cs="Times New Roman"/>
          <w:bCs/>
          <w:color w:val="000000"/>
          <w:sz w:val="24"/>
          <w:szCs w:val="24"/>
          <w:lang w:val="es-CR"/>
        </w:rPr>
      </w:pPr>
      <w:r w:rsidRPr="005275B5">
        <w:rPr>
          <w:rFonts w:ascii="Times New Roman" w:eastAsia="Calibri" w:hAnsi="Times New Roman" w:cs="Times New Roman"/>
          <w:bCs/>
          <w:color w:val="000000"/>
          <w:sz w:val="24"/>
          <w:szCs w:val="24"/>
          <w:lang w:val="es-CR"/>
        </w:rPr>
        <w:t xml:space="preserve">CELEBRADA EL 30 DE AGOSTO DEL 2016, </w:t>
      </w:r>
    </w:p>
    <w:p w14:paraId="125B3830" w14:textId="77777777" w:rsidR="005275B5" w:rsidRPr="005275B5" w:rsidRDefault="005275B5" w:rsidP="005275B5">
      <w:pPr>
        <w:autoSpaceDE w:val="0"/>
        <w:autoSpaceDN w:val="0"/>
        <w:adjustRightInd w:val="0"/>
        <w:spacing w:after="0" w:line="240" w:lineRule="auto"/>
        <w:ind w:left="-284" w:right="567"/>
        <w:jc w:val="center"/>
        <w:rPr>
          <w:rFonts w:ascii="Times New Roman" w:eastAsia="Calibri" w:hAnsi="Times New Roman" w:cs="Times New Roman"/>
          <w:bCs/>
          <w:color w:val="000000"/>
          <w:sz w:val="24"/>
          <w:szCs w:val="24"/>
          <w:lang w:val="es-CR"/>
        </w:rPr>
      </w:pPr>
    </w:p>
    <w:p w14:paraId="125B3831" w14:textId="77777777" w:rsidR="005275B5" w:rsidRPr="005275B5" w:rsidRDefault="005275B5" w:rsidP="000C6A2D">
      <w:pPr>
        <w:autoSpaceDE w:val="0"/>
        <w:autoSpaceDN w:val="0"/>
        <w:adjustRightInd w:val="0"/>
        <w:spacing w:after="0" w:line="240" w:lineRule="auto"/>
        <w:ind w:left="-284" w:right="567" w:firstLine="992"/>
        <w:jc w:val="center"/>
        <w:rPr>
          <w:rFonts w:ascii="Times New Roman" w:eastAsia="Calibri" w:hAnsi="Times New Roman" w:cs="Times New Roman"/>
          <w:bCs/>
          <w:color w:val="000000"/>
          <w:sz w:val="24"/>
          <w:szCs w:val="24"/>
          <w:lang w:val="es-CR"/>
        </w:rPr>
      </w:pPr>
      <w:r w:rsidRPr="005275B5">
        <w:rPr>
          <w:rFonts w:ascii="Times New Roman" w:eastAsia="Calibri" w:hAnsi="Times New Roman" w:cs="Times New Roman"/>
          <w:bCs/>
          <w:color w:val="000000"/>
          <w:sz w:val="24"/>
          <w:szCs w:val="24"/>
          <w:lang w:val="es-CR"/>
        </w:rPr>
        <w:t>PUBLICADO EN EL ALCANCE 200 DEL</w:t>
      </w:r>
      <w:r w:rsidR="000C6A2D">
        <w:rPr>
          <w:rFonts w:ascii="Times New Roman" w:eastAsia="Calibri" w:hAnsi="Times New Roman" w:cs="Times New Roman"/>
          <w:bCs/>
          <w:color w:val="000000"/>
          <w:sz w:val="24"/>
          <w:szCs w:val="24"/>
          <w:lang w:val="es-CR"/>
        </w:rPr>
        <w:t xml:space="preserve"> DIARIO OFICIAL “LA </w:t>
      </w:r>
      <w:r w:rsidRPr="005275B5">
        <w:rPr>
          <w:rFonts w:ascii="Times New Roman" w:eastAsia="Calibri" w:hAnsi="Times New Roman" w:cs="Times New Roman"/>
          <w:bCs/>
          <w:color w:val="000000"/>
          <w:sz w:val="24"/>
          <w:szCs w:val="24"/>
          <w:lang w:val="es-CR"/>
        </w:rPr>
        <w:t>GACETA”, DEL 27 DE SET</w:t>
      </w:r>
      <w:r w:rsidR="000C6A2D">
        <w:rPr>
          <w:rFonts w:ascii="Times New Roman" w:eastAsia="Calibri" w:hAnsi="Times New Roman" w:cs="Times New Roman"/>
          <w:bCs/>
          <w:color w:val="000000"/>
          <w:sz w:val="24"/>
          <w:szCs w:val="24"/>
          <w:lang w:val="es-CR"/>
        </w:rPr>
        <w:t>IE</w:t>
      </w:r>
      <w:r w:rsidRPr="005275B5">
        <w:rPr>
          <w:rFonts w:ascii="Times New Roman" w:eastAsia="Calibri" w:hAnsi="Times New Roman" w:cs="Times New Roman"/>
          <w:bCs/>
          <w:color w:val="000000"/>
          <w:sz w:val="24"/>
          <w:szCs w:val="24"/>
          <w:lang w:val="es-CR"/>
        </w:rPr>
        <w:t>MBRE DEL 2016.</w:t>
      </w:r>
    </w:p>
    <w:p w14:paraId="125B3832" w14:textId="77777777" w:rsidR="005275B5" w:rsidRPr="005275B5" w:rsidRDefault="005275B5" w:rsidP="005275B5">
      <w:pPr>
        <w:autoSpaceDE w:val="0"/>
        <w:autoSpaceDN w:val="0"/>
        <w:adjustRightInd w:val="0"/>
        <w:spacing w:after="0" w:line="240" w:lineRule="auto"/>
        <w:ind w:left="-284"/>
        <w:jc w:val="both"/>
        <w:rPr>
          <w:rFonts w:ascii="Times New Roman" w:eastAsia="Calibri" w:hAnsi="Times New Roman" w:cs="Times New Roman"/>
          <w:b/>
          <w:bCs/>
          <w:color w:val="000000"/>
          <w:sz w:val="24"/>
          <w:szCs w:val="24"/>
          <w:lang w:val="es-CR"/>
        </w:rPr>
      </w:pPr>
    </w:p>
    <w:p w14:paraId="125B3833" w14:textId="77777777" w:rsidR="005275B5" w:rsidRPr="005275B5" w:rsidRDefault="005275B5" w:rsidP="005275B5">
      <w:pPr>
        <w:autoSpaceDE w:val="0"/>
        <w:autoSpaceDN w:val="0"/>
        <w:adjustRightInd w:val="0"/>
        <w:spacing w:after="0" w:line="240" w:lineRule="auto"/>
        <w:jc w:val="center"/>
        <w:rPr>
          <w:rFonts w:ascii="Times New Roman" w:eastAsia="Calibri" w:hAnsi="Times New Roman" w:cs="Times New Roman"/>
          <w:b/>
          <w:bCs/>
          <w:color w:val="000000"/>
          <w:sz w:val="24"/>
          <w:szCs w:val="24"/>
          <w:lang w:val="es-CR"/>
        </w:rPr>
      </w:pPr>
    </w:p>
    <w:p w14:paraId="125B3834" w14:textId="77777777" w:rsidR="005275B5" w:rsidRPr="005275B5" w:rsidRDefault="005275B5" w:rsidP="005275B5">
      <w:pPr>
        <w:autoSpaceDE w:val="0"/>
        <w:autoSpaceDN w:val="0"/>
        <w:adjustRightInd w:val="0"/>
        <w:spacing w:after="0" w:line="240" w:lineRule="auto"/>
        <w:jc w:val="center"/>
        <w:rPr>
          <w:rFonts w:ascii="Times New Roman" w:eastAsia="Calibri" w:hAnsi="Times New Roman" w:cs="Times New Roman"/>
          <w:b/>
          <w:bCs/>
          <w:color w:val="000000"/>
          <w:sz w:val="24"/>
          <w:szCs w:val="24"/>
          <w:lang w:val="es-CR"/>
        </w:rPr>
      </w:pPr>
    </w:p>
    <w:p w14:paraId="125B3835" w14:textId="06A1B807" w:rsidR="005275B5" w:rsidRDefault="005275B5" w:rsidP="005275B5">
      <w:pPr>
        <w:widowControl w:val="0"/>
        <w:spacing w:after="0" w:line="240" w:lineRule="auto"/>
        <w:jc w:val="center"/>
        <w:rPr>
          <w:rFonts w:ascii="Times New Roman" w:eastAsia="Calibri" w:hAnsi="Times New Roman" w:cs="Times New Roman"/>
          <w:b/>
          <w:bCs/>
          <w:iCs/>
          <w:color w:val="000000"/>
          <w:sz w:val="24"/>
          <w:szCs w:val="24"/>
          <w:lang w:val="es-CR"/>
        </w:rPr>
      </w:pPr>
      <w:r w:rsidRPr="005275B5">
        <w:rPr>
          <w:rFonts w:ascii="Times New Roman" w:eastAsia="Calibri" w:hAnsi="Times New Roman" w:cs="Times New Roman"/>
          <w:b/>
          <w:bCs/>
          <w:iCs/>
          <w:color w:val="000000"/>
          <w:sz w:val="24"/>
          <w:szCs w:val="24"/>
          <w:lang w:val="es-CR"/>
        </w:rPr>
        <w:t>RIGE A PARTIR DEL 01 DE ENERO DE 2017”</w:t>
      </w:r>
    </w:p>
    <w:p w14:paraId="051D99D2" w14:textId="5BA2C662" w:rsidR="009971E9" w:rsidRDefault="009971E9" w:rsidP="005275B5">
      <w:pPr>
        <w:widowControl w:val="0"/>
        <w:spacing w:after="0" w:line="240" w:lineRule="auto"/>
        <w:jc w:val="center"/>
        <w:rPr>
          <w:rFonts w:ascii="Times New Roman" w:eastAsia="Calibri" w:hAnsi="Times New Roman" w:cs="Times New Roman"/>
          <w:b/>
          <w:bCs/>
          <w:iCs/>
          <w:color w:val="000000"/>
          <w:sz w:val="24"/>
          <w:szCs w:val="24"/>
          <w:lang w:val="es-CR"/>
        </w:rPr>
      </w:pPr>
    </w:p>
    <w:p w14:paraId="418A9E62" w14:textId="7F7DD02D" w:rsidR="009971E9" w:rsidRPr="009971E9" w:rsidRDefault="009971E9" w:rsidP="009971E9">
      <w:pPr>
        <w:widowControl w:val="0"/>
        <w:spacing w:after="0"/>
        <w:jc w:val="center"/>
        <w:rPr>
          <w:rFonts w:ascii="Times New Roman" w:hAnsi="Times New Roman" w:cs="Times New Roman"/>
          <w:b/>
          <w:bCs/>
          <w:i/>
          <w:iCs/>
          <w:color w:val="000000"/>
          <w:sz w:val="24"/>
          <w:szCs w:val="24"/>
        </w:rPr>
      </w:pPr>
      <w:r w:rsidRPr="009971E9">
        <w:rPr>
          <w:rFonts w:ascii="Times New Roman" w:hAnsi="Times New Roman" w:cs="Times New Roman"/>
          <w:b/>
          <w:bCs/>
          <w:i/>
          <w:iCs/>
          <w:color w:val="000000"/>
          <w:sz w:val="24"/>
          <w:szCs w:val="24"/>
        </w:rPr>
        <w:t>Actualizado</w:t>
      </w:r>
    </w:p>
    <w:p w14:paraId="7DEAFB20" w14:textId="77777777" w:rsidR="009971E9" w:rsidRPr="009971E9" w:rsidRDefault="009971E9" w:rsidP="009971E9">
      <w:pPr>
        <w:widowControl w:val="0"/>
        <w:spacing w:after="0"/>
        <w:jc w:val="center"/>
        <w:rPr>
          <w:rFonts w:ascii="Times New Roman" w:hAnsi="Times New Roman" w:cs="Times New Roman"/>
          <w:b/>
          <w:bCs/>
          <w:i/>
          <w:iCs/>
          <w:color w:val="000000"/>
          <w:sz w:val="24"/>
          <w:szCs w:val="24"/>
        </w:rPr>
      </w:pPr>
      <w:r w:rsidRPr="009971E9">
        <w:rPr>
          <w:rFonts w:ascii="Times New Roman" w:hAnsi="Times New Roman" w:cs="Times New Roman"/>
          <w:b/>
          <w:bCs/>
          <w:i/>
          <w:iCs/>
          <w:color w:val="000000"/>
          <w:sz w:val="24"/>
          <w:szCs w:val="24"/>
        </w:rPr>
        <w:t>Julio de 2023</w:t>
      </w:r>
    </w:p>
    <w:p w14:paraId="125B383E" w14:textId="77777777" w:rsidR="005275B5" w:rsidRPr="005275B5" w:rsidRDefault="005275B5" w:rsidP="009971E9">
      <w:pPr>
        <w:widowControl w:val="0"/>
        <w:spacing w:after="0" w:line="240" w:lineRule="auto"/>
        <w:rPr>
          <w:rFonts w:ascii="Times New Roman" w:eastAsia="Times New Roman" w:hAnsi="Times New Roman" w:cs="Times New Roman"/>
          <w:b/>
          <w:sz w:val="24"/>
          <w:szCs w:val="24"/>
          <w:lang w:val="es-CR" w:eastAsia="es-ES"/>
        </w:rPr>
      </w:pPr>
    </w:p>
    <w:p w14:paraId="125B383F"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lastRenderedPageBreak/>
        <w:t>Estimados señores:</w:t>
      </w:r>
    </w:p>
    <w:p w14:paraId="125B3840" w14:textId="77777777" w:rsidR="005275B5" w:rsidRPr="005275B5" w:rsidRDefault="005275B5" w:rsidP="005275B5">
      <w:pPr>
        <w:spacing w:after="0" w:line="240" w:lineRule="auto"/>
        <w:jc w:val="both"/>
        <w:rPr>
          <w:rFonts w:ascii="Times New Roman" w:eastAsia="Times New Roman" w:hAnsi="Times New Roman" w:cs="Times New Roman"/>
          <w:b/>
          <w:sz w:val="24"/>
          <w:szCs w:val="24"/>
          <w:lang w:eastAsia="es-ES"/>
        </w:rPr>
      </w:pPr>
    </w:p>
    <w:p w14:paraId="125B3841"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Consejo Nacional de Supervisión del Sistema Financiero en el artículo 5 del acta de la sesión 1275-2016, celebrada el 30 de agosto del 2016, con base en la propuesta remitida por la Superintendencia de Pensiones, adjunta al oficio SP-948-2016, del 18 de agosto del 2016 y</w:t>
      </w:r>
    </w:p>
    <w:p w14:paraId="125B3842"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43"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Considerando que:</w:t>
      </w:r>
    </w:p>
    <w:p w14:paraId="125B3844"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45"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1.</w:t>
      </w:r>
      <w:r w:rsidRPr="005275B5">
        <w:rPr>
          <w:rFonts w:ascii="Times New Roman" w:eastAsia="Times New Roman" w:hAnsi="Times New Roman" w:cs="Times New Roman"/>
          <w:sz w:val="24"/>
          <w:szCs w:val="24"/>
          <w:lang w:eastAsia="es-ES"/>
        </w:rPr>
        <w:tab/>
        <w:t>El artículo 171 de la Ley Reguladora del Mercado de Valores, Ley 7732, en su literal b), establece como una función del Consejo Nacional de Supervisión del Sistema Financiero aprobar las normas atinentes a la autorización, regulación, supervisión, fiscalización y vigilancia que conforme a la Ley debe ejercer la Superintendencia de Pensiones. Asimismo, el literal q) establece que le corresponde aprobar las normas garantes de la supervisión y resguardo de la solidez financiera de los regímenes de pensiones del Poder Judicial y cualesquiera otros creados por ley o convenciones colectivas.</w:t>
      </w:r>
    </w:p>
    <w:p w14:paraId="125B3846"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47"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2.</w:t>
      </w:r>
      <w:r w:rsidRPr="005275B5">
        <w:rPr>
          <w:rFonts w:ascii="Times New Roman" w:eastAsia="Times New Roman" w:hAnsi="Times New Roman" w:cs="Times New Roman"/>
          <w:sz w:val="24"/>
          <w:szCs w:val="24"/>
          <w:lang w:eastAsia="es-ES"/>
        </w:rPr>
        <w:tab/>
        <w:t xml:space="preserve">El artículo 33 de la </w:t>
      </w:r>
      <w:r w:rsidRPr="005275B5">
        <w:rPr>
          <w:rFonts w:ascii="Times New Roman" w:eastAsia="SimHei" w:hAnsi="Times New Roman" w:cs="Times New Roman"/>
          <w:sz w:val="24"/>
          <w:szCs w:val="24"/>
          <w:lang w:eastAsia="es-ES"/>
        </w:rPr>
        <w:t>Ley sobre el Régimen Privado de Pensiones Complementarias, Ley 7523</w:t>
      </w:r>
      <w:r w:rsidRPr="005275B5">
        <w:rPr>
          <w:rFonts w:ascii="Times New Roman" w:eastAsia="Times New Roman" w:hAnsi="Times New Roman" w:cs="Times New Roman"/>
          <w:sz w:val="24"/>
          <w:szCs w:val="24"/>
          <w:lang w:eastAsia="es-ES"/>
        </w:rPr>
        <w:t>, estipula que la Superintendencia de Pensiones regulará, supervisará y fiscalizará los fondos y regímenes contemplados en dicha norma, así como aquellos que le sean encomendados en virtud de otras leyes, y la actividad de las operadoras de pensiones, de los entes autorizados para administrar los fondos de capitalización laboral y de las personas físicas o jurídicas que intervengan, directa o indirectamente, en los actos o contratos relacionados con las disposiciones de dicha Ley.</w:t>
      </w:r>
    </w:p>
    <w:p w14:paraId="125B3848"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49"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3.</w:t>
      </w:r>
      <w:r w:rsidRPr="005275B5">
        <w:rPr>
          <w:rFonts w:ascii="Times New Roman" w:eastAsia="Times New Roman" w:hAnsi="Times New Roman" w:cs="Times New Roman"/>
          <w:sz w:val="24"/>
          <w:szCs w:val="24"/>
          <w:lang w:eastAsia="es-ES"/>
        </w:rPr>
        <w:tab/>
        <w:t>El artículo 38 de la Ley antes citada establece, como atribución del Superintendente de Pensiones, proponer al Consejo Nacional de Supervisión del Sistema Financiero los reglamentos necesarios para cumplir las competencias y funciones de la Superintendencia a su cargo, así como los informes y dictámenes que éste requiera para ejercer sus atribuciones.</w:t>
      </w:r>
    </w:p>
    <w:p w14:paraId="125B384A"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4B"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4.</w:t>
      </w:r>
      <w:r w:rsidRPr="005275B5">
        <w:rPr>
          <w:rFonts w:ascii="Times New Roman" w:eastAsia="Times New Roman" w:hAnsi="Times New Roman" w:cs="Times New Roman"/>
          <w:sz w:val="24"/>
          <w:szCs w:val="24"/>
          <w:lang w:eastAsia="es-ES"/>
        </w:rPr>
        <w:tab/>
        <w:t>La Ley 7523, Régimen Privado de Pensiones Complementarias y Reformas de la Ley Reguladora del Mercado de Valores y del Código de Comercio, en su artículo 36, estableció la facultad de la Superintendencia de Pensiones para velar por el equilibrio actuarial de los regímenes administrados y dictar las resoluciones correspondientes.</w:t>
      </w:r>
    </w:p>
    <w:p w14:paraId="125B384C"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4D"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5.</w:t>
      </w:r>
      <w:r w:rsidRPr="005275B5">
        <w:rPr>
          <w:rFonts w:ascii="Times New Roman" w:eastAsia="Times New Roman" w:hAnsi="Times New Roman" w:cs="Times New Roman"/>
          <w:sz w:val="24"/>
          <w:szCs w:val="24"/>
          <w:lang w:eastAsia="es-ES"/>
        </w:rPr>
        <w:tab/>
        <w:t>Mediante artículo 7, del acta de la sesión 514-2005, celebrada el 23 de junio del 2005, el Consejo Nacional de Supervisión del Sistema Financiero aprobó el Reglamento actuarial para los regímenes de pensiones creados por leyes especiales y regímenes públicos sustitutos al Régimen de Invalidez, Vejez y Muerte, mismo que fue publicado en el diario oficial La Gaceta n° 135, del 13 de julio del 2005.</w:t>
      </w:r>
    </w:p>
    <w:p w14:paraId="125B384E" w14:textId="77777777" w:rsidR="005275B5" w:rsidRPr="005275B5" w:rsidRDefault="005275B5" w:rsidP="005275B5">
      <w:pPr>
        <w:spacing w:after="0" w:line="240" w:lineRule="auto"/>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br w:type="page"/>
      </w:r>
    </w:p>
    <w:p w14:paraId="125B384F"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50"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6.</w:t>
      </w:r>
      <w:r w:rsidRPr="005275B5">
        <w:rPr>
          <w:rFonts w:ascii="Times New Roman" w:eastAsia="Times New Roman" w:hAnsi="Times New Roman" w:cs="Times New Roman"/>
          <w:sz w:val="24"/>
          <w:szCs w:val="24"/>
          <w:lang w:eastAsia="es-ES"/>
        </w:rPr>
        <w:tab/>
        <w:t>Producto de la aplicación del Reglamento actuarial para los regímenes de pensiones creados por leyes especiales y regímenes públicos sustitutos al Régimen de Invalidez, Vejez y Muerte, a partir de su vigencia y de las mejores prácticas internacionales relacionadas con el riesgo actuarial, se han identificado oportunidades de mejora que conviene incorporar en el Reglamento de cita, a efecto de contar con un instrumento normativo más robusto y actualizado.</w:t>
      </w:r>
    </w:p>
    <w:p w14:paraId="125B3851"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52"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7.</w:t>
      </w:r>
      <w:r w:rsidRPr="005275B5">
        <w:rPr>
          <w:rFonts w:ascii="Times New Roman" w:eastAsia="Times New Roman" w:hAnsi="Times New Roman" w:cs="Times New Roman"/>
          <w:sz w:val="24"/>
          <w:szCs w:val="24"/>
          <w:lang w:eastAsia="es-ES"/>
        </w:rPr>
        <w:tab/>
        <w:t>El Consejo Nacional de Supervisión del Sistema Financiero, mediante el artículo 10, del acta de la sesión 1244-2016, celebrada el 19 de abril del 2016, envió a consulta de los participantes del sector de pensiones, la propuesta de modificación al Reglamento actuarial de los regímenes de pensiones creados por leyes especiales y regímenes públicos sustitutos al Régimen de Invalidez, Vejez y Muerte, en el entendido que en un plazo máximo de diez días hábiles, enviaran al Despacho del Superintendente de Pensiones, sus comentarios y observaciones al texto propuesto.</w:t>
      </w:r>
    </w:p>
    <w:p w14:paraId="125B3853"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54" w14:textId="77777777" w:rsidR="005275B5" w:rsidRPr="005275B5" w:rsidRDefault="005275B5" w:rsidP="005275B5">
      <w:pPr>
        <w:widowControl w:val="0"/>
        <w:spacing w:after="0" w:line="240" w:lineRule="auto"/>
        <w:ind w:left="567" w:hanging="567"/>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8.</w:t>
      </w:r>
      <w:r w:rsidRPr="005275B5">
        <w:rPr>
          <w:rFonts w:ascii="Times New Roman" w:eastAsia="Times New Roman" w:hAnsi="Times New Roman" w:cs="Times New Roman"/>
          <w:sz w:val="24"/>
          <w:szCs w:val="24"/>
          <w:lang w:eastAsia="es-ES"/>
        </w:rPr>
        <w:tab/>
        <w:t>Una vez recibidas y analizadas las observaciones recibidas de las entidades participantes, fue ajustado en lo que correspondía la propuesta de modificación del Reglamento actuarial, y lo que procede es aprobar su versión definitiva por parte del Consejo Nacional de Supervisión del Sistema Financiero.</w:t>
      </w:r>
    </w:p>
    <w:p w14:paraId="125B3855"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56"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dispuso en firme:</w:t>
      </w:r>
    </w:p>
    <w:p w14:paraId="125B3857"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p>
    <w:p w14:paraId="125B3858"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Reformar integralmente el Reglamento actuarial para los regímenes de pensiones creados por leyes especiales y regímenes públicos sustitutos al Régimen de Invalidez, Vejez y Muerte, aprobado por el Consejo Nacional de Supervisión del Sistema Financiero mediante artículo 7, de acta de la sesión 514-2005, del 23 de junio del 2005, publicado en el diario oficial La Gaceta No. 135, del 13 de julio del 2005, para que, en lo sucesivo, se lea como sigue:</w:t>
      </w:r>
    </w:p>
    <w:p w14:paraId="125B3859" w14:textId="77777777" w:rsidR="00D1240C" w:rsidRPr="005275B5" w:rsidRDefault="00D1240C" w:rsidP="00CE6F0D">
      <w:pPr>
        <w:tabs>
          <w:tab w:val="left" w:pos="1056"/>
        </w:tabs>
        <w:rPr>
          <w:sz w:val="24"/>
          <w:szCs w:val="24"/>
        </w:rPr>
      </w:pPr>
    </w:p>
    <w:p w14:paraId="125B385A" w14:textId="77777777" w:rsidR="005275B5" w:rsidRPr="005275B5" w:rsidRDefault="005275B5" w:rsidP="00CE6F0D">
      <w:pPr>
        <w:tabs>
          <w:tab w:val="left" w:pos="1056"/>
        </w:tabs>
        <w:rPr>
          <w:sz w:val="24"/>
          <w:szCs w:val="24"/>
        </w:rPr>
      </w:pPr>
    </w:p>
    <w:tbl>
      <w:tblPr>
        <w:tblStyle w:val="Tablaconcuadrcula1"/>
        <w:tblW w:w="8926" w:type="dxa"/>
        <w:jc w:val="center"/>
        <w:tblLook w:val="04A0" w:firstRow="1" w:lastRow="0" w:firstColumn="1" w:lastColumn="0" w:noHBand="0" w:noVBand="1"/>
      </w:tblPr>
      <w:tblGrid>
        <w:gridCol w:w="1129"/>
        <w:gridCol w:w="7797"/>
      </w:tblGrid>
      <w:tr w:rsidR="005275B5" w:rsidRPr="005275B5" w14:paraId="125B385D" w14:textId="77777777" w:rsidTr="00444CCE">
        <w:trPr>
          <w:jc w:val="center"/>
        </w:trPr>
        <w:tc>
          <w:tcPr>
            <w:tcW w:w="1129" w:type="dxa"/>
            <w:vAlign w:val="center"/>
          </w:tcPr>
          <w:p w14:paraId="125B385B" w14:textId="77777777" w:rsidR="005275B5" w:rsidRPr="005275B5" w:rsidRDefault="005275B5" w:rsidP="005275B5">
            <w:pPr>
              <w:jc w:val="center"/>
              <w:rPr>
                <w:b/>
                <w:szCs w:val="24"/>
              </w:rPr>
            </w:pPr>
            <w:r w:rsidRPr="005275B5">
              <w:rPr>
                <w:b/>
                <w:szCs w:val="24"/>
              </w:rPr>
              <w:t>Versión</w:t>
            </w:r>
          </w:p>
        </w:tc>
        <w:tc>
          <w:tcPr>
            <w:tcW w:w="7797" w:type="dxa"/>
          </w:tcPr>
          <w:p w14:paraId="125B385C" w14:textId="77777777" w:rsidR="005275B5" w:rsidRPr="005275B5" w:rsidRDefault="005275B5" w:rsidP="005275B5">
            <w:pPr>
              <w:jc w:val="center"/>
              <w:rPr>
                <w:b/>
                <w:szCs w:val="24"/>
              </w:rPr>
            </w:pPr>
            <w:r w:rsidRPr="005275B5">
              <w:rPr>
                <w:b/>
                <w:szCs w:val="24"/>
              </w:rPr>
              <w:t>Referencia</w:t>
            </w:r>
          </w:p>
        </w:tc>
      </w:tr>
      <w:tr w:rsidR="005275B5" w:rsidRPr="005275B5" w14:paraId="125B3861" w14:textId="77777777" w:rsidTr="00444CCE">
        <w:trPr>
          <w:jc w:val="center"/>
        </w:trPr>
        <w:tc>
          <w:tcPr>
            <w:tcW w:w="1129" w:type="dxa"/>
            <w:vAlign w:val="center"/>
          </w:tcPr>
          <w:p w14:paraId="125B385E" w14:textId="77777777" w:rsidR="005275B5" w:rsidRPr="005275B5" w:rsidRDefault="005275B5" w:rsidP="005275B5">
            <w:pPr>
              <w:jc w:val="center"/>
              <w:rPr>
                <w:szCs w:val="24"/>
              </w:rPr>
            </w:pPr>
            <w:r w:rsidRPr="005275B5">
              <w:rPr>
                <w:szCs w:val="24"/>
              </w:rPr>
              <w:t>1.0</w:t>
            </w:r>
          </w:p>
        </w:tc>
        <w:tc>
          <w:tcPr>
            <w:tcW w:w="7797" w:type="dxa"/>
          </w:tcPr>
          <w:p w14:paraId="125B385F" w14:textId="77777777" w:rsidR="005275B5" w:rsidRPr="005275B5" w:rsidRDefault="005275B5" w:rsidP="005275B5">
            <w:pPr>
              <w:rPr>
                <w:szCs w:val="24"/>
              </w:rPr>
            </w:pPr>
          </w:p>
          <w:p w14:paraId="7B6A8D67" w14:textId="77777777" w:rsidR="005275B5" w:rsidRDefault="000C6A2D" w:rsidP="000C6A2D">
            <w:pPr>
              <w:jc w:val="both"/>
              <w:rPr>
                <w:szCs w:val="24"/>
              </w:rPr>
            </w:pPr>
            <w:r>
              <w:rPr>
                <w:szCs w:val="24"/>
              </w:rPr>
              <w:t>A</w:t>
            </w:r>
            <w:r w:rsidRPr="000C6A2D">
              <w:rPr>
                <w:szCs w:val="24"/>
              </w:rPr>
              <w:t xml:space="preserve">probado por el </w:t>
            </w:r>
            <w:r>
              <w:rPr>
                <w:szCs w:val="24"/>
              </w:rPr>
              <w:t>C</w:t>
            </w:r>
            <w:r w:rsidRPr="000C6A2D">
              <w:rPr>
                <w:szCs w:val="24"/>
              </w:rPr>
              <w:t xml:space="preserve">onsejo </w:t>
            </w:r>
            <w:r>
              <w:rPr>
                <w:szCs w:val="24"/>
              </w:rPr>
              <w:t>N</w:t>
            </w:r>
            <w:r w:rsidRPr="000C6A2D">
              <w:rPr>
                <w:szCs w:val="24"/>
              </w:rPr>
              <w:t xml:space="preserve">acional de </w:t>
            </w:r>
            <w:r>
              <w:rPr>
                <w:szCs w:val="24"/>
              </w:rPr>
              <w:t>S</w:t>
            </w:r>
            <w:r w:rsidRPr="000C6A2D">
              <w:rPr>
                <w:szCs w:val="24"/>
              </w:rPr>
              <w:t xml:space="preserve">upervisión del </w:t>
            </w:r>
            <w:r>
              <w:rPr>
                <w:szCs w:val="24"/>
              </w:rPr>
              <w:t>S</w:t>
            </w:r>
            <w:r w:rsidRPr="000C6A2D">
              <w:rPr>
                <w:szCs w:val="24"/>
              </w:rPr>
              <w:t xml:space="preserve">istema </w:t>
            </w:r>
            <w:r>
              <w:rPr>
                <w:szCs w:val="24"/>
              </w:rPr>
              <w:t>F</w:t>
            </w:r>
            <w:r w:rsidRPr="000C6A2D">
              <w:rPr>
                <w:szCs w:val="24"/>
              </w:rPr>
              <w:t xml:space="preserve">inanciero, mediante artículo 5 del acta de la sesión 1275-2016, celebrada el 30 de agosto del 2016, publicado en el </w:t>
            </w:r>
            <w:r>
              <w:rPr>
                <w:szCs w:val="24"/>
              </w:rPr>
              <w:t>A</w:t>
            </w:r>
            <w:r w:rsidRPr="000C6A2D">
              <w:rPr>
                <w:szCs w:val="24"/>
              </w:rPr>
              <w:t xml:space="preserve">lcance 200 del </w:t>
            </w:r>
            <w:r>
              <w:rPr>
                <w:szCs w:val="24"/>
              </w:rPr>
              <w:t>D</w:t>
            </w:r>
            <w:r w:rsidRPr="000C6A2D">
              <w:rPr>
                <w:szCs w:val="24"/>
              </w:rPr>
              <w:t xml:space="preserve">iario </w:t>
            </w:r>
            <w:r>
              <w:rPr>
                <w:szCs w:val="24"/>
              </w:rPr>
              <w:t>O</w:t>
            </w:r>
            <w:r w:rsidRPr="000C6A2D">
              <w:rPr>
                <w:szCs w:val="24"/>
              </w:rPr>
              <w:t>ficial “</w:t>
            </w:r>
            <w:r>
              <w:rPr>
                <w:szCs w:val="24"/>
              </w:rPr>
              <w:t>L</w:t>
            </w:r>
            <w:r w:rsidRPr="000C6A2D">
              <w:rPr>
                <w:szCs w:val="24"/>
              </w:rPr>
              <w:t xml:space="preserve">a </w:t>
            </w:r>
            <w:r>
              <w:rPr>
                <w:szCs w:val="24"/>
              </w:rPr>
              <w:t>G</w:t>
            </w:r>
            <w:r w:rsidRPr="000C6A2D">
              <w:rPr>
                <w:szCs w:val="24"/>
              </w:rPr>
              <w:t>aceta”, del 27 de s</w:t>
            </w:r>
            <w:r>
              <w:rPr>
                <w:szCs w:val="24"/>
              </w:rPr>
              <w:t>etiem</w:t>
            </w:r>
            <w:r w:rsidRPr="000C6A2D">
              <w:rPr>
                <w:szCs w:val="24"/>
              </w:rPr>
              <w:t>mbre del 2016.</w:t>
            </w:r>
          </w:p>
          <w:p w14:paraId="125B3860" w14:textId="4A175026" w:rsidR="00B67336" w:rsidRPr="005275B5" w:rsidRDefault="00B67336" w:rsidP="000C6A2D">
            <w:pPr>
              <w:jc w:val="both"/>
              <w:rPr>
                <w:szCs w:val="24"/>
              </w:rPr>
            </w:pPr>
          </w:p>
        </w:tc>
      </w:tr>
      <w:tr w:rsidR="009971E9" w:rsidRPr="005275B5" w14:paraId="2010F42D" w14:textId="77777777" w:rsidTr="00444CCE">
        <w:trPr>
          <w:jc w:val="center"/>
        </w:trPr>
        <w:tc>
          <w:tcPr>
            <w:tcW w:w="1129" w:type="dxa"/>
            <w:vAlign w:val="center"/>
          </w:tcPr>
          <w:p w14:paraId="597E234F" w14:textId="33AC40B8" w:rsidR="009971E9" w:rsidRPr="005275B5" w:rsidRDefault="00B67336" w:rsidP="005275B5">
            <w:pPr>
              <w:jc w:val="center"/>
              <w:rPr>
                <w:szCs w:val="24"/>
              </w:rPr>
            </w:pPr>
            <w:r>
              <w:rPr>
                <w:szCs w:val="24"/>
              </w:rPr>
              <w:t>2.0</w:t>
            </w:r>
          </w:p>
        </w:tc>
        <w:tc>
          <w:tcPr>
            <w:tcW w:w="7797" w:type="dxa"/>
          </w:tcPr>
          <w:p w14:paraId="723B9441" w14:textId="77777777" w:rsidR="00B67336" w:rsidRPr="004622E8" w:rsidRDefault="00B67336" w:rsidP="00B67336">
            <w:pPr>
              <w:spacing w:after="200" w:line="276" w:lineRule="auto"/>
              <w:rPr>
                <w:szCs w:val="24"/>
              </w:rPr>
            </w:pPr>
            <w:r w:rsidRPr="004622E8">
              <w:rPr>
                <w:szCs w:val="24"/>
              </w:rPr>
              <w:t xml:space="preserve">Aprobado mediante acuerdo del Consejo Nacional de Supervisión del Sistema Financiero en el artículo </w:t>
            </w:r>
            <w:r>
              <w:rPr>
                <w:szCs w:val="24"/>
              </w:rPr>
              <w:t>7</w:t>
            </w:r>
            <w:r w:rsidRPr="004622E8">
              <w:rPr>
                <w:szCs w:val="24"/>
              </w:rPr>
              <w:t xml:space="preserve">, del acta de la sesión </w:t>
            </w:r>
            <w:r>
              <w:rPr>
                <w:szCs w:val="24"/>
              </w:rPr>
              <w:t>1802</w:t>
            </w:r>
            <w:r w:rsidRPr="004622E8">
              <w:rPr>
                <w:szCs w:val="24"/>
              </w:rPr>
              <w:t>-202</w:t>
            </w:r>
            <w:r>
              <w:rPr>
                <w:szCs w:val="24"/>
              </w:rPr>
              <w:t>3</w:t>
            </w:r>
            <w:r w:rsidRPr="004622E8">
              <w:rPr>
                <w:szCs w:val="24"/>
              </w:rPr>
              <w:t xml:space="preserve">, celebrada el </w:t>
            </w:r>
            <w:r>
              <w:rPr>
                <w:szCs w:val="24"/>
              </w:rPr>
              <w:t>19</w:t>
            </w:r>
            <w:r w:rsidRPr="004622E8">
              <w:rPr>
                <w:szCs w:val="24"/>
              </w:rPr>
              <w:t xml:space="preserve"> de </w:t>
            </w:r>
            <w:r>
              <w:rPr>
                <w:szCs w:val="24"/>
              </w:rPr>
              <w:t>junio</w:t>
            </w:r>
            <w:r w:rsidRPr="004622E8">
              <w:rPr>
                <w:szCs w:val="24"/>
              </w:rPr>
              <w:t xml:space="preserve"> de 202</w:t>
            </w:r>
            <w:r>
              <w:rPr>
                <w:szCs w:val="24"/>
              </w:rPr>
              <w:t>3</w:t>
            </w:r>
            <w:r w:rsidRPr="004622E8">
              <w:rPr>
                <w:szCs w:val="24"/>
              </w:rPr>
              <w:t xml:space="preserve">. Publicado en el Diario Oficial La Gaceta número </w:t>
            </w:r>
            <w:r>
              <w:rPr>
                <w:szCs w:val="24"/>
              </w:rPr>
              <w:t>123, alcance número 131,</w:t>
            </w:r>
            <w:r w:rsidRPr="004622E8">
              <w:rPr>
                <w:szCs w:val="24"/>
              </w:rPr>
              <w:t xml:space="preserve"> del </w:t>
            </w:r>
            <w:r>
              <w:rPr>
                <w:szCs w:val="24"/>
              </w:rPr>
              <w:t>07</w:t>
            </w:r>
            <w:r w:rsidRPr="004622E8">
              <w:rPr>
                <w:szCs w:val="24"/>
              </w:rPr>
              <w:t xml:space="preserve"> de </w:t>
            </w:r>
            <w:r>
              <w:rPr>
                <w:szCs w:val="24"/>
              </w:rPr>
              <w:t>julio</w:t>
            </w:r>
            <w:r w:rsidRPr="004622E8">
              <w:rPr>
                <w:szCs w:val="24"/>
              </w:rPr>
              <w:t xml:space="preserve"> de 202</w:t>
            </w:r>
            <w:r>
              <w:rPr>
                <w:szCs w:val="24"/>
              </w:rPr>
              <w:t>3</w:t>
            </w:r>
            <w:r w:rsidRPr="004622E8">
              <w:rPr>
                <w:szCs w:val="24"/>
              </w:rPr>
              <w:t>.</w:t>
            </w:r>
          </w:p>
          <w:p w14:paraId="571D74A6" w14:textId="72B37167" w:rsidR="009971E9" w:rsidRPr="005275B5" w:rsidRDefault="00B67336" w:rsidP="00B67336">
            <w:pPr>
              <w:rPr>
                <w:szCs w:val="24"/>
              </w:rPr>
            </w:pPr>
            <w:r w:rsidRPr="004622E8">
              <w:rPr>
                <w:szCs w:val="24"/>
              </w:rPr>
              <w:t>Rige a partir de su publicación.</w:t>
            </w:r>
          </w:p>
        </w:tc>
      </w:tr>
    </w:tbl>
    <w:p w14:paraId="125B3868" w14:textId="77777777" w:rsidR="005275B5" w:rsidRPr="005275B5" w:rsidRDefault="005275B5" w:rsidP="00CE6F0D">
      <w:pPr>
        <w:tabs>
          <w:tab w:val="left" w:pos="1056"/>
        </w:tabs>
        <w:rPr>
          <w:sz w:val="24"/>
          <w:szCs w:val="24"/>
        </w:rPr>
      </w:pPr>
    </w:p>
    <w:p w14:paraId="125B3869" w14:textId="77777777" w:rsidR="005275B5" w:rsidRPr="005275B5" w:rsidRDefault="005275B5" w:rsidP="005275B5">
      <w:pPr>
        <w:widowControl w:val="0"/>
        <w:spacing w:after="0" w:line="240" w:lineRule="auto"/>
        <w:ind w:left="284" w:right="283"/>
        <w:jc w:val="center"/>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lastRenderedPageBreak/>
        <w:t>REGLAMENTO ACTUARIAL</w:t>
      </w:r>
    </w:p>
    <w:p w14:paraId="125B386A"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p>
    <w:p w14:paraId="125B386B"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 Alcance</w:t>
      </w:r>
    </w:p>
    <w:p w14:paraId="125B386C"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presente reglamento establece los lineamientos que obligatoriamente aplican a la elaboración de las valuaciones actuariales de los regímenes de pensiones de beneficio definido regulados por la Superintendencia de Pensiones. Así como cualquier otro régimen que en su fase de desacumulación sea de capitalización colectiva.</w:t>
      </w:r>
    </w:p>
    <w:p w14:paraId="125B386D"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6E"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Tratándose del Régimen de Invalidez, Vejez y Muerte administrado por la Caja Costarricense de Seguro Social, los lineamientos incorporados en este reglamento tienen el carácter de adopción y aplicación voluntaria.</w:t>
      </w:r>
    </w:p>
    <w:p w14:paraId="125B386F"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70"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Artículo 2. Ámbito de aplicación</w:t>
      </w:r>
    </w:p>
    <w:p w14:paraId="125B3871"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Las normas que conforman el presente reglamento son aplicables a los regímenes de pensiones de beneficio definido. Así como cualquier otro régimen que en su fase de desacumulación sea de capitalización colectiva.</w:t>
      </w:r>
    </w:p>
    <w:p w14:paraId="125B3872"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73"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En los aspectos que no se encuentren normados deben observarse los principios y normas internacionalmente aceptados en el campo actuarial, aplicables en Costa Rica.</w:t>
      </w:r>
    </w:p>
    <w:p w14:paraId="125B3874"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75"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3. Definiciones</w:t>
      </w:r>
    </w:p>
    <w:p w14:paraId="125B3876"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Para efectos de este Reglamento se entiende por:</w:t>
      </w:r>
    </w:p>
    <w:p w14:paraId="125B3877"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78" w14:textId="2EE2B9F8" w:rsid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Actuario:</w:t>
      </w:r>
      <w:r w:rsidRPr="005275B5">
        <w:rPr>
          <w:rFonts w:ascii="Times New Roman" w:eastAsia="Times New Roman" w:hAnsi="Times New Roman" w:cs="Times New Roman"/>
          <w:sz w:val="24"/>
          <w:szCs w:val="24"/>
          <w:lang w:eastAsia="es-ES"/>
        </w:rPr>
        <w:t xml:space="preserve"> Profesional especializado en cálculos actuariales, financieros y demográficos, responsable de dictaminar la solvencia actuarial de un régimen de pensiones.</w:t>
      </w:r>
    </w:p>
    <w:p w14:paraId="4B052DFE" w14:textId="20C24D61" w:rsidR="0034391C" w:rsidRDefault="0034391C" w:rsidP="005275B5">
      <w:pPr>
        <w:widowControl w:val="0"/>
        <w:spacing w:after="0" w:line="240" w:lineRule="auto"/>
        <w:ind w:right="283"/>
        <w:jc w:val="both"/>
        <w:rPr>
          <w:rFonts w:ascii="Times New Roman" w:eastAsia="Times New Roman" w:hAnsi="Times New Roman" w:cs="Times New Roman"/>
          <w:sz w:val="24"/>
          <w:szCs w:val="24"/>
          <w:lang w:eastAsia="es-ES"/>
        </w:rPr>
      </w:pPr>
    </w:p>
    <w:p w14:paraId="591F4F7D" w14:textId="24BB6B31" w:rsidR="0034391C" w:rsidRPr="005275B5" w:rsidRDefault="00DD6E62" w:rsidP="005275B5">
      <w:pPr>
        <w:widowControl w:val="0"/>
        <w:spacing w:after="0" w:line="240" w:lineRule="auto"/>
        <w:ind w:right="283"/>
        <w:jc w:val="both"/>
        <w:rPr>
          <w:rFonts w:ascii="Times New Roman" w:eastAsia="Times New Roman" w:hAnsi="Times New Roman" w:cs="Times New Roman"/>
          <w:sz w:val="24"/>
          <w:szCs w:val="24"/>
          <w:lang w:eastAsia="es-ES"/>
        </w:rPr>
      </w:pPr>
      <w:r w:rsidRPr="00DD6E62">
        <w:rPr>
          <w:rFonts w:ascii="Times New Roman" w:eastAsia="Times New Roman" w:hAnsi="Times New Roman" w:cs="Times New Roman"/>
          <w:b/>
          <w:bCs/>
          <w:sz w:val="24"/>
          <w:szCs w:val="24"/>
          <w:lang w:eastAsia="es-ES"/>
        </w:rPr>
        <w:t>Apetito al riesgo</w:t>
      </w:r>
      <w:r w:rsidRPr="00FA28ED">
        <w:rPr>
          <w:rStyle w:val="Refdenotaalpie"/>
          <w:rFonts w:ascii="Times New Roman" w:eastAsia="Times New Roman" w:hAnsi="Times New Roman" w:cs="Times New Roman"/>
          <w:sz w:val="24"/>
          <w:szCs w:val="24"/>
          <w:lang w:eastAsia="es-ES"/>
        </w:rPr>
        <w:footnoteReference w:id="1"/>
      </w:r>
      <w:r w:rsidRPr="00DD6E62">
        <w:rPr>
          <w:rFonts w:ascii="Times New Roman" w:eastAsia="Times New Roman" w:hAnsi="Times New Roman" w:cs="Times New Roman"/>
          <w:b/>
          <w:bCs/>
          <w:sz w:val="24"/>
          <w:szCs w:val="24"/>
          <w:lang w:eastAsia="es-ES"/>
        </w:rPr>
        <w:t>:</w:t>
      </w:r>
      <w:r w:rsidRPr="00DD6E62">
        <w:rPr>
          <w:rFonts w:ascii="Times New Roman" w:eastAsia="Times New Roman" w:hAnsi="Times New Roman" w:cs="Times New Roman"/>
          <w:sz w:val="24"/>
          <w:szCs w:val="24"/>
          <w:lang w:eastAsia="es-ES"/>
        </w:rPr>
        <w:t xml:space="preserve"> El nivel y los tipos de riesgos que una entidad regulada está dispuesta a asumir en relación con los fondos administrados, aprobados por el Órgano de Dirección con antelación y dentro de su Capacidad de Riesgo, para alcanzar sus objetivos estratégicos y plan de negocio.</w:t>
      </w:r>
    </w:p>
    <w:p w14:paraId="125B3879"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7A"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Auditoría actuarial:</w:t>
      </w:r>
      <w:r w:rsidRPr="005275B5">
        <w:rPr>
          <w:rFonts w:ascii="Times New Roman" w:eastAsia="Times New Roman" w:hAnsi="Times New Roman" w:cs="Times New Roman"/>
          <w:sz w:val="24"/>
          <w:szCs w:val="24"/>
          <w:lang w:eastAsia="es-ES"/>
        </w:rPr>
        <w:t xml:space="preserve"> Estudio técnico elaborado por un actuario o firma independiente con el propósito de emitir una opinión sobre la razonabilidad de una valuación actuarial.</w:t>
      </w:r>
    </w:p>
    <w:p w14:paraId="125B387B"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7C"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Balance actuarial:</w:t>
      </w:r>
      <w:r w:rsidRPr="005275B5">
        <w:rPr>
          <w:rFonts w:ascii="Times New Roman" w:eastAsia="Times New Roman" w:hAnsi="Times New Roman" w:cs="Times New Roman"/>
          <w:sz w:val="24"/>
          <w:szCs w:val="24"/>
          <w:lang w:eastAsia="es-ES"/>
        </w:rPr>
        <w:t xml:space="preserve"> Comparación del activo, valuado según las normas aplicables, y del pasivo del régimen a una fecha determinada. Cuando el valor presente de los activos supera el valor presente de los beneficios ofrecidos se considerará que existe un superávit actuarial y, en la situación inversa, un déficit actuarial.</w:t>
      </w:r>
    </w:p>
    <w:p w14:paraId="125B387D"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7E" w14:textId="2D1A9D9A" w:rsid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Beneficios devengados:</w:t>
      </w:r>
      <w:r w:rsidRPr="005275B5">
        <w:rPr>
          <w:rFonts w:ascii="Times New Roman" w:eastAsia="Times New Roman" w:hAnsi="Times New Roman" w:cs="Times New Roman"/>
          <w:sz w:val="24"/>
          <w:szCs w:val="24"/>
          <w:lang w:eastAsia="es-ES"/>
        </w:rPr>
        <w:t xml:space="preserve"> Estimación de la cuantía de los beneficios de los pensionados y los afiliados actuales atribuibles al periodo presente y a los anteriores, cuya determinación se realiza mediante el método de la unidad de crédito proyectada, según el cual cada periodo de acumulación se considera generador de una unidad adicional de derecho a los </w:t>
      </w:r>
      <w:r w:rsidRPr="005275B5">
        <w:rPr>
          <w:rFonts w:ascii="Times New Roman" w:eastAsia="Times New Roman" w:hAnsi="Times New Roman" w:cs="Times New Roman"/>
          <w:sz w:val="24"/>
          <w:szCs w:val="24"/>
          <w:lang w:eastAsia="es-ES"/>
        </w:rPr>
        <w:lastRenderedPageBreak/>
        <w:t>beneficios, midiéndose cada unidad de forma separada para conformar la obligación final.</w:t>
      </w:r>
    </w:p>
    <w:p w14:paraId="711CDB0F" w14:textId="7B0CBE8A" w:rsidR="009D73A1" w:rsidRDefault="009D73A1" w:rsidP="005275B5">
      <w:pPr>
        <w:widowControl w:val="0"/>
        <w:spacing w:after="0" w:line="240" w:lineRule="auto"/>
        <w:ind w:right="283"/>
        <w:jc w:val="both"/>
        <w:rPr>
          <w:rFonts w:ascii="Times New Roman" w:eastAsia="Times New Roman" w:hAnsi="Times New Roman" w:cs="Times New Roman"/>
          <w:sz w:val="24"/>
          <w:szCs w:val="24"/>
          <w:lang w:eastAsia="es-ES"/>
        </w:rPr>
      </w:pPr>
    </w:p>
    <w:p w14:paraId="32F6AA25" w14:textId="3A1B5008" w:rsidR="009D73A1" w:rsidRPr="005275B5" w:rsidRDefault="007E55E2" w:rsidP="005275B5">
      <w:pPr>
        <w:widowControl w:val="0"/>
        <w:spacing w:after="0" w:line="240" w:lineRule="auto"/>
        <w:ind w:right="283"/>
        <w:jc w:val="both"/>
        <w:rPr>
          <w:rFonts w:ascii="Times New Roman" w:eastAsia="Times New Roman" w:hAnsi="Times New Roman" w:cs="Times New Roman"/>
          <w:sz w:val="24"/>
          <w:szCs w:val="24"/>
          <w:lang w:eastAsia="es-ES"/>
        </w:rPr>
      </w:pPr>
      <w:r w:rsidRPr="007E55E2">
        <w:rPr>
          <w:rFonts w:ascii="Times New Roman" w:eastAsia="Times New Roman" w:hAnsi="Times New Roman" w:cs="Times New Roman"/>
          <w:b/>
          <w:bCs/>
          <w:sz w:val="24"/>
          <w:szCs w:val="24"/>
          <w:lang w:eastAsia="es-ES"/>
        </w:rPr>
        <w:t>Capacidad de Riesgo</w:t>
      </w:r>
      <w:r w:rsidR="00787FB6" w:rsidRPr="00787FB6">
        <w:rPr>
          <w:rStyle w:val="Refdenotaalpie"/>
          <w:rFonts w:ascii="Times New Roman" w:eastAsia="Times New Roman" w:hAnsi="Times New Roman" w:cs="Times New Roman"/>
          <w:sz w:val="24"/>
          <w:szCs w:val="24"/>
          <w:lang w:eastAsia="es-ES"/>
        </w:rPr>
        <w:footnoteReference w:id="2"/>
      </w:r>
      <w:r w:rsidRPr="007E55E2">
        <w:rPr>
          <w:rFonts w:ascii="Times New Roman" w:eastAsia="Times New Roman" w:hAnsi="Times New Roman" w:cs="Times New Roman"/>
          <w:sz w:val="24"/>
          <w:szCs w:val="24"/>
          <w:lang w:eastAsia="es-ES"/>
        </w:rPr>
        <w:t>: Nivel máximo de riesgo que una entidad regulada es capaz de asumir en relación con los fondos administrados, considerando su gestión integral de riesgos, medidas de control, limitaciones regulatorias, base de capital u otras variables de acuerdo con sus características.</w:t>
      </w:r>
    </w:p>
    <w:p w14:paraId="125B387F"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80" w14:textId="2FF6ACAC" w:rsid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CONASSIF:</w:t>
      </w:r>
      <w:r w:rsidRPr="005275B5">
        <w:rPr>
          <w:rFonts w:ascii="Times New Roman" w:eastAsia="Times New Roman" w:hAnsi="Times New Roman" w:cs="Times New Roman"/>
          <w:sz w:val="24"/>
          <w:szCs w:val="24"/>
          <w:lang w:eastAsia="es-ES"/>
        </w:rPr>
        <w:t xml:space="preserve"> Consejo Nacional de Supervisión del Sistema Financiero.</w:t>
      </w:r>
    </w:p>
    <w:p w14:paraId="254B186E" w14:textId="4CF4F48C" w:rsidR="000615D3" w:rsidRDefault="000615D3"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p>
    <w:p w14:paraId="4ECF9B75" w14:textId="351C1AC1" w:rsidR="00046220" w:rsidRPr="000615D3" w:rsidRDefault="000615D3" w:rsidP="000615D3">
      <w:pPr>
        <w:widowControl w:val="0"/>
        <w:ind w:right="-1"/>
        <w:jc w:val="both"/>
        <w:rPr>
          <w:rFonts w:ascii="Times New Roman" w:eastAsia="Times New Roman" w:hAnsi="Times New Roman" w:cs="Times New Roman"/>
          <w:sz w:val="24"/>
          <w:szCs w:val="24"/>
          <w:lang w:eastAsia="es-ES"/>
        </w:rPr>
      </w:pPr>
      <w:r w:rsidRPr="005A39BD">
        <w:rPr>
          <w:rFonts w:ascii="Times New Roman" w:eastAsia="Times New Roman" w:hAnsi="Times New Roman" w:cs="Times New Roman"/>
          <w:b/>
          <w:bCs/>
          <w:sz w:val="24"/>
          <w:szCs w:val="24"/>
          <w:lang w:eastAsia="es-ES"/>
        </w:rPr>
        <w:t>Evaluación Propia de Riesgos y Solvencia (ORSA, por sus siglas en inglés)</w:t>
      </w:r>
      <w:r w:rsidR="005A39BD" w:rsidRPr="009A75DB">
        <w:rPr>
          <w:rStyle w:val="Refdenotaalpie"/>
          <w:rFonts w:ascii="Times New Roman" w:eastAsia="Times New Roman" w:hAnsi="Times New Roman" w:cs="Times New Roman"/>
          <w:sz w:val="24"/>
          <w:szCs w:val="24"/>
          <w:lang w:eastAsia="es-ES"/>
        </w:rPr>
        <w:footnoteReference w:id="3"/>
      </w:r>
      <w:r w:rsidRPr="000615D3">
        <w:rPr>
          <w:rFonts w:ascii="Times New Roman" w:eastAsia="Times New Roman" w:hAnsi="Times New Roman" w:cs="Times New Roman"/>
          <w:sz w:val="24"/>
          <w:szCs w:val="24"/>
          <w:lang w:eastAsia="es-ES"/>
        </w:rPr>
        <w:t>: Es la totalidad de los procesos y procedimientos empleados para identificar, evaluar, monitorear, gestionar e informar y reportar los riesgos de corto y largo plazo a los que se enfrenta o puede enfrentarse un Fondo de Pensiones, con lo que se logra determinar la reserva y flujos de caja necesarios para asegurar que las necesidades globales de solvencia de la entidad se alcancen siempre.</w:t>
      </w:r>
    </w:p>
    <w:p w14:paraId="125B3881" w14:textId="699F0764" w:rsidR="005275B5" w:rsidRPr="00D10D99" w:rsidRDefault="00D10D99" w:rsidP="00D10D99">
      <w:pPr>
        <w:widowControl w:val="0"/>
        <w:ind w:right="-1"/>
        <w:jc w:val="both"/>
        <w:rPr>
          <w:rFonts w:ascii="Times New Roman" w:eastAsia="Times New Roman" w:hAnsi="Times New Roman" w:cs="Times New Roman"/>
          <w:sz w:val="24"/>
          <w:szCs w:val="24"/>
          <w:lang w:eastAsia="es-ES"/>
        </w:rPr>
      </w:pPr>
      <w:r w:rsidRPr="00D10D99">
        <w:rPr>
          <w:rFonts w:ascii="Times New Roman" w:eastAsia="Times New Roman" w:hAnsi="Times New Roman" w:cs="Times New Roman"/>
          <w:b/>
          <w:bCs/>
          <w:sz w:val="24"/>
          <w:szCs w:val="24"/>
          <w:lang w:eastAsia="es-ES"/>
        </w:rPr>
        <w:t>Factor de Revalorización de Pensiones</w:t>
      </w:r>
      <w:r w:rsidR="00BA1A87" w:rsidRPr="00BA1A87">
        <w:rPr>
          <w:rStyle w:val="Refdenotaalpie"/>
          <w:rFonts w:ascii="Times New Roman" w:eastAsia="Times New Roman" w:hAnsi="Times New Roman" w:cs="Times New Roman"/>
          <w:sz w:val="24"/>
          <w:szCs w:val="24"/>
          <w:lang w:eastAsia="es-ES"/>
        </w:rPr>
        <w:footnoteReference w:id="4"/>
      </w:r>
      <w:r w:rsidRPr="00D10D99">
        <w:rPr>
          <w:rFonts w:ascii="Times New Roman" w:eastAsia="Times New Roman" w:hAnsi="Times New Roman" w:cs="Times New Roman"/>
          <w:sz w:val="24"/>
          <w:szCs w:val="24"/>
          <w:lang w:eastAsia="es-ES"/>
        </w:rPr>
        <w:t>: Corresponde al porcentaje en que se verán incrementadas las pensiones para un determinado grupo de pensionados en un momento específico.</w:t>
      </w:r>
    </w:p>
    <w:p w14:paraId="125B3882"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Ganancia o pérdida actuarial:</w:t>
      </w:r>
      <w:r w:rsidRPr="005275B5">
        <w:rPr>
          <w:rFonts w:ascii="Times New Roman" w:eastAsia="Times New Roman" w:hAnsi="Times New Roman" w:cs="Times New Roman"/>
          <w:sz w:val="24"/>
          <w:szCs w:val="24"/>
          <w:lang w:eastAsia="es-ES"/>
        </w:rPr>
        <w:t xml:space="preserve"> Diferencias entre los resultados estimados en una valuación actuarial y los obtenidos en la realidad.</w:t>
      </w:r>
    </w:p>
    <w:p w14:paraId="125B3883"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84"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Método de Financiamiento:</w:t>
      </w:r>
      <w:r w:rsidRPr="005275B5">
        <w:rPr>
          <w:rFonts w:ascii="Times New Roman" w:eastAsia="Times New Roman" w:hAnsi="Times New Roman" w:cs="Times New Roman"/>
          <w:sz w:val="24"/>
          <w:szCs w:val="24"/>
          <w:lang w:eastAsia="es-ES"/>
        </w:rPr>
        <w:t xml:space="preserve"> Procedimiento adoptado para captar los ingresos destinados a financiar los egresos de un régimen de pensiones.</w:t>
      </w:r>
    </w:p>
    <w:p w14:paraId="125B3885"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86"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Método de valuación:</w:t>
      </w:r>
      <w:r w:rsidRPr="005275B5">
        <w:rPr>
          <w:rFonts w:ascii="Times New Roman" w:eastAsia="Times New Roman" w:hAnsi="Times New Roman" w:cs="Times New Roman"/>
          <w:sz w:val="24"/>
          <w:szCs w:val="24"/>
          <w:lang w:eastAsia="es-ES"/>
        </w:rPr>
        <w:t xml:space="preserve"> Técnica de cálculo que permite evaluar la aplicación de un determinado sistema de financiamiento a un régimen de pensiones o a las provisiones y reservas con que cuenta.</w:t>
      </w:r>
    </w:p>
    <w:p w14:paraId="125B3887"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88" w14:textId="4268C020" w:rsid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Órgano de Dirección:</w:t>
      </w:r>
      <w:r w:rsidRPr="005275B5">
        <w:rPr>
          <w:rFonts w:ascii="Times New Roman" w:eastAsia="Times New Roman" w:hAnsi="Times New Roman" w:cs="Times New Roman"/>
          <w:sz w:val="24"/>
          <w:szCs w:val="24"/>
          <w:lang w:eastAsia="es-ES"/>
        </w:rPr>
        <w:t xml:space="preserve"> Corresponde a la máxima jerarquía dentro del Régimen con funciones de revisión y crítica determinativa, sea Junta Directiva, Junta Administrativa, Consejo Superior u otra similar.</w:t>
      </w:r>
    </w:p>
    <w:p w14:paraId="479F52E2" w14:textId="463B77FA" w:rsidR="00A07A22" w:rsidRDefault="00A07A22" w:rsidP="005275B5">
      <w:pPr>
        <w:widowControl w:val="0"/>
        <w:spacing w:after="0" w:line="240" w:lineRule="auto"/>
        <w:ind w:right="283"/>
        <w:jc w:val="both"/>
        <w:rPr>
          <w:rFonts w:ascii="Times New Roman" w:eastAsia="Times New Roman" w:hAnsi="Times New Roman" w:cs="Times New Roman"/>
          <w:sz w:val="24"/>
          <w:szCs w:val="24"/>
          <w:lang w:eastAsia="es-ES"/>
        </w:rPr>
      </w:pPr>
    </w:p>
    <w:p w14:paraId="125B388A"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Población abierta:</w:t>
      </w:r>
      <w:r w:rsidRPr="005275B5">
        <w:rPr>
          <w:rFonts w:ascii="Times New Roman" w:eastAsia="Times New Roman" w:hAnsi="Times New Roman" w:cs="Times New Roman"/>
          <w:sz w:val="24"/>
          <w:szCs w:val="24"/>
          <w:lang w:eastAsia="es-ES"/>
        </w:rPr>
        <w:t xml:space="preserve"> Enfoque de valuación según el cual el régimen de pensión continúa recibiendo afiliados, siendo necesario elaborar supuestos sobre el perfil de los nuevos participantes.</w:t>
      </w:r>
    </w:p>
    <w:p w14:paraId="125B388B"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8C"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Población cerrada:</w:t>
      </w:r>
      <w:r w:rsidRPr="005275B5">
        <w:rPr>
          <w:rFonts w:ascii="Times New Roman" w:eastAsia="Times New Roman" w:hAnsi="Times New Roman" w:cs="Times New Roman"/>
          <w:sz w:val="24"/>
          <w:szCs w:val="24"/>
          <w:lang w:eastAsia="es-ES"/>
        </w:rPr>
        <w:t xml:space="preserve"> Enfoque de valuación según el cual el régimen de pensión no recibe más afiliados, por lo que la población a evaluar a una fecha determinada es conocida.</w:t>
      </w:r>
    </w:p>
    <w:p w14:paraId="125B388D"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8E"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Perfil de beneficios:</w:t>
      </w:r>
      <w:r w:rsidRPr="005275B5">
        <w:rPr>
          <w:rFonts w:ascii="Times New Roman" w:eastAsia="Times New Roman" w:hAnsi="Times New Roman" w:cs="Times New Roman"/>
          <w:sz w:val="24"/>
          <w:szCs w:val="24"/>
          <w:lang w:eastAsia="es-ES"/>
        </w:rPr>
        <w:t xml:space="preserve"> Conjunto de prestaciones que otorga el régimen, según su diseño. Incluye la cuantía o magnitud, la forma y las condiciones en que éstas se disfrutan.</w:t>
      </w:r>
    </w:p>
    <w:p w14:paraId="125B388F"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90"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Perfil de requisitos:</w:t>
      </w:r>
      <w:r w:rsidRPr="005275B5">
        <w:rPr>
          <w:rFonts w:ascii="Times New Roman" w:eastAsia="Times New Roman" w:hAnsi="Times New Roman" w:cs="Times New Roman"/>
          <w:sz w:val="24"/>
          <w:szCs w:val="24"/>
          <w:lang w:eastAsia="es-ES"/>
        </w:rPr>
        <w:t xml:space="preserve"> Conjunto de condiciones que delimitan el acceso a los beneficios del régimen, según el tipo de riesgo.</w:t>
      </w:r>
    </w:p>
    <w:p w14:paraId="125B3891"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93" w14:textId="79AE0818" w:rsidR="005275B5" w:rsidRPr="005275B5" w:rsidRDefault="00D3307F" w:rsidP="00D3307F">
      <w:pPr>
        <w:widowControl w:val="0"/>
        <w:ind w:right="-1"/>
        <w:jc w:val="both"/>
        <w:rPr>
          <w:rFonts w:ascii="Times New Roman" w:eastAsia="Times New Roman" w:hAnsi="Times New Roman" w:cs="Times New Roman"/>
          <w:sz w:val="24"/>
          <w:szCs w:val="24"/>
          <w:lang w:eastAsia="es-ES"/>
        </w:rPr>
      </w:pPr>
      <w:r w:rsidRPr="004178E8">
        <w:rPr>
          <w:rFonts w:ascii="Times New Roman" w:eastAsia="Times New Roman" w:hAnsi="Times New Roman" w:cs="Times New Roman"/>
          <w:b/>
          <w:bCs/>
          <w:sz w:val="24"/>
          <w:szCs w:val="24"/>
          <w:lang w:eastAsia="es-ES"/>
        </w:rPr>
        <w:t>Plan de Recuperación</w:t>
      </w:r>
      <w:r w:rsidRPr="009A75DB">
        <w:rPr>
          <w:rStyle w:val="Refdenotaalpie"/>
          <w:rFonts w:ascii="Times New Roman" w:eastAsia="Times New Roman" w:hAnsi="Times New Roman" w:cs="Times New Roman"/>
          <w:sz w:val="24"/>
          <w:szCs w:val="24"/>
          <w:lang w:eastAsia="es-ES"/>
        </w:rPr>
        <w:footnoteReference w:id="5"/>
      </w:r>
      <w:r w:rsidRPr="004178E8">
        <w:rPr>
          <w:rFonts w:ascii="Times New Roman" w:eastAsia="Times New Roman" w:hAnsi="Times New Roman" w:cs="Times New Roman"/>
          <w:sz w:val="24"/>
          <w:szCs w:val="24"/>
          <w:lang w:eastAsia="es-ES"/>
        </w:rPr>
        <w:t>: Conjunto de acciones desarrolladas por el régimen de pensiones para restablecer o mitigar los riesgos de su solvencia actuarial y de revalorización, y retornarlos a los niveles de apetito declarados en las respectivas políticas.</w:t>
      </w:r>
    </w:p>
    <w:p w14:paraId="125B3894"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Prima media nivelada:</w:t>
      </w:r>
      <w:r w:rsidRPr="005275B5">
        <w:rPr>
          <w:rFonts w:ascii="Times New Roman" w:eastAsia="Times New Roman" w:hAnsi="Times New Roman" w:cs="Times New Roman"/>
          <w:sz w:val="24"/>
          <w:szCs w:val="24"/>
          <w:lang w:eastAsia="es-ES"/>
        </w:rPr>
        <w:t xml:space="preserve"> Porcentaje de los salarios actuarialmente calculado que resulta suficiente para financiar el plan de pensiones bajo el supuesto de que no cambiará en el tiempo.</w:t>
      </w:r>
    </w:p>
    <w:p w14:paraId="125B3895"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96"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Provisión para pensiones en curso de pago:</w:t>
      </w:r>
      <w:r w:rsidRPr="005275B5">
        <w:rPr>
          <w:rFonts w:ascii="Times New Roman" w:eastAsia="Times New Roman" w:hAnsi="Times New Roman" w:cs="Times New Roman"/>
          <w:sz w:val="24"/>
          <w:szCs w:val="24"/>
          <w:lang w:eastAsia="es-ES"/>
        </w:rPr>
        <w:t xml:space="preserve"> Monto determinado actuarialmente que respalda el pago de las pensiones en curso.</w:t>
      </w:r>
    </w:p>
    <w:p w14:paraId="125B3897"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98"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Razón del fondo para contingencias:</w:t>
      </w:r>
      <w:r w:rsidRPr="005275B5">
        <w:rPr>
          <w:rFonts w:ascii="Times New Roman" w:eastAsia="Times New Roman" w:hAnsi="Times New Roman" w:cs="Times New Roman"/>
          <w:sz w:val="24"/>
          <w:szCs w:val="24"/>
          <w:lang w:eastAsia="es-ES"/>
        </w:rPr>
        <w:t xml:space="preserve"> Es el fondo acumulado al inicio del año dividido entre los egresos del año.</w:t>
      </w:r>
    </w:p>
    <w:p w14:paraId="125B3899"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9A"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Reservas en formación:</w:t>
      </w:r>
      <w:r w:rsidRPr="005275B5">
        <w:rPr>
          <w:rFonts w:ascii="Times New Roman" w:eastAsia="Times New Roman" w:hAnsi="Times New Roman" w:cs="Times New Roman"/>
          <w:sz w:val="24"/>
          <w:szCs w:val="24"/>
          <w:lang w:eastAsia="es-ES"/>
        </w:rPr>
        <w:t xml:space="preserve"> Recursos acumulados para el pago de beneficios futuros.</w:t>
      </w:r>
    </w:p>
    <w:p w14:paraId="125B389B"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9C" w14:textId="41598448" w:rsid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Regímenes de pensión de beneficio definido:</w:t>
      </w:r>
      <w:r w:rsidRPr="005275B5">
        <w:rPr>
          <w:rFonts w:ascii="Times New Roman" w:eastAsia="Times New Roman" w:hAnsi="Times New Roman" w:cs="Times New Roman"/>
          <w:sz w:val="24"/>
          <w:szCs w:val="24"/>
          <w:lang w:eastAsia="es-ES"/>
        </w:rPr>
        <w:t xml:space="preserve"> Son aquellos regímenes en los que las condiciones de acceso y la cuantía del beneficio están definidos.</w:t>
      </w:r>
    </w:p>
    <w:p w14:paraId="22348677" w14:textId="54174192" w:rsidR="00C31B58" w:rsidRDefault="00C31B58" w:rsidP="005275B5">
      <w:pPr>
        <w:widowControl w:val="0"/>
        <w:spacing w:after="0" w:line="240" w:lineRule="auto"/>
        <w:ind w:right="283"/>
        <w:jc w:val="both"/>
        <w:rPr>
          <w:rFonts w:ascii="Times New Roman" w:eastAsia="Times New Roman" w:hAnsi="Times New Roman" w:cs="Times New Roman"/>
          <w:sz w:val="24"/>
          <w:szCs w:val="24"/>
          <w:lang w:eastAsia="es-ES"/>
        </w:rPr>
      </w:pPr>
    </w:p>
    <w:p w14:paraId="125B389E"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Para efectos de este reglamento se clasifican de la siguiente manera:</w:t>
      </w:r>
      <w:r w:rsidRPr="005275B5">
        <w:rPr>
          <w:rFonts w:ascii="Times New Roman" w:eastAsia="Times New Roman" w:hAnsi="Times New Roman" w:cs="Times New Roman"/>
          <w:sz w:val="24"/>
          <w:szCs w:val="24"/>
          <w:lang w:eastAsia="es-ES"/>
        </w:rPr>
        <w:t xml:space="preserve"> Régimen de pensión de beneficio definido básico general (tipo 1), régimen de pensión de beneficio definido básico sustituto (tipo 2), o régimen de pensión complementario (tipo 3).</w:t>
      </w:r>
    </w:p>
    <w:p w14:paraId="125B389F"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A0"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Régimen Básico General (tipo 1):</w:t>
      </w:r>
      <w:r w:rsidRPr="005275B5">
        <w:rPr>
          <w:rFonts w:ascii="Times New Roman" w:eastAsia="Times New Roman" w:hAnsi="Times New Roman" w:cs="Times New Roman"/>
          <w:sz w:val="24"/>
          <w:szCs w:val="24"/>
          <w:lang w:eastAsia="es-ES"/>
        </w:rPr>
        <w:t xml:space="preserve"> Régimen de Invalidez, Vejez y Muerte, administrado por la Caja Costarricense de Seguro Social.</w:t>
      </w:r>
    </w:p>
    <w:p w14:paraId="125B38A1"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A2"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Régimen Básico Sustituto (tipo 2):</w:t>
      </w:r>
      <w:r w:rsidRPr="005275B5">
        <w:rPr>
          <w:rFonts w:ascii="Times New Roman" w:eastAsia="Times New Roman" w:hAnsi="Times New Roman" w:cs="Times New Roman"/>
          <w:sz w:val="24"/>
          <w:szCs w:val="24"/>
          <w:lang w:eastAsia="es-ES"/>
        </w:rPr>
        <w:t xml:space="preserve"> Régimen básico creado por leyes especiales para dar protección en los riesgos de invalidez, vejez y sobrevivencia, a un grupo específico de la población, en sustitución del Régimen Básico General.</w:t>
      </w:r>
    </w:p>
    <w:p w14:paraId="125B38A3"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A4" w14:textId="1294BE24" w:rsid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Régimen de Pensión Complementario (tipo 3):</w:t>
      </w:r>
      <w:r w:rsidRPr="005275B5">
        <w:rPr>
          <w:rFonts w:ascii="Times New Roman" w:eastAsia="Times New Roman" w:hAnsi="Times New Roman" w:cs="Times New Roman"/>
          <w:sz w:val="24"/>
          <w:szCs w:val="24"/>
          <w:lang w:eastAsia="es-ES"/>
        </w:rPr>
        <w:t xml:space="preserve"> Es un régimen de pensión de beneficio definido, creado por una ley especial, convención colectiva u otra norma, que otorga una pensión complementaria a la otorgada por un régimen de pensión básico. Además, dentro </w:t>
      </w:r>
      <w:r w:rsidRPr="005275B5">
        <w:rPr>
          <w:rFonts w:ascii="Times New Roman" w:eastAsia="Times New Roman" w:hAnsi="Times New Roman" w:cs="Times New Roman"/>
          <w:sz w:val="24"/>
          <w:szCs w:val="24"/>
          <w:lang w:eastAsia="es-ES"/>
        </w:rPr>
        <w:lastRenderedPageBreak/>
        <w:t>de esta clasificación se incluye el Fondo de Garantías y Jubilaciones de los Empleados del Banco Nacional.</w:t>
      </w:r>
    </w:p>
    <w:p w14:paraId="6F4F1DE0" w14:textId="493A206C" w:rsidR="00D43C50" w:rsidRDefault="00D43C50" w:rsidP="005275B5">
      <w:pPr>
        <w:widowControl w:val="0"/>
        <w:spacing w:after="0" w:line="240" w:lineRule="auto"/>
        <w:ind w:right="283"/>
        <w:jc w:val="both"/>
        <w:rPr>
          <w:rFonts w:ascii="Times New Roman" w:eastAsia="Times New Roman" w:hAnsi="Times New Roman" w:cs="Times New Roman"/>
          <w:sz w:val="24"/>
          <w:szCs w:val="24"/>
          <w:lang w:eastAsia="es-ES"/>
        </w:rPr>
      </w:pPr>
    </w:p>
    <w:p w14:paraId="0BF5D26C" w14:textId="77777777" w:rsidR="00D43C50" w:rsidRDefault="00D43C50" w:rsidP="00285B88">
      <w:pPr>
        <w:widowControl w:val="0"/>
        <w:spacing w:after="0" w:line="240" w:lineRule="auto"/>
        <w:ind w:right="283"/>
        <w:jc w:val="both"/>
        <w:rPr>
          <w:rFonts w:ascii="Times New Roman" w:eastAsia="Times New Roman" w:hAnsi="Times New Roman" w:cs="Times New Roman"/>
          <w:sz w:val="24"/>
          <w:szCs w:val="24"/>
          <w:lang w:eastAsia="es-ES"/>
        </w:rPr>
      </w:pPr>
      <w:r w:rsidRPr="00376512">
        <w:rPr>
          <w:rFonts w:ascii="Times New Roman" w:eastAsia="Times New Roman" w:hAnsi="Times New Roman" w:cs="Times New Roman"/>
          <w:b/>
          <w:bCs/>
          <w:sz w:val="24"/>
          <w:szCs w:val="24"/>
          <w:lang w:eastAsia="es-ES"/>
        </w:rPr>
        <w:t>Riesgo de Longevidad</w:t>
      </w:r>
      <w:r w:rsidRPr="00376512">
        <w:rPr>
          <w:rStyle w:val="Refdenotaalpie"/>
          <w:rFonts w:ascii="Times New Roman" w:eastAsia="Times New Roman" w:hAnsi="Times New Roman" w:cs="Times New Roman"/>
          <w:sz w:val="24"/>
          <w:szCs w:val="24"/>
          <w:lang w:eastAsia="es-ES"/>
        </w:rPr>
        <w:footnoteReference w:id="6"/>
      </w:r>
      <w:r w:rsidRPr="00376512">
        <w:rPr>
          <w:rFonts w:ascii="Times New Roman" w:eastAsia="Times New Roman" w:hAnsi="Times New Roman" w:cs="Times New Roman"/>
          <w:sz w:val="24"/>
          <w:szCs w:val="24"/>
          <w:lang w:eastAsia="es-ES"/>
        </w:rPr>
        <w:t>: Es el riesgo de que los resultados futuros de la mortalidad y de la esperanza de vida presenten mejoras inesperadas para los periodos de desacumulación y que sufran un deterioro para las etapas de acumulación, lo que generaría que sus pasivos aumenten con el tiempo, mientras sus activos crecen a una tasa menor.</w:t>
      </w:r>
    </w:p>
    <w:p w14:paraId="70963A32" w14:textId="77777777" w:rsidR="00D43C50" w:rsidRDefault="00D43C50" w:rsidP="00285B88">
      <w:pPr>
        <w:widowControl w:val="0"/>
        <w:spacing w:after="0" w:line="240" w:lineRule="auto"/>
        <w:ind w:right="283"/>
        <w:jc w:val="both"/>
        <w:rPr>
          <w:rFonts w:ascii="Times New Roman" w:eastAsia="Times New Roman" w:hAnsi="Times New Roman" w:cs="Times New Roman"/>
          <w:sz w:val="24"/>
          <w:szCs w:val="24"/>
          <w:lang w:eastAsia="es-ES"/>
        </w:rPr>
      </w:pPr>
    </w:p>
    <w:p w14:paraId="55FAA76D" w14:textId="01490A57" w:rsidR="00D43C50" w:rsidRDefault="00D43C50" w:rsidP="00285B88">
      <w:pPr>
        <w:widowControl w:val="0"/>
        <w:spacing w:after="0"/>
        <w:ind w:right="-1"/>
        <w:jc w:val="both"/>
        <w:rPr>
          <w:rFonts w:ascii="Times New Roman" w:eastAsia="Times New Roman" w:hAnsi="Times New Roman" w:cs="Times New Roman"/>
          <w:sz w:val="24"/>
          <w:szCs w:val="24"/>
          <w:lang w:eastAsia="es-ES"/>
        </w:rPr>
      </w:pPr>
      <w:r w:rsidRPr="00015E0C">
        <w:rPr>
          <w:rFonts w:ascii="Times New Roman" w:eastAsia="Times New Roman" w:hAnsi="Times New Roman" w:cs="Times New Roman"/>
          <w:b/>
          <w:bCs/>
          <w:sz w:val="24"/>
          <w:szCs w:val="24"/>
          <w:lang w:eastAsia="es-ES"/>
        </w:rPr>
        <w:t>Riesgo de Revalorización</w:t>
      </w:r>
      <w:r w:rsidRPr="00015E0C">
        <w:rPr>
          <w:rStyle w:val="Refdenotaalpie"/>
          <w:rFonts w:ascii="Times New Roman" w:eastAsia="Times New Roman" w:hAnsi="Times New Roman" w:cs="Times New Roman"/>
          <w:sz w:val="24"/>
          <w:szCs w:val="24"/>
          <w:lang w:eastAsia="es-ES"/>
        </w:rPr>
        <w:footnoteReference w:id="7"/>
      </w:r>
      <w:r w:rsidRPr="00015E0C">
        <w:rPr>
          <w:rFonts w:ascii="Times New Roman" w:eastAsia="Times New Roman" w:hAnsi="Times New Roman" w:cs="Times New Roman"/>
          <w:sz w:val="24"/>
          <w:szCs w:val="24"/>
          <w:lang w:eastAsia="es-ES"/>
        </w:rPr>
        <w:t>: Es el riesgo asociado a la pérdida de poder adquisitivo de las pensiones cuando el Factor de Revalorización es inferior a la inflación observada en el periodo de ajuste, ya sea por un periodo o por el acumulado de periodos con ajuste inferior a la inflación.</w:t>
      </w:r>
    </w:p>
    <w:p w14:paraId="6A1E5D22" w14:textId="77777777" w:rsidR="00285B88" w:rsidRDefault="00285B88" w:rsidP="00285B88">
      <w:pPr>
        <w:widowControl w:val="0"/>
        <w:spacing w:after="0"/>
        <w:ind w:right="-1"/>
        <w:jc w:val="both"/>
        <w:rPr>
          <w:rFonts w:ascii="Times New Roman" w:eastAsia="Times New Roman" w:hAnsi="Times New Roman" w:cs="Times New Roman"/>
          <w:sz w:val="24"/>
          <w:szCs w:val="24"/>
          <w:lang w:eastAsia="es-ES"/>
        </w:rPr>
      </w:pPr>
    </w:p>
    <w:p w14:paraId="6427D3E1" w14:textId="29E7C92A" w:rsidR="00D02B85" w:rsidRDefault="000C79F7" w:rsidP="00285B88">
      <w:pPr>
        <w:widowControl w:val="0"/>
        <w:spacing w:after="0"/>
        <w:ind w:right="-1"/>
        <w:jc w:val="both"/>
        <w:rPr>
          <w:rFonts w:ascii="Times New Roman" w:eastAsia="Times New Roman" w:hAnsi="Times New Roman" w:cs="Times New Roman"/>
          <w:sz w:val="24"/>
          <w:szCs w:val="24"/>
          <w:lang w:eastAsia="es-ES"/>
        </w:rPr>
      </w:pPr>
      <w:r w:rsidRPr="000C79F7">
        <w:rPr>
          <w:rFonts w:ascii="Times New Roman" w:eastAsia="Times New Roman" w:hAnsi="Times New Roman" w:cs="Times New Roman"/>
          <w:b/>
          <w:bCs/>
          <w:sz w:val="24"/>
          <w:szCs w:val="24"/>
          <w:lang w:eastAsia="es-ES"/>
        </w:rPr>
        <w:t>Riesgo de Solvencia</w:t>
      </w:r>
      <w:r w:rsidRPr="00F649DB">
        <w:rPr>
          <w:rStyle w:val="Refdenotaalpie"/>
          <w:rFonts w:ascii="Times New Roman" w:eastAsia="Times New Roman" w:hAnsi="Times New Roman" w:cs="Times New Roman"/>
          <w:sz w:val="24"/>
          <w:szCs w:val="24"/>
          <w:lang w:eastAsia="es-ES"/>
        </w:rPr>
        <w:footnoteReference w:id="8"/>
      </w:r>
      <w:r w:rsidRPr="000C79F7">
        <w:rPr>
          <w:rFonts w:ascii="Times New Roman" w:eastAsia="Times New Roman" w:hAnsi="Times New Roman" w:cs="Times New Roman"/>
          <w:sz w:val="24"/>
          <w:szCs w:val="24"/>
          <w:lang w:eastAsia="es-ES"/>
        </w:rPr>
        <w:t>: Es el riesgo de que el Régimen de Pensiones no pueda cumplir con sus obligaciones financieras a medida que vencen por su valor total, incluso después de la liquidación de sus activos.</w:t>
      </w:r>
    </w:p>
    <w:p w14:paraId="3C1D1963" w14:textId="77777777" w:rsidR="00285B88" w:rsidRPr="005275B5" w:rsidRDefault="00285B88" w:rsidP="00285B88">
      <w:pPr>
        <w:widowControl w:val="0"/>
        <w:spacing w:after="0"/>
        <w:ind w:right="-1"/>
        <w:jc w:val="both"/>
        <w:rPr>
          <w:rFonts w:ascii="Times New Roman" w:eastAsia="Times New Roman" w:hAnsi="Times New Roman" w:cs="Times New Roman"/>
          <w:sz w:val="24"/>
          <w:szCs w:val="24"/>
          <w:lang w:eastAsia="es-ES"/>
        </w:rPr>
      </w:pPr>
    </w:p>
    <w:p w14:paraId="125B38A6"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Solvencia actuarial con beneficios devengados de un Régimen Básico Sustituto o Régimen de Pensión Complementario:</w:t>
      </w:r>
      <w:r w:rsidRPr="005275B5">
        <w:rPr>
          <w:rFonts w:ascii="Times New Roman" w:eastAsia="Times New Roman" w:hAnsi="Times New Roman" w:cs="Times New Roman"/>
          <w:sz w:val="24"/>
          <w:szCs w:val="24"/>
          <w:lang w:eastAsia="es-ES"/>
        </w:rPr>
        <w:t xml:space="preserve"> Un régimen tipo 2 o 3 es solvente si los recursos de la provisión para pensiones en curso de pago y de las reservas en formación son suficientes para cubrir los beneficios de los pensionados actuales y sus beneficiarios, así como los beneficios devengados de los miembros activos.</w:t>
      </w:r>
    </w:p>
    <w:p w14:paraId="125B38A7"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A8"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Solvencia actuarial con población cerrada de un Régimen Básico Sustituto o Régimen de Pensión Complementario:</w:t>
      </w:r>
      <w:r w:rsidRPr="005275B5">
        <w:rPr>
          <w:rFonts w:ascii="Times New Roman" w:eastAsia="Times New Roman" w:hAnsi="Times New Roman" w:cs="Times New Roman"/>
          <w:sz w:val="24"/>
          <w:szCs w:val="24"/>
          <w:lang w:eastAsia="es-ES"/>
        </w:rPr>
        <w:t xml:space="preserve"> Un régimen tipo 2 o 3 es solvente si los recursos de la provisión para pensiones en curso de pago y de las reservas en formación, más el valor presente de las contribuciones futuras, son suficientes para pagar los beneficios de los pensionados actuales, de los miembros activos y de los beneficiarios de ambos grupos.</w:t>
      </w:r>
    </w:p>
    <w:p w14:paraId="125B38A9"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AA"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Solvencia actuarial del Régimen Básico General:</w:t>
      </w:r>
      <w:r w:rsidRPr="005275B5">
        <w:rPr>
          <w:rFonts w:ascii="Times New Roman" w:eastAsia="Times New Roman" w:hAnsi="Times New Roman" w:cs="Times New Roman"/>
          <w:sz w:val="24"/>
          <w:szCs w:val="24"/>
          <w:lang w:eastAsia="es-ES"/>
        </w:rPr>
        <w:t xml:space="preserve"> El régimen es solvente si la sumatoria de todos los ingresos derivados de las contribuciones y de los rendimientos de las inversiones son iguales o superiores al flujo de todos los futuros egresos del régimen.</w:t>
      </w:r>
    </w:p>
    <w:p w14:paraId="125B38AB"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AC"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SUPEN:</w:t>
      </w:r>
      <w:r w:rsidRPr="005275B5">
        <w:rPr>
          <w:rFonts w:ascii="Times New Roman" w:eastAsia="Times New Roman" w:hAnsi="Times New Roman" w:cs="Times New Roman"/>
          <w:sz w:val="24"/>
          <w:szCs w:val="24"/>
          <w:lang w:eastAsia="es-ES"/>
        </w:rPr>
        <w:t xml:space="preserve"> Superintendencia de Pensiones.</w:t>
      </w:r>
    </w:p>
    <w:p w14:paraId="125B38AD"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AE"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Superintendente:</w:t>
      </w:r>
      <w:r w:rsidRPr="005275B5">
        <w:rPr>
          <w:rFonts w:ascii="Times New Roman" w:eastAsia="Times New Roman" w:hAnsi="Times New Roman" w:cs="Times New Roman"/>
          <w:sz w:val="24"/>
          <w:szCs w:val="24"/>
          <w:lang w:eastAsia="es-ES"/>
        </w:rPr>
        <w:t xml:space="preserve"> Superintendente de Pensiones.</w:t>
      </w:r>
    </w:p>
    <w:p w14:paraId="125B38AF"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B0"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Tablas biométricas:</w:t>
      </w:r>
      <w:r w:rsidRPr="005275B5">
        <w:rPr>
          <w:rFonts w:ascii="Times New Roman" w:eastAsia="Times New Roman" w:hAnsi="Times New Roman" w:cs="Times New Roman"/>
          <w:sz w:val="24"/>
          <w:szCs w:val="24"/>
          <w:lang w:eastAsia="es-ES"/>
        </w:rPr>
        <w:t xml:space="preserve"> Tablas que muestran las probabilidades de las contingencias a las que los individuos están expuestos.</w:t>
      </w:r>
    </w:p>
    <w:p w14:paraId="125B38B1"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B2"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Tasa de costo:</w:t>
      </w:r>
      <w:r w:rsidRPr="005275B5">
        <w:rPr>
          <w:rFonts w:ascii="Times New Roman" w:eastAsia="Times New Roman" w:hAnsi="Times New Roman" w:cs="Times New Roman"/>
          <w:sz w:val="24"/>
          <w:szCs w:val="24"/>
          <w:lang w:eastAsia="es-ES"/>
        </w:rPr>
        <w:t xml:space="preserve"> También conocida como prima de reparto. Son las salidas o egresos anuales expresados como porcentaje de los salarios.</w:t>
      </w:r>
    </w:p>
    <w:p w14:paraId="125B38B3"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B4" w14:textId="27D59BFE" w:rsid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Tasa de Ingresos:</w:t>
      </w:r>
      <w:r w:rsidRPr="005275B5">
        <w:rPr>
          <w:rFonts w:ascii="Times New Roman" w:eastAsia="Times New Roman" w:hAnsi="Times New Roman" w:cs="Times New Roman"/>
          <w:sz w:val="24"/>
          <w:szCs w:val="24"/>
          <w:lang w:eastAsia="es-ES"/>
        </w:rPr>
        <w:t xml:space="preserve"> Son los aportes especificados por ley y otros ingresos expresados como porcentaje de los salarios.</w:t>
      </w:r>
    </w:p>
    <w:p w14:paraId="48CE1AB1" w14:textId="25E2D3B7" w:rsidR="00D02B85" w:rsidRDefault="00D02B85" w:rsidP="005275B5">
      <w:pPr>
        <w:widowControl w:val="0"/>
        <w:spacing w:after="0" w:line="240" w:lineRule="auto"/>
        <w:ind w:right="283"/>
        <w:jc w:val="both"/>
        <w:rPr>
          <w:rFonts w:ascii="Times New Roman" w:eastAsia="Times New Roman" w:hAnsi="Times New Roman" w:cs="Times New Roman"/>
          <w:sz w:val="24"/>
          <w:szCs w:val="24"/>
          <w:lang w:eastAsia="es-ES"/>
        </w:rPr>
      </w:pPr>
    </w:p>
    <w:p w14:paraId="09E0DE0A" w14:textId="3EB9F2B0" w:rsidR="00D02B85" w:rsidRPr="005275B5" w:rsidRDefault="00F649DB" w:rsidP="005275B5">
      <w:pPr>
        <w:widowControl w:val="0"/>
        <w:spacing w:after="0" w:line="240" w:lineRule="auto"/>
        <w:ind w:right="283"/>
        <w:jc w:val="both"/>
        <w:rPr>
          <w:rFonts w:ascii="Times New Roman" w:eastAsia="Times New Roman" w:hAnsi="Times New Roman" w:cs="Times New Roman"/>
          <w:sz w:val="24"/>
          <w:szCs w:val="24"/>
          <w:lang w:eastAsia="es-ES"/>
        </w:rPr>
      </w:pPr>
      <w:r w:rsidRPr="00F649DB">
        <w:rPr>
          <w:rFonts w:ascii="Times New Roman" w:eastAsia="Times New Roman" w:hAnsi="Times New Roman" w:cs="Times New Roman"/>
          <w:b/>
          <w:bCs/>
          <w:sz w:val="24"/>
          <w:szCs w:val="24"/>
          <w:lang w:eastAsia="es-ES"/>
        </w:rPr>
        <w:t>Tolerancia al Riesgo</w:t>
      </w:r>
      <w:r w:rsidRPr="00F649DB">
        <w:rPr>
          <w:rStyle w:val="Refdenotaalpie"/>
          <w:rFonts w:ascii="Times New Roman" w:eastAsia="Times New Roman" w:hAnsi="Times New Roman" w:cs="Times New Roman"/>
          <w:sz w:val="24"/>
          <w:szCs w:val="24"/>
          <w:lang w:eastAsia="es-ES"/>
        </w:rPr>
        <w:footnoteReference w:id="9"/>
      </w:r>
      <w:r w:rsidRPr="00F649DB">
        <w:rPr>
          <w:rFonts w:ascii="Times New Roman" w:eastAsia="Times New Roman" w:hAnsi="Times New Roman" w:cs="Times New Roman"/>
          <w:sz w:val="24"/>
          <w:szCs w:val="24"/>
          <w:lang w:eastAsia="es-ES"/>
        </w:rPr>
        <w:t>: Nivel máximo de riesgo que una entidad regulada está dispuesta a asumir en relación con los fondos administrados, considerando su gestión integral de riesgos, medidas de control, limitaciones regulatorias, base de capital u otras variables de acuerdo con sus características.</w:t>
      </w:r>
    </w:p>
    <w:p w14:paraId="125B38B5"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B6"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Valuación actuarial:</w:t>
      </w:r>
      <w:r w:rsidRPr="005275B5">
        <w:rPr>
          <w:rFonts w:ascii="Times New Roman" w:eastAsia="Times New Roman" w:hAnsi="Times New Roman" w:cs="Times New Roman"/>
          <w:sz w:val="24"/>
          <w:szCs w:val="24"/>
          <w:lang w:eastAsia="es-ES"/>
        </w:rPr>
        <w:t xml:space="preserve"> Estudio técnico elaborado por un actuario que permite, mediante la aplicación de un método de valuación específico, determinar la solvencia actuarial de un régimen de pensiones de beneficio definido, o justificar propuestas de cambio en el perfil de requisitos o de beneficios.</w:t>
      </w:r>
    </w:p>
    <w:p w14:paraId="125B38B7"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B8" w14:textId="3A2A2D26"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4. Política de Solvencia</w:t>
      </w:r>
      <w:r w:rsidR="000223E1" w:rsidRPr="00B53167">
        <w:rPr>
          <w:rStyle w:val="Refdenotaalpie"/>
          <w:rFonts w:ascii="Times New Roman" w:eastAsia="Times New Roman" w:hAnsi="Times New Roman" w:cs="Times New Roman"/>
          <w:bCs/>
          <w:sz w:val="24"/>
          <w:szCs w:val="24"/>
          <w:lang w:eastAsia="es-ES"/>
        </w:rPr>
        <w:footnoteReference w:id="10"/>
      </w:r>
    </w:p>
    <w:p w14:paraId="125B38B9" w14:textId="531B6F61" w:rsidR="005275B5" w:rsidRDefault="000223E1" w:rsidP="005275B5">
      <w:pPr>
        <w:widowControl w:val="0"/>
        <w:spacing w:after="0" w:line="240" w:lineRule="auto"/>
        <w:ind w:right="283"/>
        <w:jc w:val="both"/>
        <w:rPr>
          <w:rFonts w:ascii="Times New Roman" w:eastAsia="Times New Roman" w:hAnsi="Times New Roman" w:cs="Times New Roman"/>
          <w:sz w:val="24"/>
          <w:szCs w:val="24"/>
          <w:lang w:eastAsia="es-ES"/>
        </w:rPr>
      </w:pPr>
      <w:r w:rsidRPr="000223E1">
        <w:rPr>
          <w:rFonts w:ascii="Times New Roman" w:eastAsia="Times New Roman" w:hAnsi="Times New Roman" w:cs="Times New Roman"/>
          <w:sz w:val="24"/>
          <w:szCs w:val="24"/>
          <w:lang w:eastAsia="es-ES"/>
        </w:rPr>
        <w:t>El órgano de dirección debe aprobar y revelar una política de solvencia que contenga, al menos para los escenarios con grupo cerrado y beneficios devengados, el apetito de riesgo de solvencia (objetivo de solvencia), la tolerancia al riesgo de solvencia y el mínimo de solvencia tolerable (la capacidad de riesgo de solvencia), considerando el perfil de beneficios, los niveles de contribución definidos en la normativa y la estrategia de inversiones; así como las acciones a tomar en caso de que no se alcance el apetito de riesgo, se ubique dentro del margen de tolerancia, o se alcance la capacidad al riesgo de solvencia, de conformidad con la Declaración de Apetito de Riesgo</w:t>
      </w:r>
      <w:r w:rsidR="005275B5" w:rsidRPr="005275B5">
        <w:rPr>
          <w:rFonts w:ascii="Times New Roman" w:eastAsia="Times New Roman" w:hAnsi="Times New Roman" w:cs="Times New Roman"/>
          <w:sz w:val="24"/>
          <w:szCs w:val="24"/>
          <w:lang w:eastAsia="es-ES"/>
        </w:rPr>
        <w:t>.</w:t>
      </w:r>
    </w:p>
    <w:p w14:paraId="5E8CC36A" w14:textId="593197EB" w:rsidR="00E8555B" w:rsidRDefault="00E8555B" w:rsidP="005275B5">
      <w:pPr>
        <w:widowControl w:val="0"/>
        <w:spacing w:after="0" w:line="240" w:lineRule="auto"/>
        <w:ind w:right="283"/>
        <w:jc w:val="both"/>
        <w:rPr>
          <w:rFonts w:ascii="Times New Roman" w:eastAsia="Times New Roman" w:hAnsi="Times New Roman" w:cs="Times New Roman"/>
          <w:sz w:val="24"/>
          <w:szCs w:val="24"/>
          <w:lang w:eastAsia="es-ES"/>
        </w:rPr>
      </w:pPr>
    </w:p>
    <w:p w14:paraId="5E9DE71D" w14:textId="660E7A50" w:rsidR="00E8555B" w:rsidRPr="00E37B9E" w:rsidRDefault="00E8555B" w:rsidP="005275B5">
      <w:pPr>
        <w:widowControl w:val="0"/>
        <w:spacing w:after="0" w:line="240" w:lineRule="auto"/>
        <w:ind w:right="283"/>
        <w:jc w:val="both"/>
        <w:rPr>
          <w:rFonts w:ascii="Times New Roman" w:eastAsia="Times New Roman" w:hAnsi="Times New Roman" w:cs="Times New Roman"/>
          <w:b/>
          <w:bCs/>
          <w:sz w:val="24"/>
          <w:szCs w:val="24"/>
          <w:lang w:eastAsia="es-ES"/>
        </w:rPr>
      </w:pPr>
      <w:r w:rsidRPr="00E37B9E">
        <w:rPr>
          <w:rFonts w:ascii="Times New Roman" w:eastAsia="Times New Roman" w:hAnsi="Times New Roman" w:cs="Times New Roman"/>
          <w:b/>
          <w:bCs/>
          <w:sz w:val="24"/>
          <w:szCs w:val="24"/>
          <w:lang w:eastAsia="es-ES"/>
        </w:rPr>
        <w:t>Artículo 4 bis. Política de Revalorización de las Pensiones</w:t>
      </w:r>
      <w:r w:rsidR="00E37B9E" w:rsidRPr="00B53167">
        <w:rPr>
          <w:rStyle w:val="Refdenotaalpie"/>
          <w:rFonts w:ascii="Times New Roman" w:eastAsia="Times New Roman" w:hAnsi="Times New Roman" w:cs="Times New Roman"/>
          <w:sz w:val="24"/>
          <w:szCs w:val="24"/>
          <w:lang w:eastAsia="es-ES"/>
        </w:rPr>
        <w:footnoteReference w:id="11"/>
      </w:r>
    </w:p>
    <w:p w14:paraId="1826009C" w14:textId="590D15E9" w:rsidR="00E37B9E" w:rsidRDefault="00E37B9E" w:rsidP="005275B5">
      <w:pPr>
        <w:widowControl w:val="0"/>
        <w:spacing w:after="0" w:line="240" w:lineRule="auto"/>
        <w:ind w:right="283"/>
        <w:jc w:val="both"/>
        <w:rPr>
          <w:rFonts w:ascii="Times New Roman" w:eastAsia="Times New Roman" w:hAnsi="Times New Roman" w:cs="Times New Roman"/>
          <w:sz w:val="24"/>
          <w:szCs w:val="24"/>
          <w:lang w:eastAsia="es-ES"/>
        </w:rPr>
      </w:pPr>
      <w:r w:rsidRPr="00E37B9E">
        <w:rPr>
          <w:rFonts w:ascii="Times New Roman" w:eastAsia="Times New Roman" w:hAnsi="Times New Roman" w:cs="Times New Roman"/>
          <w:sz w:val="24"/>
          <w:szCs w:val="24"/>
          <w:lang w:eastAsia="es-ES"/>
        </w:rPr>
        <w:t>El órgano de dirección debe aprobar y revelar una política de revalorización de pensiones que contenga el apetito de riesgo para la pérdida de poder adquisitivo acumulada desde el otorgamiento del beneficio, así como la tolerancia y capacidad, además de las acciones a tomar en caso de que no se alcance el apetito o se alcance la capacidad de conformidad con la Declaración de Apetito de Riesgo, sin perjuicio de lo que dispongan las normas de rango legal que regulen el régimen de que se trate</w:t>
      </w:r>
      <w:r>
        <w:rPr>
          <w:rFonts w:ascii="Times New Roman" w:eastAsia="Times New Roman" w:hAnsi="Times New Roman" w:cs="Times New Roman"/>
          <w:sz w:val="24"/>
          <w:szCs w:val="24"/>
          <w:lang w:eastAsia="es-ES"/>
        </w:rPr>
        <w:t xml:space="preserve">. </w:t>
      </w:r>
    </w:p>
    <w:p w14:paraId="43C9C24D" w14:textId="77777777" w:rsidR="00E8555B" w:rsidRPr="005275B5" w:rsidRDefault="00E8555B" w:rsidP="005275B5">
      <w:pPr>
        <w:widowControl w:val="0"/>
        <w:spacing w:after="0" w:line="240" w:lineRule="auto"/>
        <w:ind w:right="283"/>
        <w:jc w:val="both"/>
        <w:rPr>
          <w:rFonts w:ascii="Times New Roman" w:eastAsia="Times New Roman" w:hAnsi="Times New Roman" w:cs="Times New Roman"/>
          <w:sz w:val="24"/>
          <w:szCs w:val="24"/>
          <w:lang w:eastAsia="es-ES"/>
        </w:rPr>
      </w:pPr>
    </w:p>
    <w:p w14:paraId="125B38BA"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BB" w14:textId="4956A420"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5. Objetivo de las valuaciones actuariales</w:t>
      </w:r>
      <w:r w:rsidR="006B46CE" w:rsidRPr="00B53167">
        <w:rPr>
          <w:rStyle w:val="Refdenotaalpie"/>
          <w:rFonts w:ascii="Times New Roman" w:eastAsia="Times New Roman" w:hAnsi="Times New Roman" w:cs="Times New Roman"/>
          <w:bCs/>
          <w:sz w:val="24"/>
          <w:szCs w:val="24"/>
          <w:lang w:eastAsia="es-ES"/>
        </w:rPr>
        <w:footnoteReference w:id="12"/>
      </w:r>
    </w:p>
    <w:p w14:paraId="0FCD0A49" w14:textId="7971B26E" w:rsidR="00FE4D1A" w:rsidRDefault="00FE4D1A" w:rsidP="006B46CE">
      <w:pPr>
        <w:widowControl w:val="0"/>
        <w:spacing w:after="0"/>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La valuación actuarial de un régimen debe proporcionar elementos objetivos para el análisis de su solvencia actuarial, cuantificación de riesgos y análisis prospectivos, en línea con las mejores prácticas y principios internacionales. Constituye información mínima para los gestores del régimen valuado, y deberá servir de sustento para realizar los ajustes necesarios que permitan asegurar su sostenibilidad en el tiempo, así como la evaluación de la gestión de los riesgos cuantificados.</w:t>
      </w:r>
    </w:p>
    <w:p w14:paraId="19D72C03" w14:textId="77777777" w:rsidR="006B46CE" w:rsidRPr="00FE4D1A" w:rsidRDefault="006B46CE" w:rsidP="006B46CE">
      <w:pPr>
        <w:widowControl w:val="0"/>
        <w:spacing w:after="0"/>
        <w:jc w:val="both"/>
        <w:rPr>
          <w:rFonts w:ascii="Times New Roman" w:eastAsia="Times New Roman" w:hAnsi="Times New Roman" w:cs="Times New Roman"/>
          <w:sz w:val="24"/>
          <w:szCs w:val="24"/>
          <w:lang w:eastAsia="es-ES"/>
        </w:rPr>
      </w:pPr>
    </w:p>
    <w:p w14:paraId="08D74768" w14:textId="11B5F604" w:rsidR="00FE4D1A" w:rsidRPr="00FE4D1A" w:rsidRDefault="00FE4D1A" w:rsidP="006B46CE">
      <w:pPr>
        <w:widowControl w:val="0"/>
        <w:spacing w:after="0"/>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La valuación actuarial debe permitir:</w:t>
      </w:r>
    </w:p>
    <w:p w14:paraId="45DB1C20" w14:textId="77777777" w:rsidR="00FE4D1A" w:rsidRPr="00FE4D1A" w:rsidRDefault="00FE4D1A" w:rsidP="006B46CE">
      <w:pPr>
        <w:widowControl w:val="0"/>
        <w:spacing w:after="0"/>
        <w:ind w:left="851" w:hanging="425"/>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a)</w:t>
      </w:r>
      <w:r w:rsidRPr="00FE4D1A">
        <w:rPr>
          <w:rFonts w:ascii="Times New Roman" w:eastAsia="Times New Roman" w:hAnsi="Times New Roman" w:cs="Times New Roman"/>
          <w:sz w:val="24"/>
          <w:szCs w:val="24"/>
          <w:lang w:eastAsia="es-ES"/>
        </w:rPr>
        <w:tab/>
        <w:t>Establecer la situación financiera actual de un régimen de pensiones y su proyección.</w:t>
      </w:r>
    </w:p>
    <w:p w14:paraId="01D2CC13" w14:textId="77777777" w:rsidR="00FE4D1A" w:rsidRPr="00FE4D1A" w:rsidRDefault="00FE4D1A" w:rsidP="006B46CE">
      <w:pPr>
        <w:widowControl w:val="0"/>
        <w:spacing w:after="0"/>
        <w:ind w:left="851" w:hanging="425"/>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b)</w:t>
      </w:r>
      <w:r w:rsidRPr="00FE4D1A">
        <w:rPr>
          <w:rFonts w:ascii="Times New Roman" w:eastAsia="Times New Roman" w:hAnsi="Times New Roman" w:cs="Times New Roman"/>
          <w:sz w:val="24"/>
          <w:szCs w:val="24"/>
          <w:lang w:eastAsia="es-ES"/>
        </w:rPr>
        <w:tab/>
        <w:t>Valuar la solvencia actuarial de un régimen de pensiones en relación con las tasas de contribución actuales, los beneficios, el método de financiamiento establecido y la definición de solvencia aplicable.</w:t>
      </w:r>
    </w:p>
    <w:p w14:paraId="0EEB9D38" w14:textId="77777777" w:rsidR="00FE4D1A" w:rsidRPr="00FE4D1A" w:rsidRDefault="00FE4D1A" w:rsidP="006B46CE">
      <w:pPr>
        <w:widowControl w:val="0"/>
        <w:spacing w:after="0"/>
        <w:ind w:left="851" w:hanging="425"/>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c)</w:t>
      </w:r>
      <w:r w:rsidRPr="00FE4D1A">
        <w:rPr>
          <w:rFonts w:ascii="Times New Roman" w:eastAsia="Times New Roman" w:hAnsi="Times New Roman" w:cs="Times New Roman"/>
          <w:sz w:val="24"/>
          <w:szCs w:val="24"/>
          <w:lang w:eastAsia="es-ES"/>
        </w:rPr>
        <w:tab/>
        <w:t>Identificar las causas que originan desequilibrios financieros y actuariales presentes o futuros y las razones de los cambios desde la última valuación.</w:t>
      </w:r>
    </w:p>
    <w:p w14:paraId="7FFB162E" w14:textId="77777777" w:rsidR="00FE4D1A" w:rsidRPr="00FE4D1A" w:rsidRDefault="00FE4D1A" w:rsidP="006B46CE">
      <w:pPr>
        <w:widowControl w:val="0"/>
        <w:spacing w:after="0"/>
        <w:ind w:left="851" w:hanging="425"/>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d)</w:t>
      </w:r>
      <w:r w:rsidRPr="00FE4D1A">
        <w:rPr>
          <w:rFonts w:ascii="Times New Roman" w:eastAsia="Times New Roman" w:hAnsi="Times New Roman" w:cs="Times New Roman"/>
          <w:sz w:val="24"/>
          <w:szCs w:val="24"/>
          <w:lang w:eastAsia="es-ES"/>
        </w:rPr>
        <w:tab/>
        <w:t>Asesorar a los gestores respecto de las medidas necesarias para preservar o restablecer el equilibrio del régimen.</w:t>
      </w:r>
    </w:p>
    <w:p w14:paraId="5E8ED354" w14:textId="77777777" w:rsidR="00FE4D1A" w:rsidRPr="00FE4D1A" w:rsidRDefault="00FE4D1A" w:rsidP="006B46CE">
      <w:pPr>
        <w:widowControl w:val="0"/>
        <w:spacing w:after="0"/>
        <w:ind w:left="851" w:hanging="425"/>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e)</w:t>
      </w:r>
      <w:r w:rsidRPr="00FE4D1A">
        <w:rPr>
          <w:rFonts w:ascii="Times New Roman" w:eastAsia="Times New Roman" w:hAnsi="Times New Roman" w:cs="Times New Roman"/>
          <w:sz w:val="24"/>
          <w:szCs w:val="24"/>
          <w:lang w:eastAsia="es-ES"/>
        </w:rPr>
        <w:tab/>
        <w:t>Recomendar ajustes en el sistema de financiamiento del régimen.</w:t>
      </w:r>
    </w:p>
    <w:p w14:paraId="284E17A8" w14:textId="667C01A8" w:rsidR="00FE4D1A" w:rsidRDefault="00FE4D1A" w:rsidP="006B46CE">
      <w:pPr>
        <w:widowControl w:val="0"/>
        <w:spacing w:after="0"/>
        <w:ind w:left="851" w:hanging="425"/>
        <w:jc w:val="both"/>
        <w:rPr>
          <w:rFonts w:ascii="Times New Roman" w:eastAsia="Times New Roman" w:hAnsi="Times New Roman" w:cs="Times New Roman"/>
          <w:sz w:val="24"/>
          <w:szCs w:val="24"/>
          <w:lang w:eastAsia="es-ES"/>
        </w:rPr>
      </w:pPr>
      <w:r w:rsidRPr="00FE4D1A">
        <w:rPr>
          <w:rFonts w:ascii="Times New Roman" w:eastAsia="Times New Roman" w:hAnsi="Times New Roman" w:cs="Times New Roman"/>
          <w:sz w:val="24"/>
          <w:szCs w:val="24"/>
          <w:lang w:eastAsia="es-ES"/>
        </w:rPr>
        <w:t>f)</w:t>
      </w:r>
      <w:r w:rsidRPr="00FE4D1A">
        <w:rPr>
          <w:rFonts w:ascii="Times New Roman" w:eastAsia="Times New Roman" w:hAnsi="Times New Roman" w:cs="Times New Roman"/>
          <w:sz w:val="24"/>
          <w:szCs w:val="24"/>
          <w:lang w:eastAsia="es-ES"/>
        </w:rPr>
        <w:tab/>
        <w:t>Valuar la adecuación y congruencia de los perfiles de requisitos y beneficios ofrecidos por el régimen.</w:t>
      </w:r>
    </w:p>
    <w:p w14:paraId="629CD56B" w14:textId="77777777" w:rsidR="006B46CE" w:rsidRPr="006B46CE" w:rsidRDefault="006B46CE" w:rsidP="006B46CE">
      <w:pPr>
        <w:widowControl w:val="0"/>
        <w:spacing w:after="0"/>
        <w:ind w:left="851" w:hanging="425"/>
        <w:jc w:val="both"/>
        <w:rPr>
          <w:rFonts w:ascii="Times New Roman" w:eastAsia="Times New Roman" w:hAnsi="Times New Roman" w:cs="Times New Roman"/>
          <w:sz w:val="24"/>
          <w:szCs w:val="24"/>
          <w:lang w:eastAsia="es-ES"/>
        </w:rPr>
      </w:pPr>
      <w:r w:rsidRPr="006B46CE">
        <w:rPr>
          <w:rFonts w:ascii="Times New Roman" w:eastAsia="Times New Roman" w:hAnsi="Times New Roman" w:cs="Times New Roman"/>
          <w:sz w:val="24"/>
          <w:szCs w:val="24"/>
          <w:lang w:eastAsia="es-ES"/>
        </w:rPr>
        <w:t>g)</w:t>
      </w:r>
      <w:r w:rsidRPr="006B46CE">
        <w:rPr>
          <w:rFonts w:ascii="Times New Roman" w:eastAsia="Times New Roman" w:hAnsi="Times New Roman" w:cs="Times New Roman"/>
          <w:sz w:val="24"/>
          <w:szCs w:val="24"/>
          <w:lang w:eastAsia="es-ES"/>
        </w:rPr>
        <w:tab/>
        <w:t>Valuar la suficiencia de las provisiones.</w:t>
      </w:r>
    </w:p>
    <w:p w14:paraId="35B46461" w14:textId="00D63FB6" w:rsidR="006B46CE" w:rsidRPr="006B46CE" w:rsidRDefault="006B46CE" w:rsidP="006B46CE">
      <w:pPr>
        <w:widowControl w:val="0"/>
        <w:spacing w:after="0"/>
        <w:ind w:left="851" w:hanging="425"/>
        <w:jc w:val="both"/>
        <w:rPr>
          <w:rFonts w:ascii="Times New Roman" w:eastAsia="Times New Roman" w:hAnsi="Times New Roman" w:cs="Times New Roman"/>
          <w:sz w:val="24"/>
          <w:szCs w:val="24"/>
          <w:lang w:eastAsia="es-ES"/>
        </w:rPr>
      </w:pPr>
      <w:r w:rsidRPr="006B46CE">
        <w:rPr>
          <w:rFonts w:ascii="Times New Roman" w:eastAsia="Times New Roman" w:hAnsi="Times New Roman" w:cs="Times New Roman"/>
          <w:sz w:val="24"/>
          <w:szCs w:val="24"/>
          <w:lang w:eastAsia="es-ES"/>
        </w:rPr>
        <w:t>h)</w:t>
      </w:r>
      <w:r w:rsidRPr="006B46CE">
        <w:rPr>
          <w:rFonts w:ascii="Times New Roman" w:eastAsia="Times New Roman" w:hAnsi="Times New Roman" w:cs="Times New Roman"/>
          <w:sz w:val="24"/>
          <w:szCs w:val="24"/>
          <w:lang w:eastAsia="es-ES"/>
        </w:rPr>
        <w:tab/>
        <w:t>Retroalimentar a los administradores del régimen con la identificación y evaluación de riesgos detectados, siguiendo los principios ORSA.</w:t>
      </w:r>
    </w:p>
    <w:p w14:paraId="125B38C7" w14:textId="77777777" w:rsidR="005275B5" w:rsidRPr="005275B5" w:rsidRDefault="005275B5" w:rsidP="006B46CE">
      <w:pPr>
        <w:widowControl w:val="0"/>
        <w:spacing w:after="0" w:line="240" w:lineRule="auto"/>
        <w:ind w:right="283"/>
        <w:jc w:val="both"/>
        <w:rPr>
          <w:rFonts w:ascii="Times New Roman" w:eastAsia="Times New Roman" w:hAnsi="Times New Roman" w:cs="Times New Roman"/>
          <w:sz w:val="24"/>
          <w:szCs w:val="24"/>
          <w:lang w:eastAsia="es-ES"/>
        </w:rPr>
      </w:pPr>
    </w:p>
    <w:p w14:paraId="125B38C8"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6. Hipótesis demográficas y financieras</w:t>
      </w:r>
    </w:p>
    <w:p w14:paraId="125B38C9"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actuario debe proponer los valores de las hipótesis demográficas y financieras que no estén definidas en la normativa aplicable. Las hipótesis deben ser consistentes entre sí y reflejar cada una de ellas una parte de la realidad en función del aspecto al que refieran, con base en un análisis retrospectivo y prospectivo.</w:t>
      </w:r>
    </w:p>
    <w:p w14:paraId="125B38CA"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CB"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En el informe actuarial se deben detallar y justificar adecuadamente las hipótesis demográficas y financieras utilizadas en la valuación. La SUPEN puede solicitar cambios en los valores asignados a dichas hipótesis cuando detecte inconsistencias y, en última instancia, determinar si los supuestos son razonables y apropiados.</w:t>
      </w:r>
    </w:p>
    <w:p w14:paraId="125B38CC"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CD"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7. Metodologías utilizadas y disposiciones por tipo de régimen</w:t>
      </w:r>
    </w:p>
    <w:p w14:paraId="125B38CE"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CF"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sz w:val="24"/>
          <w:szCs w:val="24"/>
          <w:lang w:eastAsia="es-ES"/>
        </w:rPr>
        <w:t>a)</w:t>
      </w:r>
      <w:r w:rsidRPr="005275B5">
        <w:rPr>
          <w:rFonts w:ascii="Times New Roman" w:eastAsia="Times New Roman" w:hAnsi="Times New Roman" w:cs="Times New Roman"/>
          <w:sz w:val="24"/>
          <w:szCs w:val="24"/>
          <w:lang w:eastAsia="es-ES"/>
        </w:rPr>
        <w:tab/>
      </w:r>
      <w:r w:rsidRPr="005275B5">
        <w:rPr>
          <w:rFonts w:ascii="Times New Roman" w:eastAsia="Times New Roman" w:hAnsi="Times New Roman" w:cs="Times New Roman"/>
          <w:b/>
          <w:sz w:val="24"/>
          <w:szCs w:val="24"/>
          <w:lang w:eastAsia="es-ES"/>
        </w:rPr>
        <w:t>Régimen Básico General (tipo 1)</w:t>
      </w:r>
    </w:p>
    <w:p w14:paraId="125B38D0"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Se recomienda que la valuación actuarial muestre claramente la técnica utilizada y los resultados se presenten sobre la base de una población abierta, en términos absolutos y relativos. Además, se recomienda utilizar un horizonte, para la valuación, que abarque un período mínimo de setenta y cinco años.</w:t>
      </w:r>
    </w:p>
    <w:p w14:paraId="125B38D1"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D2"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sz w:val="24"/>
          <w:szCs w:val="24"/>
          <w:lang w:eastAsia="es-ES"/>
        </w:rPr>
        <w:t>b)</w:t>
      </w:r>
      <w:r w:rsidRPr="005275B5">
        <w:rPr>
          <w:rFonts w:ascii="Times New Roman" w:eastAsia="Times New Roman" w:hAnsi="Times New Roman" w:cs="Times New Roman"/>
          <w:sz w:val="24"/>
          <w:szCs w:val="24"/>
          <w:lang w:eastAsia="es-ES"/>
        </w:rPr>
        <w:tab/>
      </w:r>
      <w:r w:rsidRPr="005275B5">
        <w:rPr>
          <w:rFonts w:ascii="Times New Roman" w:eastAsia="Times New Roman" w:hAnsi="Times New Roman" w:cs="Times New Roman"/>
          <w:b/>
          <w:sz w:val="24"/>
          <w:szCs w:val="24"/>
          <w:lang w:eastAsia="es-ES"/>
        </w:rPr>
        <w:t>Régimen Básico Sustituto (tipo 2) y Régimen de Pensión Complementaria (tipo 3)</w:t>
      </w:r>
    </w:p>
    <w:p w14:paraId="125B38D3"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La valuación actuarial debe mostrar claramente la técnica utilizada. Los resultados deben presentarse tanto con beneficios devengados como con población cerrada, según las definiciones de solvencia del artículo tres.</w:t>
      </w:r>
    </w:p>
    <w:p w14:paraId="125B38D4"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D5"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Adicionalmente, pueden mostrarse resultados con población abierta, para lo cual se debe considerar un período mínimo de setenta y cinco años. Los nuevos ingresos deben revelar el activo y pasivo actuarial completo. En todo caso, las recomendaciones deben formularse en relación con los resultados de las valuaciones realizadas con población cerrada y con beneficios devengados.</w:t>
      </w:r>
    </w:p>
    <w:p w14:paraId="125B38D6"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D7"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En todos los escenarios presentados debe incluirse la totalidad de los afiliados al régimen y sus beneficiarios.</w:t>
      </w:r>
    </w:p>
    <w:p w14:paraId="125B38D8"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D9" w14:textId="447894AC"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 xml:space="preserve">Artículo 8. </w:t>
      </w:r>
      <w:r w:rsidR="00752D01">
        <w:rPr>
          <w:rFonts w:ascii="Times New Roman" w:eastAsia="Times New Roman" w:hAnsi="Times New Roman" w:cs="Times New Roman"/>
          <w:b/>
          <w:sz w:val="24"/>
          <w:szCs w:val="24"/>
          <w:lang w:eastAsia="es-ES"/>
        </w:rPr>
        <w:t>Frecuencia</w:t>
      </w:r>
      <w:r w:rsidRPr="005275B5">
        <w:rPr>
          <w:rFonts w:ascii="Times New Roman" w:eastAsia="Times New Roman" w:hAnsi="Times New Roman" w:cs="Times New Roman"/>
          <w:b/>
          <w:sz w:val="24"/>
          <w:szCs w:val="24"/>
          <w:lang w:eastAsia="es-ES"/>
        </w:rPr>
        <w:t xml:space="preserve"> de las valuaciones actuariales</w:t>
      </w:r>
      <w:r w:rsidR="000B346F">
        <w:rPr>
          <w:rFonts w:ascii="Times New Roman" w:eastAsia="Times New Roman" w:hAnsi="Times New Roman" w:cs="Times New Roman"/>
          <w:b/>
          <w:sz w:val="24"/>
          <w:szCs w:val="24"/>
          <w:lang w:eastAsia="es-ES"/>
        </w:rPr>
        <w:t xml:space="preserve"> </w:t>
      </w:r>
      <w:r w:rsidR="00001AD2" w:rsidRPr="00B53167">
        <w:rPr>
          <w:rStyle w:val="Refdenotaalpie"/>
          <w:rFonts w:ascii="Times New Roman" w:eastAsia="Times New Roman" w:hAnsi="Times New Roman" w:cs="Times New Roman"/>
          <w:bCs/>
          <w:sz w:val="24"/>
          <w:szCs w:val="24"/>
          <w:lang w:eastAsia="es-ES"/>
        </w:rPr>
        <w:footnoteReference w:id="13"/>
      </w:r>
    </w:p>
    <w:p w14:paraId="5C5E4E13" w14:textId="77777777" w:rsidR="00752D01" w:rsidRPr="00752D01" w:rsidRDefault="00752D01" w:rsidP="00752D01">
      <w:pPr>
        <w:widowControl w:val="0"/>
        <w:spacing w:after="0" w:line="240" w:lineRule="auto"/>
        <w:ind w:right="283"/>
        <w:jc w:val="both"/>
        <w:rPr>
          <w:rFonts w:ascii="Times New Roman" w:eastAsia="Times New Roman" w:hAnsi="Times New Roman" w:cs="Times New Roman"/>
          <w:sz w:val="24"/>
          <w:szCs w:val="24"/>
          <w:lang w:eastAsia="es-ES"/>
        </w:rPr>
      </w:pPr>
      <w:r w:rsidRPr="00752D01">
        <w:rPr>
          <w:rFonts w:ascii="Times New Roman" w:eastAsia="Times New Roman" w:hAnsi="Times New Roman" w:cs="Times New Roman"/>
          <w:sz w:val="24"/>
          <w:szCs w:val="24"/>
          <w:lang w:eastAsia="es-ES"/>
        </w:rPr>
        <w:t>La valuación actuarial de los regímenes debe realizarse una vez al año.</w:t>
      </w:r>
    </w:p>
    <w:p w14:paraId="28E610E9" w14:textId="77777777" w:rsidR="00752D01" w:rsidRPr="00752D01" w:rsidRDefault="00752D01" w:rsidP="00752D01">
      <w:pPr>
        <w:widowControl w:val="0"/>
        <w:spacing w:after="0" w:line="240" w:lineRule="auto"/>
        <w:ind w:right="283"/>
        <w:jc w:val="both"/>
        <w:rPr>
          <w:rFonts w:ascii="Times New Roman" w:eastAsia="Times New Roman" w:hAnsi="Times New Roman" w:cs="Times New Roman"/>
          <w:sz w:val="24"/>
          <w:szCs w:val="24"/>
          <w:lang w:eastAsia="es-ES"/>
        </w:rPr>
      </w:pPr>
    </w:p>
    <w:p w14:paraId="1D23849A" w14:textId="77777777" w:rsidR="00752D01" w:rsidRPr="00752D01" w:rsidRDefault="00752D01" w:rsidP="00752D01">
      <w:pPr>
        <w:widowControl w:val="0"/>
        <w:spacing w:after="0" w:line="240" w:lineRule="auto"/>
        <w:ind w:right="283"/>
        <w:jc w:val="both"/>
        <w:rPr>
          <w:rFonts w:ascii="Times New Roman" w:eastAsia="Times New Roman" w:hAnsi="Times New Roman" w:cs="Times New Roman"/>
          <w:sz w:val="24"/>
          <w:szCs w:val="24"/>
          <w:lang w:eastAsia="es-ES"/>
        </w:rPr>
      </w:pPr>
      <w:r w:rsidRPr="00752D01">
        <w:rPr>
          <w:rFonts w:ascii="Times New Roman" w:eastAsia="Times New Roman" w:hAnsi="Times New Roman" w:cs="Times New Roman"/>
          <w:sz w:val="24"/>
          <w:szCs w:val="24"/>
          <w:lang w:eastAsia="es-ES"/>
        </w:rPr>
        <w:t>Adicionalmente, deberán realizarse valuaciones actuariales cuando se propongan cambios en los perfiles de requisitos y beneficios de los regímenes o cuando existan fundados indicios de que el comportamiento del régimen pudiera derivar en un desequilibrio financiero o actuarial, a juicio del Órgano de Dirección del Régimen o a solicitud de la SUPEN.</w:t>
      </w:r>
    </w:p>
    <w:p w14:paraId="76A2C622" w14:textId="77777777" w:rsidR="00752D01" w:rsidRPr="00752D01" w:rsidRDefault="00752D01" w:rsidP="00752D01">
      <w:pPr>
        <w:widowControl w:val="0"/>
        <w:spacing w:after="0" w:line="240" w:lineRule="auto"/>
        <w:ind w:right="283"/>
        <w:jc w:val="both"/>
        <w:rPr>
          <w:rFonts w:ascii="Times New Roman" w:eastAsia="Times New Roman" w:hAnsi="Times New Roman" w:cs="Times New Roman"/>
          <w:sz w:val="24"/>
          <w:szCs w:val="24"/>
          <w:lang w:eastAsia="es-ES"/>
        </w:rPr>
      </w:pPr>
    </w:p>
    <w:p w14:paraId="125B38DF" w14:textId="30534340" w:rsidR="005275B5" w:rsidRDefault="00752D01" w:rsidP="00752D01">
      <w:pPr>
        <w:widowControl w:val="0"/>
        <w:spacing w:after="0" w:line="240" w:lineRule="auto"/>
        <w:ind w:right="283"/>
        <w:jc w:val="both"/>
        <w:rPr>
          <w:rFonts w:ascii="Times New Roman" w:eastAsia="Times New Roman" w:hAnsi="Times New Roman" w:cs="Times New Roman"/>
          <w:sz w:val="24"/>
          <w:szCs w:val="24"/>
          <w:lang w:eastAsia="es-ES"/>
        </w:rPr>
      </w:pPr>
      <w:r w:rsidRPr="00752D01">
        <w:rPr>
          <w:rFonts w:ascii="Times New Roman" w:eastAsia="Times New Roman" w:hAnsi="Times New Roman" w:cs="Times New Roman"/>
          <w:sz w:val="24"/>
          <w:szCs w:val="24"/>
          <w:lang w:eastAsia="es-ES"/>
        </w:rPr>
        <w:t>El Superintendente, mediante resolución razonada, puede variar la frecuencia de las valuaciones actuariales, según el análisis del riesgo de solvencia del fondo que se realice para tales efectos.</w:t>
      </w:r>
    </w:p>
    <w:p w14:paraId="0547BC41" w14:textId="77777777" w:rsidR="00752D01" w:rsidRPr="005275B5" w:rsidRDefault="00752D01" w:rsidP="00752D01">
      <w:pPr>
        <w:widowControl w:val="0"/>
        <w:spacing w:after="0" w:line="240" w:lineRule="auto"/>
        <w:ind w:right="283"/>
        <w:jc w:val="both"/>
        <w:rPr>
          <w:rFonts w:ascii="Times New Roman" w:eastAsia="Times New Roman" w:hAnsi="Times New Roman" w:cs="Times New Roman"/>
          <w:sz w:val="24"/>
          <w:szCs w:val="24"/>
          <w:lang w:eastAsia="es-ES"/>
        </w:rPr>
      </w:pPr>
    </w:p>
    <w:p w14:paraId="614F07EB" w14:textId="026E9206" w:rsidR="00D45505" w:rsidRPr="00B53167" w:rsidRDefault="005275B5" w:rsidP="00D45505">
      <w:pPr>
        <w:widowControl w:val="0"/>
        <w:spacing w:after="0" w:line="240" w:lineRule="auto"/>
        <w:ind w:left="284" w:right="283" w:hanging="284"/>
        <w:jc w:val="both"/>
        <w:rPr>
          <w:rFonts w:ascii="Times New Roman" w:eastAsia="Times New Roman" w:hAnsi="Times New Roman" w:cs="Times New Roman"/>
          <w:bCs/>
          <w:sz w:val="24"/>
          <w:szCs w:val="24"/>
          <w:lang w:eastAsia="es-ES"/>
        </w:rPr>
      </w:pPr>
      <w:r w:rsidRPr="005275B5">
        <w:rPr>
          <w:rFonts w:ascii="Times New Roman" w:eastAsia="Times New Roman" w:hAnsi="Times New Roman" w:cs="Times New Roman"/>
          <w:b/>
          <w:sz w:val="24"/>
          <w:szCs w:val="24"/>
          <w:lang w:eastAsia="es-ES"/>
        </w:rPr>
        <w:t>Artículo 9. Disposiciones para regímenes cerrados o en liquidación</w:t>
      </w:r>
      <w:r w:rsidR="0053748F">
        <w:rPr>
          <w:rStyle w:val="Refdenotaalpie"/>
          <w:rFonts w:ascii="Times New Roman" w:eastAsia="Times New Roman" w:hAnsi="Times New Roman" w:cs="Times New Roman"/>
          <w:sz w:val="24"/>
          <w:szCs w:val="24"/>
          <w:lang w:eastAsia="es-ES"/>
        </w:rPr>
        <w:footnoteReference w:id="14"/>
      </w:r>
      <w:r w:rsidR="00B53167">
        <w:rPr>
          <w:rFonts w:ascii="Times New Roman" w:eastAsia="Times New Roman" w:hAnsi="Times New Roman" w:cs="Times New Roman"/>
          <w:b/>
          <w:sz w:val="24"/>
          <w:szCs w:val="24"/>
          <w:lang w:eastAsia="es-ES"/>
        </w:rPr>
        <w:t xml:space="preserve"> </w:t>
      </w:r>
      <w:r w:rsidR="00B53167" w:rsidRPr="00B53167">
        <w:rPr>
          <w:rStyle w:val="Refdenotaalpie"/>
          <w:rFonts w:ascii="Times New Roman" w:eastAsia="Times New Roman" w:hAnsi="Times New Roman" w:cs="Times New Roman"/>
          <w:bCs/>
          <w:sz w:val="24"/>
          <w:szCs w:val="24"/>
          <w:lang w:eastAsia="es-ES"/>
        </w:rPr>
        <w:footnoteReference w:id="15"/>
      </w:r>
    </w:p>
    <w:p w14:paraId="125B38E1" w14:textId="42A0D702" w:rsidR="005275B5" w:rsidRPr="00BD5332" w:rsidRDefault="00BD5332" w:rsidP="005275B5">
      <w:pPr>
        <w:widowControl w:val="0"/>
        <w:spacing w:after="0" w:line="240" w:lineRule="auto"/>
        <w:ind w:right="283"/>
        <w:jc w:val="both"/>
        <w:rPr>
          <w:rFonts w:ascii="Times New Roman" w:eastAsia="Times New Roman" w:hAnsi="Times New Roman" w:cs="Times New Roman"/>
          <w:sz w:val="24"/>
          <w:szCs w:val="24"/>
          <w:lang w:eastAsia="es-ES"/>
        </w:rPr>
      </w:pPr>
      <w:r w:rsidRPr="00BD5332">
        <w:rPr>
          <w:rFonts w:ascii="Times New Roman" w:eastAsia="Times New Roman" w:hAnsi="Times New Roman" w:cs="Times New Roman"/>
          <w:sz w:val="24"/>
          <w:szCs w:val="24"/>
          <w:lang w:eastAsia="es-ES"/>
        </w:rPr>
        <w:t xml:space="preserve">Cuando se trate de regímenes de pensión cerrados, en liquidación o abolición, el Superintendente, mediante acuerdo, puede establecer una frecuencia diferenciada para realizar las valuaciones actuariales y la auditoría actuarial a que se refiere el artículo 19 </w:t>
      </w:r>
      <w:r w:rsidRPr="00BD5332">
        <w:rPr>
          <w:rFonts w:ascii="Times New Roman" w:eastAsia="Times New Roman" w:hAnsi="Times New Roman" w:cs="Times New Roman"/>
          <w:sz w:val="24"/>
          <w:szCs w:val="24"/>
          <w:lang w:eastAsia="es-ES"/>
        </w:rPr>
        <w:lastRenderedPageBreak/>
        <w:t>de este Reglamento; eximirlos de la presentación de las valuaciones y auditorías; o bien, requerir un informe actuarial específico y la frecuencia con que debe enviarse a la Superintendencia de Pensiones</w:t>
      </w:r>
      <w:r w:rsidR="005275B5" w:rsidRPr="00D45505">
        <w:rPr>
          <w:rFonts w:ascii="Times New Roman" w:eastAsia="Times New Roman" w:hAnsi="Times New Roman" w:cs="Times New Roman"/>
          <w:sz w:val="24"/>
          <w:szCs w:val="24"/>
          <w:lang w:eastAsia="es-ES"/>
        </w:rPr>
        <w:t>.</w:t>
      </w:r>
    </w:p>
    <w:p w14:paraId="125B38E2"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E3"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10. Fecha de la valuación</w:t>
      </w:r>
    </w:p>
    <w:p w14:paraId="125B38E4"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 xml:space="preserve">Las valuaciones actuariales anuales deben contener información con corte al 31 de diciembre de cada año. </w:t>
      </w:r>
    </w:p>
    <w:p w14:paraId="125B38E5"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E6"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Cuando se trate de valuaciones que propongan cambios en los perfiles de requisitos y beneficios o solicitudes de la SUPEN, debe utilizarse la información más reciente con que cuente el régimen, la que, en todo caso, no debe tener más de tres meses de antigüedad respecto de la fecha de realización del estudio.</w:t>
      </w:r>
    </w:p>
    <w:p w14:paraId="125B38E7" w14:textId="0437D0C4" w:rsidR="005275B5" w:rsidRPr="005275B5" w:rsidRDefault="00B87ADB" w:rsidP="005275B5">
      <w:pPr>
        <w:widowControl w:val="0"/>
        <w:spacing w:after="0" w:line="240" w:lineRule="auto"/>
        <w:ind w:right="283" w:hanging="284"/>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14:paraId="125B38E8" w14:textId="6C5091E4"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11. Contenido del informe de la valuación actuarial anual</w:t>
      </w:r>
      <w:r w:rsidR="00B87ADB">
        <w:rPr>
          <w:rFonts w:ascii="Times New Roman" w:eastAsia="Times New Roman" w:hAnsi="Times New Roman" w:cs="Times New Roman"/>
          <w:b/>
          <w:sz w:val="24"/>
          <w:szCs w:val="24"/>
          <w:lang w:eastAsia="es-ES"/>
        </w:rPr>
        <w:t xml:space="preserve"> </w:t>
      </w:r>
      <w:r w:rsidR="00F86B53" w:rsidRPr="00B87ADB">
        <w:rPr>
          <w:rStyle w:val="Refdenotaalpie"/>
          <w:rFonts w:ascii="Times New Roman" w:eastAsia="Times New Roman" w:hAnsi="Times New Roman" w:cs="Times New Roman"/>
          <w:bCs/>
          <w:sz w:val="24"/>
          <w:szCs w:val="24"/>
          <w:lang w:eastAsia="es-ES"/>
        </w:rPr>
        <w:footnoteReference w:id="16"/>
      </w:r>
    </w:p>
    <w:p w14:paraId="125B38E9"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informe que elabore el actuario para comunicar los resultados de la valuación actuarial anual debe contener, al menos, lo siguiente:</w:t>
      </w:r>
    </w:p>
    <w:p w14:paraId="125B38EA"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8EB"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a)</w:t>
      </w:r>
      <w:r w:rsidRPr="005275B5">
        <w:rPr>
          <w:rFonts w:ascii="Times New Roman" w:eastAsia="Times New Roman" w:hAnsi="Times New Roman" w:cs="Times New Roman"/>
          <w:sz w:val="24"/>
          <w:szCs w:val="24"/>
          <w:lang w:eastAsia="es-ES"/>
        </w:rPr>
        <w:tab/>
        <w:t>Información general: Debe indicarse el régimen objeto de la valuación, el período valuado, la fecha de la valuación y el nombre del actuario responsable de la valuación.</w:t>
      </w:r>
    </w:p>
    <w:p w14:paraId="125B38EC"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b)</w:t>
      </w:r>
      <w:r w:rsidRPr="005275B5">
        <w:rPr>
          <w:rFonts w:ascii="Times New Roman" w:eastAsia="Times New Roman" w:hAnsi="Times New Roman" w:cs="Times New Roman"/>
          <w:sz w:val="24"/>
          <w:szCs w:val="24"/>
          <w:lang w:eastAsia="es-ES"/>
        </w:rPr>
        <w:tab/>
        <w:t>Resumen ejecutivo: En esta sección se deben resumir los principales hallazgos y recomendaciones de la valuación.</w:t>
      </w:r>
    </w:p>
    <w:p w14:paraId="125B38ED"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c)</w:t>
      </w:r>
      <w:r w:rsidRPr="005275B5">
        <w:rPr>
          <w:rFonts w:ascii="Times New Roman" w:eastAsia="Times New Roman" w:hAnsi="Times New Roman" w:cs="Times New Roman"/>
          <w:sz w:val="24"/>
          <w:szCs w:val="24"/>
          <w:lang w:eastAsia="es-ES"/>
        </w:rPr>
        <w:tab/>
        <w:t>Contexto económico: Analizar la evolución de, al menos, las siguientes variables: inflación, tasas de interés experimentadas y esperadas en el país, comportamiento de los salarios y pensiones. En el caso de los regímenes tipo 2 y tipo 3 las variables a analizar deben ser las que están relacionadas con el régimen.</w:t>
      </w:r>
    </w:p>
    <w:p w14:paraId="125B38EE"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d)</w:t>
      </w:r>
      <w:r w:rsidRPr="005275B5">
        <w:rPr>
          <w:rFonts w:ascii="Times New Roman" w:eastAsia="Times New Roman" w:hAnsi="Times New Roman" w:cs="Times New Roman"/>
          <w:sz w:val="24"/>
          <w:szCs w:val="24"/>
          <w:lang w:eastAsia="es-ES"/>
        </w:rPr>
        <w:tab/>
        <w:t>Contexto demográfico: Analizar la evolución de, al menos, las siguientes variables: estructura de la población, población activa y pensionada (edad, antigüedad y sexo), comportamiento de altas y bajas de afiliados y pensionados, desempleo, cobertura del régimen, indicadores demográficos. En el caso de los regímenes tipo 2 y tipo 3 las variables a analizar deben ser las que están relacionadas con el régimen.</w:t>
      </w:r>
    </w:p>
    <w:p w14:paraId="125B38EF"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w:t>
      </w:r>
      <w:r w:rsidRPr="005275B5">
        <w:rPr>
          <w:rFonts w:ascii="Times New Roman" w:eastAsia="Times New Roman" w:hAnsi="Times New Roman" w:cs="Times New Roman"/>
          <w:sz w:val="24"/>
          <w:szCs w:val="24"/>
          <w:lang w:eastAsia="es-ES"/>
        </w:rPr>
        <w:tab/>
        <w:t>Análisis de la situación actual del régimen. Los principales elementos que debe contener esta sección son:</w:t>
      </w:r>
    </w:p>
    <w:p w14:paraId="125B38F0" w14:textId="77777777" w:rsidR="005275B5" w:rsidRPr="005275B5" w:rsidRDefault="005275B5" w:rsidP="005275B5">
      <w:pPr>
        <w:widowControl w:val="0"/>
        <w:spacing w:after="0" w:line="240" w:lineRule="auto"/>
        <w:ind w:left="113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w:t>
      </w:r>
      <w:r w:rsidRPr="005275B5">
        <w:rPr>
          <w:rFonts w:ascii="Times New Roman" w:eastAsia="Times New Roman" w:hAnsi="Times New Roman" w:cs="Times New Roman"/>
          <w:sz w:val="24"/>
          <w:szCs w:val="24"/>
          <w:lang w:eastAsia="es-ES"/>
        </w:rPr>
        <w:tab/>
        <w:t>Situación de las provisiones y reservas con que cuenta el régimen y su comportamiento.</w:t>
      </w:r>
    </w:p>
    <w:p w14:paraId="125B38F1" w14:textId="77777777" w:rsidR="005275B5" w:rsidRPr="005275B5" w:rsidRDefault="005275B5" w:rsidP="005275B5">
      <w:pPr>
        <w:widowControl w:val="0"/>
        <w:spacing w:after="0" w:line="240" w:lineRule="auto"/>
        <w:ind w:left="113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ii.</w:t>
      </w:r>
      <w:r w:rsidRPr="005275B5">
        <w:rPr>
          <w:rFonts w:ascii="Times New Roman" w:eastAsia="Times New Roman" w:hAnsi="Times New Roman" w:cs="Times New Roman"/>
          <w:sz w:val="24"/>
          <w:szCs w:val="24"/>
          <w:lang w:eastAsia="es-ES"/>
        </w:rPr>
        <w:tab/>
        <w:t>Marco legal. Si la valuación actuarial propone cambios en el mismo debe referirse a las implicaciones en la situación financiera y actuarial del régimen.</w:t>
      </w:r>
    </w:p>
    <w:p w14:paraId="125B38F2" w14:textId="77777777" w:rsidR="005275B5" w:rsidRPr="005275B5" w:rsidRDefault="005275B5" w:rsidP="005275B5">
      <w:pPr>
        <w:widowControl w:val="0"/>
        <w:spacing w:after="0" w:line="240" w:lineRule="auto"/>
        <w:ind w:left="113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iii.</w:t>
      </w:r>
      <w:r w:rsidRPr="005275B5">
        <w:rPr>
          <w:rFonts w:ascii="Times New Roman" w:eastAsia="Times New Roman" w:hAnsi="Times New Roman" w:cs="Times New Roman"/>
          <w:sz w:val="24"/>
          <w:szCs w:val="24"/>
          <w:lang w:eastAsia="es-ES"/>
        </w:rPr>
        <w:tab/>
        <w:t>Análisis del comportamiento de las inversiones, los gastos de administración y cualquier otra variable financiera que afecte el desempeño del régimen.</w:t>
      </w:r>
    </w:p>
    <w:p w14:paraId="125B38F3"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f)</w:t>
      </w:r>
      <w:r w:rsidRPr="005275B5">
        <w:rPr>
          <w:rFonts w:ascii="Times New Roman" w:eastAsia="Times New Roman" w:hAnsi="Times New Roman" w:cs="Times New Roman"/>
          <w:sz w:val="24"/>
          <w:szCs w:val="24"/>
          <w:lang w:eastAsia="es-ES"/>
        </w:rPr>
        <w:tab/>
        <w:t>Metodología. Método de valuación y procedimientos utilizados.</w:t>
      </w:r>
    </w:p>
    <w:p w14:paraId="125B38F4"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g)</w:t>
      </w:r>
      <w:r w:rsidRPr="005275B5">
        <w:rPr>
          <w:rFonts w:ascii="Times New Roman" w:eastAsia="Times New Roman" w:hAnsi="Times New Roman" w:cs="Times New Roman"/>
          <w:sz w:val="24"/>
          <w:szCs w:val="24"/>
          <w:lang w:eastAsia="es-ES"/>
        </w:rPr>
        <w:tab/>
        <w:t>Bases de Datos y supuestos: Comentarios sobre la calidad y la fuente de la información, así como los supuestos utilizados y su justificación.</w:t>
      </w:r>
    </w:p>
    <w:p w14:paraId="125B38F5"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h)</w:t>
      </w:r>
      <w:r w:rsidRPr="005275B5">
        <w:rPr>
          <w:rFonts w:ascii="Times New Roman" w:eastAsia="Times New Roman" w:hAnsi="Times New Roman" w:cs="Times New Roman"/>
          <w:sz w:val="24"/>
          <w:szCs w:val="24"/>
          <w:lang w:eastAsia="es-ES"/>
        </w:rPr>
        <w:tab/>
        <w:t>Resultados. Esta sección debe contener, al menos, los siguientes componentes:</w:t>
      </w:r>
    </w:p>
    <w:p w14:paraId="125B38F6" w14:textId="209C1232" w:rsid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w:t>
      </w:r>
      <w:r w:rsidRPr="005275B5">
        <w:rPr>
          <w:rFonts w:ascii="Times New Roman" w:eastAsia="Times New Roman" w:hAnsi="Times New Roman" w:cs="Times New Roman"/>
          <w:sz w:val="24"/>
          <w:szCs w:val="24"/>
          <w:lang w:eastAsia="es-ES"/>
        </w:rPr>
        <w:tab/>
        <w:t xml:space="preserve">Resultados del escenario base de acuerdo con lo establecido en el artículo siete. </w:t>
      </w:r>
    </w:p>
    <w:p w14:paraId="1E72CE86" w14:textId="0B4C5F4B" w:rsidR="00B440F4" w:rsidRPr="005275B5" w:rsidRDefault="00B440F4"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r>
      <w:r w:rsidR="00F86B53" w:rsidRPr="00F86B53">
        <w:rPr>
          <w:rFonts w:ascii="Times New Roman" w:eastAsia="Times New Roman" w:hAnsi="Times New Roman" w:cs="Times New Roman"/>
          <w:sz w:val="24"/>
          <w:szCs w:val="24"/>
          <w:lang w:eastAsia="es-ES"/>
        </w:rPr>
        <w:t>En caso de que el supuesto de revalorización de pensiones en el escenario base de la valuación actuarial anual sea distinto a la inflación, se debe presentar un escenario adicional con los mismos supuestos, pero con una revalorización igual a inflación</w:t>
      </w:r>
      <w:r w:rsidR="00F86B53">
        <w:rPr>
          <w:rFonts w:ascii="Times New Roman" w:eastAsia="Times New Roman" w:hAnsi="Times New Roman" w:cs="Times New Roman"/>
          <w:sz w:val="24"/>
          <w:szCs w:val="24"/>
          <w:lang w:eastAsia="es-ES"/>
        </w:rPr>
        <w:t>.</w:t>
      </w:r>
    </w:p>
    <w:p w14:paraId="125B38F7"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ii.</w:t>
      </w:r>
      <w:r w:rsidRPr="005275B5">
        <w:rPr>
          <w:rFonts w:ascii="Times New Roman" w:eastAsia="Times New Roman" w:hAnsi="Times New Roman" w:cs="Times New Roman"/>
          <w:sz w:val="24"/>
          <w:szCs w:val="24"/>
          <w:lang w:eastAsia="es-ES"/>
        </w:rPr>
        <w:tab/>
        <w:t>Comparación de los resultados obtenidos en el escenario base con los obtenidos en el escenario base del informe actuarial anterior, incluyendo el análisis de pérdidas y ganancias y un comparativo de las poblaciones esperadas y efectivas.</w:t>
      </w:r>
    </w:p>
    <w:p w14:paraId="125B38F8"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iii.</w:t>
      </w:r>
      <w:r w:rsidRPr="005275B5">
        <w:rPr>
          <w:rFonts w:ascii="Times New Roman" w:eastAsia="Times New Roman" w:hAnsi="Times New Roman" w:cs="Times New Roman"/>
          <w:sz w:val="24"/>
          <w:szCs w:val="24"/>
          <w:lang w:eastAsia="es-ES"/>
        </w:rPr>
        <w:tab/>
        <w:t>Análisis de sensibilidad (variaciones en los resultados obtenidos a partir de la modificación de algunos parámetros críticos).</w:t>
      </w:r>
    </w:p>
    <w:p w14:paraId="125B38F9"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iv.</w:t>
      </w:r>
      <w:r w:rsidRPr="005275B5">
        <w:rPr>
          <w:rFonts w:ascii="Times New Roman" w:eastAsia="Times New Roman" w:hAnsi="Times New Roman" w:cs="Times New Roman"/>
          <w:sz w:val="24"/>
          <w:szCs w:val="24"/>
          <w:lang w:eastAsia="es-ES"/>
        </w:rPr>
        <w:tab/>
        <w:t>Valoración con reformas propuestas (resultados de la proyección base, incorporando modificaciones legales propuestas en caso de que las hubiere).</w:t>
      </w:r>
    </w:p>
    <w:p w14:paraId="125B38FA"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En todos los escenarios debe presentarse el balance actuarial correspondiente y la prima media nivelada. En los regímenes tipo 2 y tipo 3 también debe presentarse el balance actuarial con beneficios devengados.</w:t>
      </w:r>
    </w:p>
    <w:p w14:paraId="125B38FB"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En caso de que se utilice el método de proyecciones, deben incluirse en el informe, al menos, las siguientes:</w:t>
      </w:r>
    </w:p>
    <w:p w14:paraId="125B38FC"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w:t>
      </w:r>
      <w:r w:rsidRPr="005275B5">
        <w:rPr>
          <w:rFonts w:ascii="Times New Roman" w:eastAsia="Times New Roman" w:hAnsi="Times New Roman" w:cs="Times New Roman"/>
          <w:sz w:val="24"/>
          <w:szCs w:val="24"/>
          <w:lang w:eastAsia="es-ES"/>
        </w:rPr>
        <w:tab/>
        <w:t>Proyecciones demográficas por año de la población activa y pensionada.</w:t>
      </w:r>
    </w:p>
    <w:p w14:paraId="125B38FD"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ii.</w:t>
      </w:r>
      <w:r w:rsidRPr="005275B5">
        <w:rPr>
          <w:rFonts w:ascii="Times New Roman" w:eastAsia="Times New Roman" w:hAnsi="Times New Roman" w:cs="Times New Roman"/>
          <w:sz w:val="24"/>
          <w:szCs w:val="24"/>
          <w:lang w:eastAsia="es-ES"/>
        </w:rPr>
        <w:tab/>
        <w:t>Proyecciones financieras por año, de los salarios, ingresos y egresos por pago de beneficios correspondientes a los riesgos cubiertos por el régimen y otros gastos administrativos.</w:t>
      </w:r>
    </w:p>
    <w:p w14:paraId="125B38FE"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iii.</w:t>
      </w:r>
      <w:r w:rsidRPr="005275B5">
        <w:rPr>
          <w:rFonts w:ascii="Times New Roman" w:eastAsia="Times New Roman" w:hAnsi="Times New Roman" w:cs="Times New Roman"/>
          <w:sz w:val="24"/>
          <w:szCs w:val="24"/>
          <w:lang w:eastAsia="es-ES"/>
        </w:rPr>
        <w:tab/>
        <w:t>Proyección anual del comportamiento de las provisiones del régimen.</w:t>
      </w:r>
    </w:p>
    <w:p w14:paraId="125B38FF"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iv.</w:t>
      </w:r>
      <w:r w:rsidRPr="005275B5">
        <w:rPr>
          <w:rFonts w:ascii="Times New Roman" w:eastAsia="Times New Roman" w:hAnsi="Times New Roman" w:cs="Times New Roman"/>
          <w:sz w:val="24"/>
          <w:szCs w:val="24"/>
          <w:lang w:eastAsia="es-ES"/>
        </w:rPr>
        <w:tab/>
        <w:t>Proyección de la tasa de cotización necesaria para financiar los beneficios del régimen.</w:t>
      </w:r>
    </w:p>
    <w:p w14:paraId="125B3900"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v.</w:t>
      </w:r>
      <w:r w:rsidRPr="005275B5">
        <w:rPr>
          <w:rFonts w:ascii="Times New Roman" w:eastAsia="Times New Roman" w:hAnsi="Times New Roman" w:cs="Times New Roman"/>
          <w:sz w:val="24"/>
          <w:szCs w:val="24"/>
          <w:lang w:eastAsia="es-ES"/>
        </w:rPr>
        <w:tab/>
        <w:t>Proyección de la tasa de cotización necesaria para financiar los beneficios del régimen, bajo hipótesis de un sistema alternativo de financiamiento, en caso de presentarse problemas de financiamiento en el régimen.</w:t>
      </w:r>
    </w:p>
    <w:p w14:paraId="125B3901"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vi.</w:t>
      </w:r>
      <w:r w:rsidRPr="005275B5">
        <w:rPr>
          <w:rFonts w:ascii="Times New Roman" w:eastAsia="Times New Roman" w:hAnsi="Times New Roman" w:cs="Times New Roman"/>
          <w:sz w:val="24"/>
          <w:szCs w:val="24"/>
          <w:lang w:eastAsia="es-ES"/>
        </w:rPr>
        <w:tab/>
        <w:t>De acuerdo con las definiciones del artículo tres, mostrar los siguientes indicadores:</w:t>
      </w:r>
    </w:p>
    <w:p w14:paraId="125B3902" w14:textId="77777777" w:rsidR="005275B5" w:rsidRPr="005275B5" w:rsidRDefault="005275B5" w:rsidP="005275B5">
      <w:pPr>
        <w:widowControl w:val="0"/>
        <w:spacing w:after="0" w:line="240" w:lineRule="auto"/>
        <w:ind w:left="113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 Corto plazo (anual):</w:t>
      </w:r>
      <w:r w:rsidRPr="005275B5">
        <w:rPr>
          <w:rFonts w:ascii="Times New Roman" w:eastAsia="Times New Roman" w:hAnsi="Times New Roman" w:cs="Times New Roman"/>
          <w:sz w:val="24"/>
          <w:szCs w:val="24"/>
          <w:lang w:eastAsia="es-ES"/>
        </w:rPr>
        <w:t xml:space="preserve"> La razón del fondo para contingencias.</w:t>
      </w:r>
    </w:p>
    <w:p w14:paraId="125B3903" w14:textId="77777777" w:rsidR="005275B5" w:rsidRPr="005275B5" w:rsidRDefault="005275B5" w:rsidP="005275B5">
      <w:pPr>
        <w:widowControl w:val="0"/>
        <w:spacing w:after="0" w:line="240" w:lineRule="auto"/>
        <w:ind w:left="113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b/>
          <w:sz w:val="24"/>
          <w:szCs w:val="24"/>
          <w:lang w:eastAsia="es-ES"/>
        </w:rPr>
        <w:t>- Largo plazo (75 años o más):</w:t>
      </w:r>
      <w:r w:rsidRPr="005275B5">
        <w:rPr>
          <w:rFonts w:ascii="Times New Roman" w:eastAsia="Times New Roman" w:hAnsi="Times New Roman" w:cs="Times New Roman"/>
          <w:sz w:val="24"/>
          <w:szCs w:val="24"/>
          <w:lang w:eastAsia="es-ES"/>
        </w:rPr>
        <w:t xml:space="preserve"> La tasa de ingresos y la tasa de costo.</w:t>
      </w:r>
    </w:p>
    <w:p w14:paraId="125B3904"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w:t>
      </w:r>
      <w:r w:rsidRPr="005275B5">
        <w:rPr>
          <w:rFonts w:ascii="Times New Roman" w:eastAsia="Times New Roman" w:hAnsi="Times New Roman" w:cs="Times New Roman"/>
          <w:sz w:val="24"/>
          <w:szCs w:val="24"/>
          <w:lang w:eastAsia="es-ES"/>
        </w:rPr>
        <w:tab/>
        <w:t xml:space="preserve">Conclusiones y recomendaciones: </w:t>
      </w:r>
    </w:p>
    <w:p w14:paraId="125B3905" w14:textId="77777777" w:rsidR="005275B5" w:rsidRPr="005275B5" w:rsidRDefault="005275B5" w:rsidP="005275B5">
      <w:pPr>
        <w:widowControl w:val="0"/>
        <w:spacing w:after="0" w:line="240" w:lineRule="auto"/>
        <w:ind w:left="567"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Para el régimen tipo 1, se sugiere que las recomendaciones estén referidas al escenario base con población abierta.</w:t>
      </w:r>
    </w:p>
    <w:p w14:paraId="125B3906" w14:textId="77777777" w:rsidR="005275B5" w:rsidRPr="005275B5" w:rsidRDefault="005275B5" w:rsidP="005275B5">
      <w:pPr>
        <w:widowControl w:val="0"/>
        <w:spacing w:after="0" w:line="240" w:lineRule="auto"/>
        <w:ind w:left="567"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Para los regímenes tipo 2 y tipo 3 las recomendaciones deben estar referidas al escenario base con población cerrada y al escenario con beneficios devengados.</w:t>
      </w:r>
    </w:p>
    <w:p w14:paraId="125B3907" w14:textId="77777777" w:rsidR="005275B5" w:rsidRPr="005275B5" w:rsidRDefault="005275B5" w:rsidP="005275B5">
      <w:pPr>
        <w:widowControl w:val="0"/>
        <w:spacing w:after="0" w:line="240" w:lineRule="auto"/>
        <w:ind w:left="567"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 xml:space="preserve">En todos los casos, deben indicarse, como mínimo, las medidas que se recomienda adoptar para restablecer o preservar el equilibrio actuarial del régimen, las necesarias para cubrir los faltantes o manejar los excedentes en las provisiones, así como los pros y contras de esas medidas y el impacto esperado. </w:t>
      </w:r>
    </w:p>
    <w:p w14:paraId="125B3908" w14:textId="77777777" w:rsidR="005275B5" w:rsidRPr="005275B5" w:rsidRDefault="005275B5" w:rsidP="005275B5">
      <w:pPr>
        <w:widowControl w:val="0"/>
        <w:spacing w:after="0" w:line="240" w:lineRule="auto"/>
        <w:ind w:left="567"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De manera complementaria, los regímenes tipo 2 y 3 pueden presentar escenarios con población abierta.</w:t>
      </w:r>
    </w:p>
    <w:p w14:paraId="125B3909" w14:textId="77777777" w:rsidR="005275B5" w:rsidRPr="005275B5" w:rsidRDefault="005275B5" w:rsidP="005275B5">
      <w:pPr>
        <w:widowControl w:val="0"/>
        <w:spacing w:after="0" w:line="240" w:lineRule="auto"/>
        <w:ind w:left="567"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actuario debe emitir una opinión clara, precisa, objetiva y técnica en relación con la solvencia del régimen de pensión objeto de la valuación.</w:t>
      </w:r>
    </w:p>
    <w:p w14:paraId="125B390A"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0B"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 xml:space="preserve">Cuando se requiera, a juicio del actuario, se presentará en anexos la información relevante del régimen que por razones prácticas no se incluya en el cuerpo del informe. </w:t>
      </w:r>
    </w:p>
    <w:p w14:paraId="125B390C"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0D"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 xml:space="preserve">Los informes que correspondan a otras valuaciones actuariales, diferentes de la anual, </w:t>
      </w:r>
      <w:r w:rsidRPr="005275B5">
        <w:rPr>
          <w:rFonts w:ascii="Times New Roman" w:eastAsia="Times New Roman" w:hAnsi="Times New Roman" w:cs="Times New Roman"/>
          <w:sz w:val="24"/>
          <w:szCs w:val="24"/>
          <w:lang w:eastAsia="es-ES"/>
        </w:rPr>
        <w:lastRenderedPageBreak/>
        <w:t>observarán el contenido establecido en el presente artículo en cuanto resulte pertinente.</w:t>
      </w:r>
    </w:p>
    <w:p w14:paraId="125B390E"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0F" w14:textId="43627BE0"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12. Plan de Recuperación</w:t>
      </w:r>
      <w:r w:rsidR="00310528" w:rsidRPr="00CD5DE2">
        <w:rPr>
          <w:rStyle w:val="Refdenotaalpie"/>
          <w:rFonts w:ascii="Times New Roman" w:eastAsia="Times New Roman" w:hAnsi="Times New Roman" w:cs="Times New Roman"/>
          <w:bCs/>
          <w:sz w:val="24"/>
          <w:szCs w:val="24"/>
          <w:lang w:eastAsia="es-ES"/>
        </w:rPr>
        <w:footnoteReference w:id="17"/>
      </w:r>
    </w:p>
    <w:p w14:paraId="6080CA2A" w14:textId="77777777" w:rsidR="00310528" w:rsidRPr="00310528" w:rsidRDefault="00310528" w:rsidP="00310528">
      <w:pPr>
        <w:widowControl w:val="0"/>
        <w:spacing w:after="0" w:line="240" w:lineRule="auto"/>
        <w:ind w:right="283"/>
        <w:jc w:val="both"/>
        <w:rPr>
          <w:rFonts w:ascii="Times New Roman" w:eastAsia="Times New Roman" w:hAnsi="Times New Roman" w:cs="Times New Roman"/>
          <w:sz w:val="24"/>
          <w:szCs w:val="24"/>
          <w:lang w:eastAsia="es-ES"/>
        </w:rPr>
      </w:pPr>
      <w:r w:rsidRPr="00310528">
        <w:rPr>
          <w:rFonts w:ascii="Times New Roman" w:eastAsia="Times New Roman" w:hAnsi="Times New Roman" w:cs="Times New Roman"/>
          <w:sz w:val="24"/>
          <w:szCs w:val="24"/>
          <w:lang w:eastAsia="es-ES"/>
        </w:rPr>
        <w:t>El órgano de dirección debe elaborar y remitir a la SUPEN, para su correspondiente aprobación, un Plan de Recuperación cuando el resultado de la valuación actuarial presente alguna de las siguientes situaciones:</w:t>
      </w:r>
    </w:p>
    <w:p w14:paraId="47D89CE7" w14:textId="77777777" w:rsidR="00310528" w:rsidRPr="00310528" w:rsidRDefault="00310528" w:rsidP="00310528">
      <w:pPr>
        <w:widowControl w:val="0"/>
        <w:spacing w:after="0" w:line="240" w:lineRule="auto"/>
        <w:ind w:right="283"/>
        <w:jc w:val="both"/>
        <w:rPr>
          <w:rFonts w:ascii="Times New Roman" w:eastAsia="Times New Roman" w:hAnsi="Times New Roman" w:cs="Times New Roman"/>
          <w:sz w:val="24"/>
          <w:szCs w:val="24"/>
          <w:lang w:eastAsia="es-ES"/>
        </w:rPr>
      </w:pPr>
    </w:p>
    <w:p w14:paraId="5C08161E" w14:textId="01EB5BB3" w:rsidR="00310528" w:rsidRPr="00310528" w:rsidRDefault="00310528" w:rsidP="00310528">
      <w:pPr>
        <w:widowControl w:val="0"/>
        <w:spacing w:after="0" w:line="240" w:lineRule="auto"/>
        <w:ind w:right="283"/>
        <w:jc w:val="both"/>
        <w:rPr>
          <w:rFonts w:ascii="Times New Roman" w:eastAsia="Times New Roman" w:hAnsi="Times New Roman" w:cs="Times New Roman"/>
          <w:sz w:val="24"/>
          <w:szCs w:val="24"/>
          <w:lang w:eastAsia="es-ES"/>
        </w:rPr>
      </w:pPr>
      <w:r w:rsidRPr="00310528">
        <w:rPr>
          <w:rFonts w:ascii="Times New Roman" w:eastAsia="Times New Roman" w:hAnsi="Times New Roman" w:cs="Times New Roman"/>
          <w:sz w:val="24"/>
          <w:szCs w:val="24"/>
          <w:lang w:eastAsia="es-ES"/>
        </w:rPr>
        <w:t>a)</w:t>
      </w:r>
      <w:r>
        <w:rPr>
          <w:rFonts w:ascii="Times New Roman" w:eastAsia="Times New Roman" w:hAnsi="Times New Roman" w:cs="Times New Roman"/>
          <w:sz w:val="24"/>
          <w:szCs w:val="24"/>
          <w:lang w:eastAsia="es-ES"/>
        </w:rPr>
        <w:t xml:space="preserve"> </w:t>
      </w:r>
      <w:r w:rsidRPr="00310528">
        <w:rPr>
          <w:rFonts w:ascii="Times New Roman" w:eastAsia="Times New Roman" w:hAnsi="Times New Roman" w:cs="Times New Roman"/>
          <w:sz w:val="24"/>
          <w:szCs w:val="24"/>
          <w:lang w:eastAsia="es-ES"/>
        </w:rPr>
        <w:t>La provisión de pensiones en curso de pago del régimen no está constituida al 100%.</w:t>
      </w:r>
    </w:p>
    <w:p w14:paraId="3D4572B0" w14:textId="7D50FEF1" w:rsidR="00310528" w:rsidRPr="00310528" w:rsidRDefault="00310528" w:rsidP="00310528">
      <w:pPr>
        <w:widowControl w:val="0"/>
        <w:spacing w:after="0" w:line="240" w:lineRule="auto"/>
        <w:ind w:right="283"/>
        <w:jc w:val="both"/>
        <w:rPr>
          <w:rFonts w:ascii="Times New Roman" w:eastAsia="Times New Roman" w:hAnsi="Times New Roman" w:cs="Times New Roman"/>
          <w:sz w:val="24"/>
          <w:szCs w:val="24"/>
          <w:lang w:eastAsia="es-ES"/>
        </w:rPr>
      </w:pPr>
      <w:r w:rsidRPr="00310528">
        <w:rPr>
          <w:rFonts w:ascii="Times New Roman" w:eastAsia="Times New Roman" w:hAnsi="Times New Roman" w:cs="Times New Roman"/>
          <w:sz w:val="24"/>
          <w:szCs w:val="24"/>
          <w:lang w:eastAsia="es-ES"/>
        </w:rPr>
        <w:t>b)</w:t>
      </w:r>
      <w:r>
        <w:rPr>
          <w:rFonts w:ascii="Times New Roman" w:eastAsia="Times New Roman" w:hAnsi="Times New Roman" w:cs="Times New Roman"/>
          <w:sz w:val="24"/>
          <w:szCs w:val="24"/>
          <w:lang w:eastAsia="es-ES"/>
        </w:rPr>
        <w:t xml:space="preserve"> </w:t>
      </w:r>
      <w:r w:rsidRPr="00310528">
        <w:rPr>
          <w:rFonts w:ascii="Times New Roman" w:eastAsia="Times New Roman" w:hAnsi="Times New Roman" w:cs="Times New Roman"/>
          <w:sz w:val="24"/>
          <w:szCs w:val="24"/>
          <w:lang w:eastAsia="es-ES"/>
        </w:rPr>
        <w:t>El régimen ha superado la tolerancia al riesgo de solvencia declarado en su política de solvencia.</w:t>
      </w:r>
    </w:p>
    <w:p w14:paraId="2C4D9218" w14:textId="789AB2CA" w:rsidR="00310528" w:rsidRPr="00310528" w:rsidRDefault="00310528" w:rsidP="00310528">
      <w:pPr>
        <w:widowControl w:val="0"/>
        <w:spacing w:after="0" w:line="240" w:lineRule="auto"/>
        <w:ind w:right="283"/>
        <w:jc w:val="both"/>
        <w:rPr>
          <w:rFonts w:ascii="Times New Roman" w:eastAsia="Times New Roman" w:hAnsi="Times New Roman" w:cs="Times New Roman"/>
          <w:sz w:val="24"/>
          <w:szCs w:val="24"/>
          <w:lang w:eastAsia="es-ES"/>
        </w:rPr>
      </w:pPr>
      <w:r w:rsidRPr="00310528">
        <w:rPr>
          <w:rFonts w:ascii="Times New Roman" w:eastAsia="Times New Roman" w:hAnsi="Times New Roman" w:cs="Times New Roman"/>
          <w:sz w:val="24"/>
          <w:szCs w:val="24"/>
          <w:lang w:eastAsia="es-ES"/>
        </w:rPr>
        <w:t>c)</w:t>
      </w:r>
      <w:r>
        <w:rPr>
          <w:rFonts w:ascii="Times New Roman" w:eastAsia="Times New Roman" w:hAnsi="Times New Roman" w:cs="Times New Roman"/>
          <w:sz w:val="24"/>
          <w:szCs w:val="24"/>
          <w:lang w:eastAsia="es-ES"/>
        </w:rPr>
        <w:t xml:space="preserve"> </w:t>
      </w:r>
      <w:r w:rsidRPr="00310528">
        <w:rPr>
          <w:rFonts w:ascii="Times New Roman" w:eastAsia="Times New Roman" w:hAnsi="Times New Roman" w:cs="Times New Roman"/>
          <w:sz w:val="24"/>
          <w:szCs w:val="24"/>
          <w:lang w:eastAsia="es-ES"/>
        </w:rPr>
        <w:t>El régimen no alcance el apetito de riesgo de solvencia declarado en su política de solvencia durante cinco años consecutivos.</w:t>
      </w:r>
    </w:p>
    <w:p w14:paraId="125B3915" w14:textId="56E8EC1C" w:rsidR="005275B5" w:rsidRDefault="00310528" w:rsidP="00310528">
      <w:pPr>
        <w:widowControl w:val="0"/>
        <w:spacing w:after="0" w:line="240" w:lineRule="auto"/>
        <w:ind w:right="283"/>
        <w:jc w:val="both"/>
        <w:rPr>
          <w:rFonts w:ascii="Times New Roman" w:eastAsia="Times New Roman" w:hAnsi="Times New Roman" w:cs="Times New Roman"/>
          <w:sz w:val="24"/>
          <w:szCs w:val="24"/>
          <w:lang w:eastAsia="es-ES"/>
        </w:rPr>
      </w:pPr>
      <w:r w:rsidRPr="00310528">
        <w:rPr>
          <w:rFonts w:ascii="Times New Roman" w:eastAsia="Times New Roman" w:hAnsi="Times New Roman" w:cs="Times New Roman"/>
          <w:sz w:val="24"/>
          <w:szCs w:val="24"/>
          <w:lang w:eastAsia="es-ES"/>
        </w:rPr>
        <w:t>d)</w:t>
      </w:r>
      <w:r>
        <w:rPr>
          <w:rFonts w:ascii="Times New Roman" w:eastAsia="Times New Roman" w:hAnsi="Times New Roman" w:cs="Times New Roman"/>
          <w:sz w:val="24"/>
          <w:szCs w:val="24"/>
          <w:lang w:eastAsia="es-ES"/>
        </w:rPr>
        <w:t xml:space="preserve"> </w:t>
      </w:r>
      <w:r w:rsidRPr="00310528">
        <w:rPr>
          <w:rFonts w:ascii="Times New Roman" w:eastAsia="Times New Roman" w:hAnsi="Times New Roman" w:cs="Times New Roman"/>
          <w:sz w:val="24"/>
          <w:szCs w:val="24"/>
          <w:lang w:eastAsia="es-ES"/>
        </w:rPr>
        <w:t>La pérdida de poder adquisitivo supera la tolerancia al riesgo de revalorización declarado en su política de revalorización, de acuerdo con el artículo 4bis de este Reglamento.</w:t>
      </w:r>
    </w:p>
    <w:p w14:paraId="40B6E456" w14:textId="77777777" w:rsidR="00310528" w:rsidRPr="005275B5" w:rsidRDefault="00310528" w:rsidP="00310528">
      <w:pPr>
        <w:widowControl w:val="0"/>
        <w:spacing w:after="0" w:line="240" w:lineRule="auto"/>
        <w:ind w:right="283"/>
        <w:jc w:val="both"/>
        <w:rPr>
          <w:rFonts w:ascii="Times New Roman" w:eastAsia="Times New Roman" w:hAnsi="Times New Roman" w:cs="Times New Roman"/>
          <w:sz w:val="24"/>
          <w:szCs w:val="24"/>
          <w:lang w:eastAsia="es-ES"/>
        </w:rPr>
      </w:pPr>
    </w:p>
    <w:p w14:paraId="125B3916" w14:textId="3081C3B5"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13. Remisión y presentación de los informes de valuaciones o auditorías</w:t>
      </w:r>
      <w:r w:rsidR="00CD5DE2">
        <w:rPr>
          <w:rFonts w:ascii="Times New Roman" w:eastAsia="Times New Roman" w:hAnsi="Times New Roman" w:cs="Times New Roman"/>
          <w:b/>
          <w:sz w:val="24"/>
          <w:szCs w:val="24"/>
          <w:lang w:eastAsia="es-ES"/>
        </w:rPr>
        <w:t xml:space="preserve"> </w:t>
      </w:r>
      <w:r w:rsidRPr="005275B5">
        <w:rPr>
          <w:rFonts w:ascii="Times New Roman" w:eastAsia="Times New Roman" w:hAnsi="Times New Roman" w:cs="Times New Roman"/>
          <w:b/>
          <w:sz w:val="24"/>
          <w:szCs w:val="24"/>
          <w:lang w:eastAsia="es-ES"/>
        </w:rPr>
        <w:t>actuariales a la SUPEN</w:t>
      </w:r>
      <w:r w:rsidR="00D60013" w:rsidRPr="00D60013">
        <w:rPr>
          <w:rStyle w:val="Refdenotaalpie"/>
          <w:rFonts w:ascii="Times New Roman" w:eastAsia="Times New Roman" w:hAnsi="Times New Roman" w:cs="Times New Roman"/>
          <w:bCs/>
          <w:sz w:val="24"/>
          <w:szCs w:val="24"/>
          <w:lang w:eastAsia="es-ES"/>
        </w:rPr>
        <w:footnoteReference w:id="18"/>
      </w:r>
    </w:p>
    <w:p w14:paraId="01C8A867"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r w:rsidRPr="00D60013">
        <w:rPr>
          <w:rFonts w:ascii="Times New Roman" w:eastAsia="Times New Roman" w:hAnsi="Times New Roman" w:cs="Times New Roman"/>
          <w:sz w:val="24"/>
          <w:szCs w:val="24"/>
          <w:lang w:eastAsia="es-ES"/>
        </w:rPr>
        <w:t>Los informes de valuaciones o auditorías actuariales y sus anexos deben remitirse a la Superintendencia, por los medios establecidos.</w:t>
      </w:r>
    </w:p>
    <w:p w14:paraId="09F1195D"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p>
    <w:p w14:paraId="0166C322"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r w:rsidRPr="00D60013">
        <w:rPr>
          <w:rFonts w:ascii="Times New Roman" w:eastAsia="Times New Roman" w:hAnsi="Times New Roman" w:cs="Times New Roman"/>
          <w:sz w:val="24"/>
          <w:szCs w:val="24"/>
          <w:lang w:eastAsia="es-ES"/>
        </w:rPr>
        <w:t>El informe correspondiente a la valuación actuarial anual a que hace referencia el primer párrafo del artículo 8, deberá remitirse a más tardar el último día hábil del mes de marzo. El Superintendente, mediante resolución razonada, podrá variar la fecha de remisión de las valuaciones actuariales, según el análisis del riesgo de solvencia del fondo que se realice al efecto.</w:t>
      </w:r>
    </w:p>
    <w:p w14:paraId="5E589840"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p>
    <w:p w14:paraId="07D5C6F2"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r w:rsidRPr="00D60013">
        <w:rPr>
          <w:rFonts w:ascii="Times New Roman" w:eastAsia="Times New Roman" w:hAnsi="Times New Roman" w:cs="Times New Roman"/>
          <w:sz w:val="24"/>
          <w:szCs w:val="24"/>
          <w:lang w:eastAsia="es-ES"/>
        </w:rPr>
        <w:t>Adicionalmente, la SUPEN podrá solicitar el detalle con la información sobre afiliados y pensionados, las tablas biométricas y demás parámetros utilizados en las estimaciones, así como el resultado individual de la cuantía de los beneficios devengados. También puede solicitar los documentos de trabajo del actuario para revisar la adecuada implementación del modelo y la metodología actuarial, así como los cálculos presentados.</w:t>
      </w:r>
    </w:p>
    <w:p w14:paraId="2F3DD4FB"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p>
    <w:p w14:paraId="72207B52"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r w:rsidRPr="00D60013">
        <w:rPr>
          <w:rFonts w:ascii="Times New Roman" w:eastAsia="Times New Roman" w:hAnsi="Times New Roman" w:cs="Times New Roman"/>
          <w:sz w:val="24"/>
          <w:szCs w:val="24"/>
          <w:lang w:eastAsia="es-ES"/>
        </w:rPr>
        <w:t>Cuando corresponda realizar la auditoría actuarial externa, el informe debe remitirse a más tardar el último día hábil del mes de setiembre a la fecha de corte del informe a auditar. El Superintendente, mediante resolución razonada, podrá variar la fecha de remisión de la auditoría actuarial externa, según el análisis del riesgo de solvencia del fondo que se realice al efecto.</w:t>
      </w:r>
    </w:p>
    <w:p w14:paraId="6327E655"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p>
    <w:p w14:paraId="0CBC3A4D"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r w:rsidRPr="00D60013">
        <w:rPr>
          <w:rFonts w:ascii="Times New Roman" w:eastAsia="Times New Roman" w:hAnsi="Times New Roman" w:cs="Times New Roman"/>
          <w:sz w:val="24"/>
          <w:szCs w:val="24"/>
          <w:lang w:eastAsia="es-ES"/>
        </w:rPr>
        <w:t xml:space="preserve">El órgano de dirección debe enviar una nota de remisión junto con el informe de la </w:t>
      </w:r>
      <w:r w:rsidRPr="00D60013">
        <w:rPr>
          <w:rFonts w:ascii="Times New Roman" w:eastAsia="Times New Roman" w:hAnsi="Times New Roman" w:cs="Times New Roman"/>
          <w:sz w:val="24"/>
          <w:szCs w:val="24"/>
          <w:lang w:eastAsia="es-ES"/>
        </w:rPr>
        <w:lastRenderedPageBreak/>
        <w:t>valuación o auditoría actuarial a la SUPEN, en el que se detallen las medidas que se hubieren dispuesto tomar para atender las recomendaciones del actuario o firma actuarial. Para las recomendaciones que no van a ser atendidas, se deben presentar en la nota de remisión las razones técnicas que justifiquen la no atención de éstas.</w:t>
      </w:r>
    </w:p>
    <w:p w14:paraId="2C155345"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p>
    <w:p w14:paraId="492859DA"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r w:rsidRPr="00D60013">
        <w:rPr>
          <w:rFonts w:ascii="Times New Roman" w:eastAsia="Times New Roman" w:hAnsi="Times New Roman" w:cs="Times New Roman"/>
          <w:sz w:val="24"/>
          <w:szCs w:val="24"/>
          <w:lang w:eastAsia="es-ES"/>
        </w:rPr>
        <w:t>Es responsabilidad del régimen realizar una presentación del documento ante la SUPEN cuando esta así lo requiera.</w:t>
      </w:r>
    </w:p>
    <w:p w14:paraId="2C0BED98" w14:textId="77777777" w:rsidR="00D60013" w:rsidRPr="00D60013"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p>
    <w:p w14:paraId="125B3922" w14:textId="39AA4FC4" w:rsidR="005275B5"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r w:rsidRPr="00D60013">
        <w:rPr>
          <w:rFonts w:ascii="Times New Roman" w:eastAsia="Times New Roman" w:hAnsi="Times New Roman" w:cs="Times New Roman"/>
          <w:sz w:val="24"/>
          <w:szCs w:val="24"/>
          <w:lang w:eastAsia="es-ES"/>
        </w:rPr>
        <w:t>El Superintendente podrá requerir correcciones o ajustes al informe entregado, o bien la realización de un nuevo estudio.</w:t>
      </w:r>
    </w:p>
    <w:p w14:paraId="55C2E2C0" w14:textId="77777777" w:rsidR="00D60013" w:rsidRPr="005275B5" w:rsidRDefault="00D60013" w:rsidP="00D60013">
      <w:pPr>
        <w:widowControl w:val="0"/>
        <w:spacing w:after="0" w:line="240" w:lineRule="auto"/>
        <w:ind w:right="283"/>
        <w:jc w:val="both"/>
        <w:rPr>
          <w:rFonts w:ascii="Times New Roman" w:eastAsia="Times New Roman" w:hAnsi="Times New Roman" w:cs="Times New Roman"/>
          <w:sz w:val="24"/>
          <w:szCs w:val="24"/>
          <w:lang w:eastAsia="es-ES"/>
        </w:rPr>
      </w:pPr>
    </w:p>
    <w:p w14:paraId="125B3923" w14:textId="05299816"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14. Publicación del informe actuarial</w:t>
      </w:r>
      <w:r w:rsidR="00F74714">
        <w:rPr>
          <w:rFonts w:ascii="Times New Roman" w:eastAsia="Times New Roman" w:hAnsi="Times New Roman" w:cs="Times New Roman"/>
          <w:b/>
          <w:sz w:val="24"/>
          <w:szCs w:val="24"/>
          <w:lang w:eastAsia="es-ES"/>
        </w:rPr>
        <w:t xml:space="preserve"> </w:t>
      </w:r>
      <w:r w:rsidR="003155FB" w:rsidRPr="003155FB">
        <w:rPr>
          <w:rStyle w:val="Refdenotaalpie"/>
          <w:rFonts w:ascii="Times New Roman" w:eastAsia="Times New Roman" w:hAnsi="Times New Roman" w:cs="Times New Roman"/>
          <w:bCs/>
          <w:sz w:val="24"/>
          <w:szCs w:val="24"/>
          <w:lang w:eastAsia="es-ES"/>
        </w:rPr>
        <w:footnoteReference w:id="19"/>
      </w:r>
    </w:p>
    <w:p w14:paraId="6C784B2B" w14:textId="77777777" w:rsidR="003155FB" w:rsidRPr="003155FB" w:rsidRDefault="003155FB" w:rsidP="003155FB">
      <w:pPr>
        <w:widowControl w:val="0"/>
        <w:spacing w:after="0" w:line="240" w:lineRule="auto"/>
        <w:ind w:right="283"/>
        <w:jc w:val="both"/>
        <w:rPr>
          <w:rFonts w:ascii="Times New Roman" w:eastAsia="Times New Roman" w:hAnsi="Times New Roman" w:cs="Times New Roman"/>
          <w:sz w:val="24"/>
          <w:szCs w:val="24"/>
          <w:lang w:eastAsia="es-ES"/>
        </w:rPr>
      </w:pPr>
      <w:r w:rsidRPr="003155FB">
        <w:rPr>
          <w:rFonts w:ascii="Times New Roman" w:eastAsia="Times New Roman" w:hAnsi="Times New Roman" w:cs="Times New Roman"/>
          <w:sz w:val="24"/>
          <w:szCs w:val="24"/>
          <w:lang w:eastAsia="es-ES"/>
        </w:rPr>
        <w:t>El régimen debe publicar en su página WEB, y en caso de no tener página WEB propia, en la página WEB de la entidad a la que pertenece el régimen, los informes de valuaciones o auditorías actuariales una vez remitidos a la Superintendencia, entidad que a su vez lo publicará en su sitio WEB.</w:t>
      </w:r>
    </w:p>
    <w:p w14:paraId="5DE8A881" w14:textId="77777777" w:rsidR="003155FB" w:rsidRPr="003155FB" w:rsidRDefault="003155FB" w:rsidP="003155FB">
      <w:pPr>
        <w:widowControl w:val="0"/>
        <w:spacing w:after="0" w:line="240" w:lineRule="auto"/>
        <w:ind w:right="283"/>
        <w:jc w:val="both"/>
        <w:rPr>
          <w:rFonts w:ascii="Times New Roman" w:eastAsia="Times New Roman" w:hAnsi="Times New Roman" w:cs="Times New Roman"/>
          <w:sz w:val="24"/>
          <w:szCs w:val="24"/>
          <w:lang w:eastAsia="es-ES"/>
        </w:rPr>
      </w:pPr>
    </w:p>
    <w:p w14:paraId="125B3924" w14:textId="41954EAE" w:rsidR="005275B5" w:rsidRPr="005275B5" w:rsidRDefault="003155FB" w:rsidP="003155FB">
      <w:pPr>
        <w:widowControl w:val="0"/>
        <w:spacing w:after="0" w:line="240" w:lineRule="auto"/>
        <w:ind w:right="283"/>
        <w:jc w:val="both"/>
        <w:rPr>
          <w:rFonts w:ascii="Times New Roman" w:eastAsia="Times New Roman" w:hAnsi="Times New Roman" w:cs="Times New Roman"/>
          <w:sz w:val="24"/>
          <w:szCs w:val="24"/>
          <w:lang w:eastAsia="es-ES"/>
        </w:rPr>
      </w:pPr>
      <w:r w:rsidRPr="003155FB">
        <w:rPr>
          <w:rFonts w:ascii="Times New Roman" w:eastAsia="Times New Roman" w:hAnsi="Times New Roman" w:cs="Times New Roman"/>
          <w:sz w:val="24"/>
          <w:szCs w:val="24"/>
          <w:lang w:eastAsia="es-ES"/>
        </w:rPr>
        <w:t>En caso de que la Superintendencia requiera correcciones de erratas, escenarios alternativos, u otros cambios materiales del informe, es responsabilidad de la entidad publicar la versión corregida junto a una nota sobre la actualización realizada</w:t>
      </w:r>
      <w:r w:rsidR="005275B5" w:rsidRPr="005275B5">
        <w:rPr>
          <w:rFonts w:ascii="Times New Roman" w:eastAsia="Times New Roman" w:hAnsi="Times New Roman" w:cs="Times New Roman"/>
          <w:sz w:val="24"/>
          <w:szCs w:val="24"/>
          <w:lang w:eastAsia="es-ES"/>
        </w:rPr>
        <w:t>.</w:t>
      </w:r>
    </w:p>
    <w:p w14:paraId="125B3925"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26" w14:textId="378AAF08"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15. Requisitos del profesional o la firma a cargo de la valuación o auditoría actuarial</w:t>
      </w:r>
      <w:r w:rsidR="00CE5100">
        <w:rPr>
          <w:rFonts w:ascii="Times New Roman" w:eastAsia="Times New Roman" w:hAnsi="Times New Roman" w:cs="Times New Roman"/>
          <w:b/>
          <w:sz w:val="24"/>
          <w:szCs w:val="24"/>
          <w:lang w:eastAsia="es-ES"/>
        </w:rPr>
        <w:t xml:space="preserve"> </w:t>
      </w:r>
      <w:r w:rsidR="00CE5100" w:rsidRPr="00F74714">
        <w:rPr>
          <w:rStyle w:val="Refdenotaalpie"/>
          <w:rFonts w:ascii="Times New Roman" w:eastAsia="Times New Roman" w:hAnsi="Times New Roman" w:cs="Times New Roman"/>
          <w:bCs/>
          <w:sz w:val="24"/>
          <w:szCs w:val="24"/>
          <w:lang w:eastAsia="es-ES"/>
        </w:rPr>
        <w:footnoteReference w:id="20"/>
      </w:r>
    </w:p>
    <w:p w14:paraId="125B3927"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actuario o la firma a cargo del estudio deben cumplir los siguientes requisitos:</w:t>
      </w:r>
    </w:p>
    <w:p w14:paraId="125B3928"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29"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a)</w:t>
      </w:r>
      <w:r w:rsidRPr="005275B5">
        <w:rPr>
          <w:rFonts w:ascii="Times New Roman" w:eastAsia="Times New Roman" w:hAnsi="Times New Roman" w:cs="Times New Roman"/>
          <w:sz w:val="24"/>
          <w:szCs w:val="24"/>
          <w:lang w:eastAsia="es-ES"/>
        </w:rPr>
        <w:tab/>
        <w:t>No haber sido declarados insolventes o en quiebra, por autoridad judicial nacional o extranjera, durante los cuatro años anteriores a la fecha de la contratación.</w:t>
      </w:r>
    </w:p>
    <w:p w14:paraId="125B392A"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b)</w:t>
      </w:r>
      <w:r w:rsidRPr="005275B5">
        <w:rPr>
          <w:rFonts w:ascii="Times New Roman" w:eastAsia="Times New Roman" w:hAnsi="Times New Roman" w:cs="Times New Roman"/>
          <w:sz w:val="24"/>
          <w:szCs w:val="24"/>
          <w:lang w:eastAsia="es-ES"/>
        </w:rPr>
        <w:tab/>
        <w:t>No haber sido condenado, mediante sentencia firme, por delitos contra la propiedad, la buena fe en los negocios o la fe pública, por autoridad judicial nacional o extranjera, durante los últimos diez años.</w:t>
      </w:r>
    </w:p>
    <w:p w14:paraId="125B392B"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c)</w:t>
      </w:r>
      <w:r w:rsidRPr="005275B5">
        <w:rPr>
          <w:rFonts w:ascii="Times New Roman" w:eastAsia="Times New Roman" w:hAnsi="Times New Roman" w:cs="Times New Roman"/>
          <w:sz w:val="24"/>
          <w:szCs w:val="24"/>
          <w:lang w:eastAsia="es-ES"/>
        </w:rPr>
        <w:tab/>
        <w:t>No haber sido sancionados por los supervisores nacionales o extranjeros a los que se encuentra sujeto en el ejercicio de la actividad profesional, en la plaza o plazas en que esta última se desarrolla, durante los últimos diez años.</w:t>
      </w:r>
    </w:p>
    <w:p w14:paraId="125B392C"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d)</w:t>
      </w:r>
      <w:r w:rsidRPr="005275B5">
        <w:rPr>
          <w:rFonts w:ascii="Times New Roman" w:eastAsia="Times New Roman" w:hAnsi="Times New Roman" w:cs="Times New Roman"/>
          <w:sz w:val="24"/>
          <w:szCs w:val="24"/>
          <w:lang w:eastAsia="es-ES"/>
        </w:rPr>
        <w:tab/>
        <w:t xml:space="preserve">No haber incumplido, durante la elaboración de valuaciones actuariales a los regímenes, con el procedimiento de comunicación de sustitución establecido en este Reglamento durante los cuatro años anteriores al estudio para el cual es contratado. </w:t>
      </w:r>
    </w:p>
    <w:p w14:paraId="125B392D"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2E"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 xml:space="preserve">Es responsabilidad del régimen determinar y documentar la idoneidad e independencia del profesional o firma contratada, así como el cumplimiento de los requisitos legales correspondientes. Para lo anterior, tratándose de documentación emitida en el exterior, debe cumplirse con las formalidades de autenticación, traducción oficial, si estuviere </w:t>
      </w:r>
      <w:r w:rsidRPr="005275B5">
        <w:rPr>
          <w:rFonts w:ascii="Times New Roman" w:eastAsia="Times New Roman" w:hAnsi="Times New Roman" w:cs="Times New Roman"/>
          <w:sz w:val="24"/>
          <w:szCs w:val="24"/>
          <w:lang w:eastAsia="es-ES"/>
        </w:rPr>
        <w:lastRenderedPageBreak/>
        <w:t>escrita en idioma diferente al español y legalización consular o apostilla, según se trate.</w:t>
      </w:r>
    </w:p>
    <w:p w14:paraId="125B392F"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30"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actuario o la firma a cargo de la elaboración de cualquier tipo de valuación actuarial o auditoría actuarial para los regímenes de pensiones de beneficio definido, debe cumplir los siguientes principios básicos:</w:t>
      </w:r>
    </w:p>
    <w:p w14:paraId="125B3931"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32" w14:textId="74EF6F74"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a)</w:t>
      </w:r>
      <w:r w:rsidRPr="005275B5">
        <w:rPr>
          <w:rFonts w:ascii="Times New Roman" w:eastAsia="Times New Roman" w:hAnsi="Times New Roman" w:cs="Times New Roman"/>
          <w:sz w:val="24"/>
          <w:szCs w:val="24"/>
          <w:lang w:eastAsia="es-ES"/>
        </w:rPr>
        <w:tab/>
        <w:t xml:space="preserve">Rigurosidad </w:t>
      </w:r>
      <w:r w:rsidR="00A93F0D" w:rsidRPr="00A93F0D">
        <w:rPr>
          <w:rFonts w:ascii="Times New Roman" w:eastAsia="Times New Roman" w:hAnsi="Times New Roman" w:cs="Times New Roman"/>
          <w:sz w:val="24"/>
          <w:szCs w:val="24"/>
          <w:lang w:eastAsia="es-ES"/>
        </w:rPr>
        <w:t>científica en la metodología utilizada y los cálculos realizados para revelar oportunamente los riesgos actuariales y las medidas correctivas que sean requeridas para su sostenibilidad.</w:t>
      </w:r>
    </w:p>
    <w:p w14:paraId="125B3933"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b)</w:t>
      </w:r>
      <w:r w:rsidRPr="005275B5">
        <w:rPr>
          <w:rFonts w:ascii="Times New Roman" w:eastAsia="Times New Roman" w:hAnsi="Times New Roman" w:cs="Times New Roman"/>
          <w:sz w:val="24"/>
          <w:szCs w:val="24"/>
          <w:lang w:eastAsia="es-ES"/>
        </w:rPr>
        <w:tab/>
        <w:t>Razonabilidad en la determinación de supuestos y bases actuariales.</w:t>
      </w:r>
    </w:p>
    <w:p w14:paraId="125B3934"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c)</w:t>
      </w:r>
      <w:r w:rsidRPr="005275B5">
        <w:rPr>
          <w:rFonts w:ascii="Times New Roman" w:eastAsia="Times New Roman" w:hAnsi="Times New Roman" w:cs="Times New Roman"/>
          <w:sz w:val="24"/>
          <w:szCs w:val="24"/>
          <w:lang w:eastAsia="es-ES"/>
        </w:rPr>
        <w:tab/>
        <w:t>Transparencia, claridad, simplicidad y consistencia de la información suministrada en el informe.</w:t>
      </w:r>
    </w:p>
    <w:p w14:paraId="125B3935"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36"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16. Incompatibilidades</w:t>
      </w:r>
    </w:p>
    <w:p w14:paraId="125B3937"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actuario o la firma a cargo de una valuación o de una auditoría actuarial externa no pueden prestar servicios al régimen que puedan comprometer su independencia en relación con este.</w:t>
      </w:r>
    </w:p>
    <w:p w14:paraId="125B3938"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39"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Entre otros servicios complementarios que se consideran comprometen la independencia, se encuentran incluidos pero no limitados los siguientes:</w:t>
      </w:r>
    </w:p>
    <w:p w14:paraId="125B393A"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3B"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a)</w:t>
      </w:r>
      <w:r w:rsidRPr="005275B5">
        <w:rPr>
          <w:rFonts w:ascii="Times New Roman" w:eastAsia="Times New Roman" w:hAnsi="Times New Roman" w:cs="Times New Roman"/>
          <w:sz w:val="24"/>
          <w:szCs w:val="24"/>
          <w:lang w:eastAsia="es-ES"/>
        </w:rPr>
        <w:tab/>
        <w:t>Contabilidad y otros servicios relacionados con los registros contables o estados financieros de la entidad supervisada.</w:t>
      </w:r>
    </w:p>
    <w:p w14:paraId="125B393C"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b)</w:t>
      </w:r>
      <w:r w:rsidRPr="005275B5">
        <w:rPr>
          <w:rFonts w:ascii="Times New Roman" w:eastAsia="Times New Roman" w:hAnsi="Times New Roman" w:cs="Times New Roman"/>
          <w:sz w:val="24"/>
          <w:szCs w:val="24"/>
          <w:lang w:eastAsia="es-ES"/>
        </w:rPr>
        <w:tab/>
        <w:t>Diseño e implementación de sistemas de información financiera.</w:t>
      </w:r>
    </w:p>
    <w:p w14:paraId="125B393D"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c)</w:t>
      </w:r>
      <w:r w:rsidRPr="005275B5">
        <w:rPr>
          <w:rFonts w:ascii="Times New Roman" w:eastAsia="Times New Roman" w:hAnsi="Times New Roman" w:cs="Times New Roman"/>
          <w:sz w:val="24"/>
          <w:szCs w:val="24"/>
          <w:lang w:eastAsia="es-ES"/>
        </w:rPr>
        <w:tab/>
        <w:t>Auditoría Externa de Estados Financieros.</w:t>
      </w:r>
    </w:p>
    <w:p w14:paraId="125B393E"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d)</w:t>
      </w:r>
      <w:r w:rsidRPr="005275B5">
        <w:rPr>
          <w:rFonts w:ascii="Times New Roman" w:eastAsia="Times New Roman" w:hAnsi="Times New Roman" w:cs="Times New Roman"/>
          <w:sz w:val="24"/>
          <w:szCs w:val="24"/>
          <w:lang w:eastAsia="es-ES"/>
        </w:rPr>
        <w:tab/>
        <w:t>Auditoría Interna.</w:t>
      </w:r>
    </w:p>
    <w:p w14:paraId="125B393F"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w:t>
      </w:r>
      <w:r w:rsidRPr="005275B5">
        <w:rPr>
          <w:rFonts w:ascii="Times New Roman" w:eastAsia="Times New Roman" w:hAnsi="Times New Roman" w:cs="Times New Roman"/>
          <w:sz w:val="24"/>
          <w:szCs w:val="24"/>
          <w:lang w:eastAsia="es-ES"/>
        </w:rPr>
        <w:tab/>
        <w:t>Auditoría de Riesgos.</w:t>
      </w:r>
    </w:p>
    <w:p w14:paraId="125B3940"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f)</w:t>
      </w:r>
      <w:r w:rsidRPr="005275B5">
        <w:rPr>
          <w:rFonts w:ascii="Times New Roman" w:eastAsia="Times New Roman" w:hAnsi="Times New Roman" w:cs="Times New Roman"/>
          <w:sz w:val="24"/>
          <w:szCs w:val="24"/>
          <w:lang w:eastAsia="es-ES"/>
        </w:rPr>
        <w:tab/>
        <w:t>Asesoría en materia de riesgos o miembro externo del comité de riesgos.</w:t>
      </w:r>
    </w:p>
    <w:p w14:paraId="125B3941"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g)</w:t>
      </w:r>
      <w:r w:rsidRPr="005275B5">
        <w:rPr>
          <w:rFonts w:ascii="Times New Roman" w:eastAsia="Times New Roman" w:hAnsi="Times New Roman" w:cs="Times New Roman"/>
          <w:sz w:val="24"/>
          <w:szCs w:val="24"/>
          <w:lang w:eastAsia="es-ES"/>
        </w:rPr>
        <w:tab/>
        <w:t>De dirección o recursos humanos.</w:t>
      </w:r>
    </w:p>
    <w:p w14:paraId="125B3942"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h)</w:t>
      </w:r>
      <w:r w:rsidRPr="005275B5">
        <w:rPr>
          <w:rFonts w:ascii="Times New Roman" w:eastAsia="Times New Roman" w:hAnsi="Times New Roman" w:cs="Times New Roman"/>
          <w:sz w:val="24"/>
          <w:szCs w:val="24"/>
          <w:lang w:eastAsia="es-ES"/>
        </w:rPr>
        <w:tab/>
        <w:t>Asesor de inversiones o miembro externo del comité de inversiones.</w:t>
      </w:r>
    </w:p>
    <w:p w14:paraId="125B3943" w14:textId="77777777" w:rsidR="005275B5" w:rsidRPr="005275B5" w:rsidRDefault="005275B5" w:rsidP="005275B5">
      <w:pPr>
        <w:widowControl w:val="0"/>
        <w:spacing w:after="0" w:line="240" w:lineRule="auto"/>
        <w:ind w:left="567" w:right="283" w:hanging="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w:t>
      </w:r>
      <w:r w:rsidRPr="005275B5">
        <w:rPr>
          <w:rFonts w:ascii="Times New Roman" w:eastAsia="Times New Roman" w:hAnsi="Times New Roman" w:cs="Times New Roman"/>
          <w:sz w:val="24"/>
          <w:szCs w:val="24"/>
          <w:lang w:eastAsia="es-ES"/>
        </w:rPr>
        <w:tab/>
        <w:t>Contralor Normativo.</w:t>
      </w:r>
    </w:p>
    <w:p w14:paraId="125B3944"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45"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Cualquier otro servicio que la SUPEN considere que interfiere con la independencia del actuario, para lo cual deberá dictar una resolución motivada.</w:t>
      </w:r>
    </w:p>
    <w:p w14:paraId="125B3946"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47"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17. Rotación de profesionales</w:t>
      </w:r>
    </w:p>
    <w:p w14:paraId="125B3948"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Los regímenes que contraten la valuación anual externamente deberán cambiar al actuario o firma al menos cada cinco años. El profesional o firma podrán ser contratados nuevamente una vez transcurridos tres años continuos contados a partir de la fecha del último informe realizado por dicho profesional o firma.</w:t>
      </w:r>
    </w:p>
    <w:p w14:paraId="125B3949"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4A"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Idéntico plazo se tomará para el caso de la auditoría actuarial externa requerida en el Artículo 19 de este Reglamento.</w:t>
      </w:r>
    </w:p>
    <w:p w14:paraId="125B394B"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4C"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18. Ingresos de los actuarios</w:t>
      </w:r>
    </w:p>
    <w:p w14:paraId="125B394D"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 xml:space="preserve">La remuneración del actuario o firma a cargo de una valuación o auditoría actuarial no </w:t>
      </w:r>
      <w:r w:rsidRPr="005275B5">
        <w:rPr>
          <w:rFonts w:ascii="Times New Roman" w:eastAsia="Times New Roman" w:hAnsi="Times New Roman" w:cs="Times New Roman"/>
          <w:sz w:val="24"/>
          <w:szCs w:val="24"/>
          <w:lang w:eastAsia="es-ES"/>
        </w:rPr>
        <w:lastRenderedPageBreak/>
        <w:t>debe ser contingente ni dependiente de las condiciones o resultados que muestre la valuación actuarial realizada. Dicha restricción aplica a los actuarios internos, externos y a los auditores actuariales.</w:t>
      </w:r>
    </w:p>
    <w:p w14:paraId="125B394E"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4F" w14:textId="635C77AD"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19. Auditoría actuarial externa</w:t>
      </w:r>
      <w:r w:rsidR="00356F29">
        <w:rPr>
          <w:rFonts w:ascii="Times New Roman" w:eastAsia="Times New Roman" w:hAnsi="Times New Roman" w:cs="Times New Roman"/>
          <w:b/>
          <w:sz w:val="24"/>
          <w:szCs w:val="24"/>
          <w:lang w:eastAsia="es-ES"/>
        </w:rPr>
        <w:t xml:space="preserve"> </w:t>
      </w:r>
      <w:r w:rsidR="00356F29">
        <w:rPr>
          <w:rStyle w:val="Refdenotaalpie"/>
          <w:rFonts w:ascii="Times New Roman" w:eastAsia="Times New Roman" w:hAnsi="Times New Roman" w:cs="Times New Roman"/>
          <w:b/>
          <w:sz w:val="24"/>
          <w:szCs w:val="24"/>
          <w:lang w:eastAsia="es-ES"/>
        </w:rPr>
        <w:footnoteReference w:id="21"/>
      </w:r>
    </w:p>
    <w:p w14:paraId="4C3EE2DE" w14:textId="61E9B383" w:rsidR="00356F29" w:rsidRDefault="00356F29" w:rsidP="00356F29">
      <w:pPr>
        <w:widowControl w:val="0"/>
        <w:spacing w:after="0"/>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El régimen debe llevar a cabo una auditoría actuarial externa de la última valuación después de realizar tres valuaciones actuariales anuales consecutivas. Se exime de esta disposición al régimen que no encargue más de tres valuaciones actuariales anuales consecutivas a un mismo actuario externo o firma actuarial.</w:t>
      </w:r>
    </w:p>
    <w:p w14:paraId="5D988CD8" w14:textId="77777777" w:rsidR="00356F29" w:rsidRDefault="00356F29" w:rsidP="00356F29">
      <w:pPr>
        <w:widowControl w:val="0"/>
        <w:spacing w:after="0"/>
        <w:jc w:val="both"/>
        <w:rPr>
          <w:rFonts w:ascii="Times New Roman" w:eastAsia="Times New Roman" w:hAnsi="Times New Roman" w:cs="Times New Roman"/>
          <w:sz w:val="24"/>
          <w:szCs w:val="24"/>
          <w:lang w:eastAsia="es-ES"/>
        </w:rPr>
      </w:pPr>
    </w:p>
    <w:p w14:paraId="44232E8D" w14:textId="77777777" w:rsidR="00356F29" w:rsidRDefault="00356F29" w:rsidP="00356F29">
      <w:pPr>
        <w:widowControl w:val="0"/>
        <w:spacing w:after="0"/>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La auditoría actuarial externa tiene como propósito asegurar a los usuarios de la valuación actuarial, que el actuario responsable ha seguido los principios de la práctica actuarial establecidos (rigurosidad científica, razonabilidad de los supuestos y transparencia de la información) y los lineamientos y estándares actuariales aplicables en Costa Rica, así como obtener una opinión profesional independiente sobre la razonabilidad del estudio actuarial objeto de la auditoría.</w:t>
      </w:r>
    </w:p>
    <w:p w14:paraId="4E4F6CB0" w14:textId="77777777" w:rsidR="00356F29" w:rsidRDefault="00356F29" w:rsidP="00356F29">
      <w:pPr>
        <w:widowControl w:val="0"/>
        <w:spacing w:after="0"/>
        <w:jc w:val="both"/>
        <w:rPr>
          <w:rFonts w:ascii="Times New Roman" w:eastAsia="Times New Roman" w:hAnsi="Times New Roman" w:cs="Times New Roman"/>
          <w:sz w:val="24"/>
          <w:szCs w:val="24"/>
          <w:lang w:eastAsia="es-ES"/>
        </w:rPr>
      </w:pPr>
    </w:p>
    <w:p w14:paraId="49322BBD" w14:textId="4F0A18A8" w:rsidR="00356F29" w:rsidRPr="00356F29" w:rsidRDefault="00356F29" w:rsidP="00356F29">
      <w:pPr>
        <w:widowControl w:val="0"/>
        <w:spacing w:after="0"/>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El informe de la auditoría debe cumplir, como mínimo, con lo siguiente:</w:t>
      </w:r>
    </w:p>
    <w:p w14:paraId="24C4D385" w14:textId="77777777" w:rsidR="00356F29" w:rsidRPr="00356F29" w:rsidRDefault="00356F29" w:rsidP="00356F29">
      <w:pPr>
        <w:widowControl w:val="0"/>
        <w:spacing w:after="0"/>
        <w:ind w:left="850"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a)</w:t>
      </w:r>
      <w:r w:rsidRPr="00356F29">
        <w:rPr>
          <w:rFonts w:ascii="Times New Roman" w:eastAsia="Times New Roman" w:hAnsi="Times New Roman" w:cs="Times New Roman"/>
          <w:sz w:val="24"/>
          <w:szCs w:val="24"/>
          <w:lang w:eastAsia="es-ES"/>
        </w:rPr>
        <w:tab/>
        <w:t>Ofrecer un juicio independiente sobre el cumplimiento de los aspectos de forma y fondo establecidos en la reglamentación vigente sobre la materia y los principios y lineamientos básicos usualmente aceptados en materia actuarial para regímenes de pensiones de beneficio definido.</w:t>
      </w:r>
    </w:p>
    <w:p w14:paraId="2DF35156" w14:textId="77777777" w:rsidR="00356F29" w:rsidRPr="00356F29" w:rsidRDefault="00356F29" w:rsidP="00356F29">
      <w:pPr>
        <w:widowControl w:val="0"/>
        <w:spacing w:after="0"/>
        <w:ind w:left="850"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b)</w:t>
      </w:r>
      <w:r w:rsidRPr="00356F29">
        <w:rPr>
          <w:rFonts w:ascii="Times New Roman" w:eastAsia="Times New Roman" w:hAnsi="Times New Roman" w:cs="Times New Roman"/>
          <w:sz w:val="24"/>
          <w:szCs w:val="24"/>
          <w:lang w:eastAsia="es-ES"/>
        </w:rPr>
        <w:tab/>
        <w:t>Presentar los resultados de estimación independientes para, al menos, el escenario base con grupo cerrado y beneficios devengados, de manera que se establezca la razonabilidad y consistencia de los cálculos contenidos en la valuación actuarial auditada.</w:t>
      </w:r>
    </w:p>
    <w:p w14:paraId="6A8416AC" w14:textId="77777777" w:rsidR="00356F29" w:rsidRPr="00356F29" w:rsidRDefault="00356F29" w:rsidP="00356F29">
      <w:pPr>
        <w:widowControl w:val="0"/>
        <w:spacing w:after="0"/>
        <w:ind w:left="850"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c)</w:t>
      </w:r>
      <w:r w:rsidRPr="00356F29">
        <w:rPr>
          <w:rFonts w:ascii="Times New Roman" w:eastAsia="Times New Roman" w:hAnsi="Times New Roman" w:cs="Times New Roman"/>
          <w:sz w:val="24"/>
          <w:szCs w:val="24"/>
          <w:lang w:eastAsia="es-ES"/>
        </w:rPr>
        <w:tab/>
        <w:t>Ofrecer una interpretación profesional independiente de los resultados presentados en la valuación actuarial auditada.</w:t>
      </w:r>
    </w:p>
    <w:p w14:paraId="4818F6AE" w14:textId="62DEB7BF" w:rsidR="00356F29" w:rsidRDefault="00356F29" w:rsidP="00356F29">
      <w:pPr>
        <w:widowControl w:val="0"/>
        <w:spacing w:after="0"/>
        <w:ind w:left="850"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d)</w:t>
      </w:r>
      <w:r w:rsidRPr="00356F29">
        <w:rPr>
          <w:rFonts w:ascii="Times New Roman" w:eastAsia="Times New Roman" w:hAnsi="Times New Roman" w:cs="Times New Roman"/>
          <w:sz w:val="24"/>
          <w:szCs w:val="24"/>
          <w:lang w:eastAsia="es-ES"/>
        </w:rPr>
        <w:tab/>
        <w:t>Ofrecer un resumen de las principales conclusiones y recomendaciones derivadas de la interpretación técnica independiente de los resultados presentados en la valuación actuarial auditada.</w:t>
      </w:r>
    </w:p>
    <w:p w14:paraId="153BF61A" w14:textId="77777777" w:rsidR="00356F29" w:rsidRPr="00356F29" w:rsidRDefault="00356F29" w:rsidP="00356F29">
      <w:pPr>
        <w:widowControl w:val="0"/>
        <w:spacing w:after="0"/>
        <w:ind w:left="850" w:hanging="425"/>
        <w:jc w:val="both"/>
        <w:rPr>
          <w:rFonts w:ascii="Times New Roman" w:eastAsia="Times New Roman" w:hAnsi="Times New Roman" w:cs="Times New Roman"/>
          <w:sz w:val="24"/>
          <w:szCs w:val="24"/>
          <w:lang w:eastAsia="es-ES"/>
        </w:rPr>
      </w:pPr>
    </w:p>
    <w:p w14:paraId="538F3846" w14:textId="6F6DCD31" w:rsidR="00356F29" w:rsidRPr="00356F29" w:rsidRDefault="00356F29" w:rsidP="00356F29">
      <w:pPr>
        <w:widowControl w:val="0"/>
        <w:spacing w:after="0"/>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En el informe de la auditoría el actuario debe suministrar una opinión con respecto a:</w:t>
      </w:r>
    </w:p>
    <w:p w14:paraId="386EA5AE" w14:textId="77777777" w:rsidR="00356F29" w:rsidRPr="00356F29" w:rsidRDefault="00356F29" w:rsidP="00356F29">
      <w:pPr>
        <w:widowControl w:val="0"/>
        <w:spacing w:after="0"/>
        <w:ind w:left="851"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a)</w:t>
      </w:r>
      <w:r w:rsidRPr="00356F29">
        <w:rPr>
          <w:rFonts w:ascii="Times New Roman" w:eastAsia="Times New Roman" w:hAnsi="Times New Roman" w:cs="Times New Roman"/>
          <w:sz w:val="24"/>
          <w:szCs w:val="24"/>
          <w:lang w:eastAsia="es-ES"/>
        </w:rPr>
        <w:tab/>
        <w:t>La suficiencia y razonabilidad de los datos.</w:t>
      </w:r>
    </w:p>
    <w:p w14:paraId="07D6D7C2" w14:textId="77777777" w:rsidR="00356F29" w:rsidRPr="00356F29" w:rsidRDefault="00356F29" w:rsidP="00356F29">
      <w:pPr>
        <w:widowControl w:val="0"/>
        <w:spacing w:after="0"/>
        <w:ind w:left="851"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b)</w:t>
      </w:r>
      <w:r w:rsidRPr="00356F29">
        <w:rPr>
          <w:rFonts w:ascii="Times New Roman" w:eastAsia="Times New Roman" w:hAnsi="Times New Roman" w:cs="Times New Roman"/>
          <w:sz w:val="24"/>
          <w:szCs w:val="24"/>
          <w:lang w:eastAsia="es-ES"/>
        </w:rPr>
        <w:tab/>
        <w:t>La razonabilidad de los supuestos.</w:t>
      </w:r>
    </w:p>
    <w:p w14:paraId="1AE437C2" w14:textId="77777777" w:rsidR="00356F29" w:rsidRDefault="00356F29" w:rsidP="00356F29">
      <w:pPr>
        <w:widowControl w:val="0"/>
        <w:spacing w:after="0"/>
        <w:ind w:left="851"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c)</w:t>
      </w:r>
      <w:r w:rsidRPr="00356F29">
        <w:rPr>
          <w:rFonts w:ascii="Times New Roman" w:eastAsia="Times New Roman" w:hAnsi="Times New Roman" w:cs="Times New Roman"/>
          <w:sz w:val="24"/>
          <w:szCs w:val="24"/>
          <w:lang w:eastAsia="es-ES"/>
        </w:rPr>
        <w:tab/>
        <w:t>Lo apropiado de la metodología y consistencia con principios actuariales sólidos y generalmente aceptados.</w:t>
      </w:r>
    </w:p>
    <w:p w14:paraId="125B3961" w14:textId="403BC6E0" w:rsidR="005275B5" w:rsidRDefault="00356F29" w:rsidP="00356F29">
      <w:pPr>
        <w:widowControl w:val="0"/>
        <w:spacing w:after="0"/>
        <w:ind w:left="851" w:hanging="425"/>
        <w:jc w:val="both"/>
        <w:rPr>
          <w:rFonts w:ascii="Times New Roman" w:eastAsia="Times New Roman" w:hAnsi="Times New Roman" w:cs="Times New Roman"/>
          <w:sz w:val="24"/>
          <w:szCs w:val="24"/>
          <w:lang w:eastAsia="es-ES"/>
        </w:rPr>
      </w:pPr>
      <w:r w:rsidRPr="00356F29">
        <w:rPr>
          <w:rFonts w:ascii="Times New Roman" w:eastAsia="Times New Roman" w:hAnsi="Times New Roman" w:cs="Times New Roman"/>
          <w:sz w:val="24"/>
          <w:szCs w:val="24"/>
          <w:lang w:eastAsia="es-ES"/>
        </w:rPr>
        <w:t>d)</w:t>
      </w:r>
      <w:r w:rsidRPr="00356F29">
        <w:rPr>
          <w:rFonts w:ascii="Times New Roman" w:eastAsia="Times New Roman" w:hAnsi="Times New Roman" w:cs="Times New Roman"/>
          <w:sz w:val="24"/>
          <w:szCs w:val="24"/>
          <w:lang w:eastAsia="es-ES"/>
        </w:rPr>
        <w:tab/>
        <w:t xml:space="preserve">La utilización del informe actuarial auditado para la toma de decisiones y como </w:t>
      </w:r>
      <w:r w:rsidRPr="00356F29">
        <w:rPr>
          <w:rFonts w:ascii="Times New Roman" w:eastAsia="Times New Roman" w:hAnsi="Times New Roman" w:cs="Times New Roman"/>
          <w:sz w:val="24"/>
          <w:szCs w:val="24"/>
          <w:lang w:eastAsia="es-ES"/>
        </w:rPr>
        <w:lastRenderedPageBreak/>
        <w:t>indicador transparente y fidedigno del estado de solvencia actuarial del régimen de pensiones.</w:t>
      </w:r>
    </w:p>
    <w:p w14:paraId="50494399" w14:textId="77777777" w:rsidR="00356F29" w:rsidRPr="005275B5" w:rsidRDefault="00356F29" w:rsidP="00356F29">
      <w:pPr>
        <w:widowControl w:val="0"/>
        <w:spacing w:after="0"/>
        <w:ind w:left="851" w:hanging="425"/>
        <w:jc w:val="both"/>
        <w:rPr>
          <w:rFonts w:ascii="Times New Roman" w:eastAsia="Times New Roman" w:hAnsi="Times New Roman" w:cs="Times New Roman"/>
          <w:sz w:val="24"/>
          <w:szCs w:val="24"/>
          <w:lang w:eastAsia="es-ES"/>
        </w:rPr>
      </w:pPr>
    </w:p>
    <w:p w14:paraId="125B3962" w14:textId="77777777" w:rsidR="005275B5" w:rsidRPr="005275B5" w:rsidRDefault="005275B5" w:rsidP="005275B5">
      <w:pPr>
        <w:widowControl w:val="0"/>
        <w:spacing w:after="0" w:line="240" w:lineRule="auto"/>
        <w:ind w:left="284" w:right="283" w:hanging="284"/>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Artículo 20. Sustitución del profesional o de la firma designada</w:t>
      </w:r>
    </w:p>
    <w:p w14:paraId="125B3963"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En el caso de que un régimen resuelva sustituir al actuario o firma encargada de la valuación o auditoría actuarial, esta circunstancia debe ser comunicada a la SUPEN en un plazo máximo de cinco días hábiles posteriores a la sustitución, junto con una explicación detallada de la causa de la sustitución.</w:t>
      </w:r>
    </w:p>
    <w:p w14:paraId="125B3964" w14:textId="77777777" w:rsidR="005275B5" w:rsidRPr="005275B5" w:rsidRDefault="005275B5" w:rsidP="005275B5">
      <w:pPr>
        <w:widowControl w:val="0"/>
        <w:spacing w:after="0" w:line="240" w:lineRule="auto"/>
        <w:ind w:right="283" w:hanging="284"/>
        <w:jc w:val="both"/>
        <w:rPr>
          <w:rFonts w:ascii="Times New Roman" w:eastAsia="Times New Roman" w:hAnsi="Times New Roman" w:cs="Times New Roman"/>
          <w:sz w:val="24"/>
          <w:szCs w:val="24"/>
          <w:lang w:eastAsia="es-ES"/>
        </w:rPr>
      </w:pPr>
    </w:p>
    <w:p w14:paraId="125B3965"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El actuario o firma contratada para realizar la valuación o auditoría actuarial, debe remitir a la SUPEN su criterio respecto de la causa que originó la sustitución. En caso de que la valuación o auditoría actuarial haya sido concluida, el actuario o la firma contratada deben informar sobre el resultado de su valuación al régimen y a la SUPEN.”</w:t>
      </w:r>
    </w:p>
    <w:p w14:paraId="125B3966" w14:textId="77777777" w:rsidR="005275B5" w:rsidRPr="005275B5" w:rsidRDefault="005275B5" w:rsidP="005275B5">
      <w:pPr>
        <w:widowControl w:val="0"/>
        <w:spacing w:after="0" w:line="240" w:lineRule="auto"/>
        <w:ind w:right="283"/>
        <w:jc w:val="both"/>
        <w:rPr>
          <w:rFonts w:ascii="Times New Roman" w:eastAsia="Times New Roman" w:hAnsi="Times New Roman" w:cs="Times New Roman"/>
          <w:sz w:val="24"/>
          <w:szCs w:val="24"/>
          <w:lang w:eastAsia="es-ES"/>
        </w:rPr>
      </w:pPr>
    </w:p>
    <w:p w14:paraId="125B3967" w14:textId="77777777" w:rsidR="005275B5" w:rsidRPr="005275B5" w:rsidRDefault="005275B5" w:rsidP="005275B5">
      <w:pPr>
        <w:widowControl w:val="0"/>
        <w:spacing w:after="0" w:line="240" w:lineRule="auto"/>
        <w:jc w:val="both"/>
        <w:rPr>
          <w:rFonts w:ascii="Times New Roman" w:eastAsia="Times New Roman" w:hAnsi="Times New Roman" w:cs="Times New Roman"/>
          <w:b/>
          <w:sz w:val="24"/>
          <w:szCs w:val="24"/>
          <w:lang w:eastAsia="es-ES"/>
        </w:rPr>
      </w:pPr>
      <w:r w:rsidRPr="005275B5">
        <w:rPr>
          <w:rFonts w:ascii="Times New Roman" w:eastAsia="Times New Roman" w:hAnsi="Times New Roman" w:cs="Times New Roman"/>
          <w:b/>
          <w:sz w:val="24"/>
          <w:szCs w:val="24"/>
          <w:lang w:eastAsia="es-ES"/>
        </w:rPr>
        <w:t>Vigencia.</w:t>
      </w:r>
    </w:p>
    <w:p w14:paraId="125B3968" w14:textId="77777777" w:rsidR="005275B5" w:rsidRPr="005275B5" w:rsidRDefault="005275B5" w:rsidP="005275B5">
      <w:pPr>
        <w:widowControl w:val="0"/>
        <w:spacing w:after="0" w:line="240" w:lineRule="auto"/>
        <w:jc w:val="both"/>
        <w:rPr>
          <w:rFonts w:ascii="Times New Roman" w:eastAsia="Times New Roman" w:hAnsi="Times New Roman" w:cs="Times New Roman"/>
          <w:sz w:val="24"/>
          <w:szCs w:val="24"/>
          <w:lang w:eastAsia="es-ES"/>
        </w:rPr>
      </w:pPr>
      <w:r w:rsidRPr="005275B5">
        <w:rPr>
          <w:rFonts w:ascii="Times New Roman" w:eastAsia="Times New Roman" w:hAnsi="Times New Roman" w:cs="Times New Roman"/>
          <w:sz w:val="24"/>
          <w:szCs w:val="24"/>
          <w:lang w:eastAsia="es-ES"/>
        </w:rPr>
        <w:t>Rige a partir del 1° de enero del 2017.</w:t>
      </w:r>
    </w:p>
    <w:p w14:paraId="125B3969" w14:textId="77777777" w:rsidR="005275B5" w:rsidRPr="005275B5" w:rsidRDefault="005275B5" w:rsidP="00CE6F0D">
      <w:pPr>
        <w:tabs>
          <w:tab w:val="left" w:pos="1056"/>
        </w:tabs>
        <w:rPr>
          <w:sz w:val="24"/>
          <w:szCs w:val="24"/>
        </w:rPr>
      </w:pPr>
    </w:p>
    <w:sectPr w:rsidR="005275B5" w:rsidRPr="005275B5" w:rsidSect="000C6A2D">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59CA1" w14:textId="77777777" w:rsidR="00B612F9" w:rsidRDefault="00B612F9" w:rsidP="000C6A2D">
      <w:pPr>
        <w:spacing w:after="0" w:line="240" w:lineRule="auto"/>
      </w:pPr>
      <w:r>
        <w:separator/>
      </w:r>
    </w:p>
  </w:endnote>
  <w:endnote w:type="continuationSeparator" w:id="0">
    <w:p w14:paraId="2EC15F1D" w14:textId="77777777" w:rsidR="00B612F9" w:rsidRDefault="00B612F9" w:rsidP="000C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7B10" w14:textId="77777777" w:rsidR="00386CF2" w:rsidRDefault="00386C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C95C" w14:textId="19E2E56B" w:rsidR="00395464" w:rsidRDefault="00BF07C1">
    <w:pPr>
      <w:pStyle w:val="Piedepgina"/>
    </w:pPr>
    <w:r>
      <w:rPr>
        <w:noProof/>
      </w:rPr>
      <mc:AlternateContent>
        <mc:Choice Requires="wps">
          <w:drawing>
            <wp:anchor distT="0" distB="0" distL="114300" distR="114300" simplePos="0" relativeHeight="251658240" behindDoc="0" locked="0" layoutInCell="0" allowOverlap="1" wp14:anchorId="3087EFF8" wp14:editId="5D2BD86F">
              <wp:simplePos x="0" y="0"/>
              <wp:positionH relativeFrom="page">
                <wp:posOffset>0</wp:posOffset>
              </wp:positionH>
              <wp:positionV relativeFrom="page">
                <wp:posOffset>9594215</wp:posOffset>
              </wp:positionV>
              <wp:extent cx="7772400" cy="273050"/>
              <wp:effectExtent l="0" t="0" r="0" b="12700"/>
              <wp:wrapNone/>
              <wp:docPr id="2" name="MSIPCMe4f045679712deacd3d84dfd" descr="{&quot;HashCode&quot;:118623000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695547" w14:textId="27A1DE1B" w:rsidR="00BF07C1" w:rsidRPr="00BF07C1" w:rsidRDefault="00BF07C1" w:rsidP="00BF07C1">
                          <w:pPr>
                            <w:spacing w:after="0"/>
                            <w:jc w:val="center"/>
                            <w:rPr>
                              <w:rFonts w:ascii="Calibri" w:hAnsi="Calibri" w:cs="Calibri"/>
                              <w:color w:val="000000"/>
                              <w:sz w:val="20"/>
                            </w:rPr>
                          </w:pPr>
                          <w:r w:rsidRPr="00BF07C1">
                            <w:rPr>
                              <w:rFonts w:ascii="Calibri" w:hAnsi="Calibri" w:cs="Calibri"/>
                              <w:color w:val="000000"/>
                              <w:sz w:val="20"/>
                            </w:rPr>
                            <w:t>Uso Interno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87EFF8" id="_x0000_t202" coordsize="21600,21600" o:spt="202" path="m,l,21600r21600,l21600,xe">
              <v:stroke joinstyle="miter"/>
              <v:path gradientshapeok="t" o:connecttype="rect"/>
            </v:shapetype>
            <v:shape id="MSIPCMe4f045679712deacd3d84dfd" o:spid="_x0000_s1032" type="#_x0000_t202" alt="{&quot;HashCode&quot;:1186230005,&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07695547" w14:textId="27A1DE1B" w:rsidR="00BF07C1" w:rsidRPr="00BF07C1" w:rsidRDefault="00BF07C1" w:rsidP="00BF07C1">
                    <w:pPr>
                      <w:spacing w:after="0"/>
                      <w:jc w:val="center"/>
                      <w:rPr>
                        <w:rFonts w:ascii="Calibri" w:hAnsi="Calibri" w:cs="Calibri"/>
                        <w:color w:val="000000"/>
                        <w:sz w:val="20"/>
                      </w:rPr>
                    </w:pPr>
                    <w:r w:rsidRPr="00BF07C1">
                      <w:rPr>
                        <w:rFonts w:ascii="Calibri" w:hAnsi="Calibri" w:cs="Calibri"/>
                        <w:color w:val="000000"/>
                        <w:sz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6B70" w14:textId="057445A5" w:rsidR="00395464" w:rsidRDefault="00BF07C1">
    <w:pPr>
      <w:pStyle w:val="Piedepgina"/>
    </w:pPr>
    <w:r>
      <w:rPr>
        <w:noProof/>
      </w:rPr>
      <mc:AlternateContent>
        <mc:Choice Requires="wps">
          <w:drawing>
            <wp:anchor distT="0" distB="0" distL="114300" distR="114300" simplePos="0" relativeHeight="251659264" behindDoc="0" locked="0" layoutInCell="0" allowOverlap="1" wp14:anchorId="58A08ADB" wp14:editId="4742B8AF">
              <wp:simplePos x="0" y="0"/>
              <wp:positionH relativeFrom="page">
                <wp:posOffset>0</wp:posOffset>
              </wp:positionH>
              <wp:positionV relativeFrom="page">
                <wp:posOffset>9594215</wp:posOffset>
              </wp:positionV>
              <wp:extent cx="7772400" cy="273050"/>
              <wp:effectExtent l="0" t="0" r="0" b="12700"/>
              <wp:wrapNone/>
              <wp:docPr id="11" name="MSIPCM26474525bf1c1c308dce1468" descr="{&quot;HashCode&quot;:118623000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C04D59" w14:textId="62D74086" w:rsidR="00BF07C1" w:rsidRPr="00BF07C1" w:rsidRDefault="00BF07C1" w:rsidP="00BF07C1">
                          <w:pPr>
                            <w:spacing w:after="0"/>
                            <w:jc w:val="center"/>
                            <w:rPr>
                              <w:rFonts w:ascii="Calibri" w:hAnsi="Calibri" w:cs="Calibri"/>
                              <w:color w:val="000000"/>
                              <w:sz w:val="20"/>
                            </w:rPr>
                          </w:pPr>
                          <w:r w:rsidRPr="00BF07C1">
                            <w:rPr>
                              <w:rFonts w:ascii="Calibri" w:hAnsi="Calibri" w:cs="Calibri"/>
                              <w:color w:val="000000"/>
                              <w:sz w:val="20"/>
                            </w:rPr>
                            <w:t>Uso Interno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A08ADB" id="_x0000_t202" coordsize="21600,21600" o:spt="202" path="m,l,21600r21600,l21600,xe">
              <v:stroke joinstyle="miter"/>
              <v:path gradientshapeok="t" o:connecttype="rect"/>
            </v:shapetype>
            <v:shape id="MSIPCM26474525bf1c1c308dce1468" o:spid="_x0000_s1033" type="#_x0000_t202" alt="{&quot;HashCode&quot;:1186230005,&quot;Height&quot;:792.0,&quot;Width&quot;:612.0,&quot;Placement&quot;:&quot;Footer&quot;,&quot;Index&quot;:&quot;FirstPage&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" o:allowincell="f" filled="f" stroked="f" strokeweight=".5pt">
              <v:textbox inset=",0,,0">
                <w:txbxContent>
                  <w:p w14:paraId="4DC04D59" w14:textId="62D74086" w:rsidR="00BF07C1" w:rsidRPr="00BF07C1" w:rsidRDefault="00BF07C1" w:rsidP="00BF07C1">
                    <w:pPr>
                      <w:spacing w:after="0"/>
                      <w:jc w:val="center"/>
                      <w:rPr>
                        <w:rFonts w:ascii="Calibri" w:hAnsi="Calibri" w:cs="Calibri"/>
                        <w:color w:val="000000"/>
                        <w:sz w:val="20"/>
                      </w:rPr>
                    </w:pPr>
                    <w:r w:rsidRPr="00BF07C1">
                      <w:rPr>
                        <w:rFonts w:ascii="Calibri" w:hAnsi="Calibri" w:cs="Calibri"/>
                        <w:color w:val="000000"/>
                        <w:sz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F8F4" w14:textId="77777777" w:rsidR="00B612F9" w:rsidRDefault="00B612F9" w:rsidP="000C6A2D">
      <w:pPr>
        <w:spacing w:after="0" w:line="240" w:lineRule="auto"/>
      </w:pPr>
      <w:r>
        <w:separator/>
      </w:r>
    </w:p>
  </w:footnote>
  <w:footnote w:type="continuationSeparator" w:id="0">
    <w:p w14:paraId="2B11E3F2" w14:textId="77777777" w:rsidR="00B612F9" w:rsidRDefault="00B612F9" w:rsidP="000C6A2D">
      <w:pPr>
        <w:spacing w:after="0" w:line="240" w:lineRule="auto"/>
      </w:pPr>
      <w:r>
        <w:continuationSeparator/>
      </w:r>
    </w:p>
  </w:footnote>
  <w:footnote w:id="1">
    <w:p w14:paraId="450C0C25" w14:textId="3F42538E" w:rsidR="00DD6E62" w:rsidRPr="009E72B8" w:rsidRDefault="00DD6E62" w:rsidP="009E72B8">
      <w:pPr>
        <w:pStyle w:val="Textonotapie"/>
        <w:jc w:val="both"/>
        <w:rPr>
          <w:rFonts w:ascii="Times New Roman" w:hAnsi="Times New Roman" w:cs="Times New Roman"/>
        </w:rPr>
      </w:pPr>
      <w:r w:rsidRPr="009E72B8">
        <w:rPr>
          <w:rStyle w:val="Refdenotaalpie"/>
          <w:rFonts w:ascii="Times New Roman" w:hAnsi="Times New Roman" w:cs="Times New Roman"/>
        </w:rPr>
        <w:footnoteRef/>
      </w:r>
      <w:r w:rsidRPr="009E72B8">
        <w:rPr>
          <w:rFonts w:ascii="Times New Roman" w:hAnsi="Times New Roman" w:cs="Times New Roman"/>
        </w:rPr>
        <w:t xml:space="preserve"> </w:t>
      </w:r>
      <w:r w:rsidR="009E72B8" w:rsidRPr="009E72B8">
        <w:rPr>
          <w:rFonts w:ascii="Times New Roman" w:hAnsi="Times New Roman" w:cs="Times New Roman"/>
        </w:rPr>
        <w:t>Adicionado por el Consejo Nacional de Supervisión del Sistema Financiero, mediante artículo 7, de la sesión 1802-2023 del 19 de junio del 2023, publicada en La Gaceta número 123, alcance número 131, del viernes 07 de julio de 2023.</w:t>
      </w:r>
    </w:p>
  </w:footnote>
  <w:footnote w:id="2">
    <w:p w14:paraId="44DA27D6" w14:textId="237F99A0" w:rsidR="00787FB6" w:rsidRPr="00787FB6" w:rsidRDefault="00787FB6">
      <w:pPr>
        <w:pStyle w:val="Textonotapie"/>
      </w:pPr>
      <w:r w:rsidRPr="009E72B8">
        <w:rPr>
          <w:rStyle w:val="Refdenotaalpie"/>
          <w:rFonts w:ascii="Times New Roman" w:hAnsi="Times New Roman" w:cs="Times New Roman"/>
        </w:rPr>
        <w:footnoteRef/>
      </w:r>
      <w:r w:rsidRPr="009E72B8">
        <w:rPr>
          <w:rFonts w:ascii="Times New Roman" w:hAnsi="Times New Roman" w:cs="Times New Roman"/>
        </w:rPr>
        <w:t xml:space="preserve"> Adicionado por el Consejo Nacional de Supervisión del Sistema Financiero, mediante artículo 7, de la sesión 1802-2023 del 19 de junio del 2023, publicada en La Gaceta número 123, alcance número 131, del viernes 07 de julio de 2023.</w:t>
      </w:r>
    </w:p>
  </w:footnote>
  <w:footnote w:id="3">
    <w:p w14:paraId="123B3EA0" w14:textId="42E522C6" w:rsidR="005A39BD" w:rsidRPr="005A39BD" w:rsidRDefault="005A39BD">
      <w:pPr>
        <w:pStyle w:val="Textonotapie"/>
      </w:pPr>
      <w:r w:rsidRPr="005A39BD">
        <w:rPr>
          <w:rStyle w:val="Refdenotaalpie"/>
          <w:rFonts w:ascii="Times New Roman" w:hAnsi="Times New Roman" w:cs="Times New Roman"/>
        </w:rPr>
        <w:footnoteRef/>
      </w:r>
      <w:r w:rsidRPr="005A39BD">
        <w:rPr>
          <w:rFonts w:ascii="Times New Roman" w:hAnsi="Times New Roman" w:cs="Times New Roman"/>
        </w:rPr>
        <w:t xml:space="preserve"> </w:t>
      </w:r>
      <w:r w:rsidRPr="009E72B8">
        <w:rPr>
          <w:rFonts w:ascii="Times New Roman" w:hAnsi="Times New Roman" w:cs="Times New Roman"/>
        </w:rPr>
        <w:t>Adicionado por el Consejo Nacional de Supervisión del Sistema Financiero, mediante artículo 7, de la sesión 1802-2023 del 19 de junio del 2023, publicada en La Gaceta número 123, alcance número 131, del viernes 07 de julio de 2023.</w:t>
      </w:r>
    </w:p>
  </w:footnote>
  <w:footnote w:id="4">
    <w:p w14:paraId="14EB8065" w14:textId="157613EA" w:rsidR="00BA1A87" w:rsidRPr="00BA1A87" w:rsidRDefault="00BA1A87">
      <w:pPr>
        <w:pStyle w:val="Textonotapie"/>
      </w:pPr>
      <w:r w:rsidRPr="00BA1A87">
        <w:rPr>
          <w:rStyle w:val="Refdenotaalpie"/>
          <w:rFonts w:ascii="Times New Roman" w:hAnsi="Times New Roman" w:cs="Times New Roman"/>
        </w:rPr>
        <w:footnoteRef/>
      </w:r>
      <w:r w:rsidRPr="00BA1A87">
        <w:rPr>
          <w:rFonts w:ascii="Times New Roman" w:hAnsi="Times New Roman" w:cs="Times New Roman"/>
        </w:rPr>
        <w:t xml:space="preserve"> </w:t>
      </w:r>
      <w:r w:rsidRPr="009E72B8">
        <w:rPr>
          <w:rFonts w:ascii="Times New Roman" w:hAnsi="Times New Roman" w:cs="Times New Roman"/>
        </w:rPr>
        <w:t>Adicionado por el Consejo Nacional de Supervisión del Sistema Financiero, mediante artículo 7, de la sesión 1802-2023 del 19 de junio del 2023, publicada en La Gaceta número 123, alcance número 131, del viernes 07 de julio de 2023.</w:t>
      </w:r>
    </w:p>
  </w:footnote>
  <w:footnote w:id="5">
    <w:p w14:paraId="56A63AE2" w14:textId="1C5AEF4A" w:rsidR="00D3307F" w:rsidRPr="009A75DB" w:rsidRDefault="00D3307F" w:rsidP="00015E0C">
      <w:pPr>
        <w:pStyle w:val="Textonotapie"/>
        <w:jc w:val="both"/>
      </w:pPr>
      <w:r w:rsidRPr="009A75DB">
        <w:rPr>
          <w:rStyle w:val="Refdenotaalpie"/>
          <w:rFonts w:ascii="Times New Roman" w:hAnsi="Times New Roman" w:cs="Times New Roman"/>
        </w:rPr>
        <w:footnoteRef/>
      </w:r>
      <w:r w:rsidRPr="009A75DB">
        <w:rPr>
          <w:rFonts w:ascii="Times New Roman" w:hAnsi="Times New Roman" w:cs="Times New Roman"/>
        </w:rPr>
        <w:t xml:space="preserve"> </w:t>
      </w:r>
      <w:r>
        <w:rPr>
          <w:rFonts w:ascii="Times New Roman" w:hAnsi="Times New Roman" w:cs="Times New Roman"/>
        </w:rPr>
        <w:t>Modificado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viernes 07 de julio de 2023.</w:t>
      </w:r>
    </w:p>
  </w:footnote>
  <w:footnote w:id="6">
    <w:p w14:paraId="0E0C7A3F" w14:textId="77777777" w:rsidR="00D43C50" w:rsidRPr="00376512" w:rsidRDefault="00D43C50" w:rsidP="00D43C50">
      <w:pPr>
        <w:pStyle w:val="Textonotapie"/>
        <w:jc w:val="both"/>
      </w:pPr>
      <w:r w:rsidRPr="00376512">
        <w:rPr>
          <w:rStyle w:val="Refdenotaalpie"/>
          <w:rFonts w:ascii="Times New Roman" w:hAnsi="Times New Roman" w:cs="Times New Roman"/>
        </w:rPr>
        <w:footnoteRef/>
      </w:r>
      <w:r>
        <w:t xml:space="preserve"> </w:t>
      </w:r>
      <w:r w:rsidRPr="009E72B8">
        <w:rPr>
          <w:rFonts w:ascii="Times New Roman" w:hAnsi="Times New Roman" w:cs="Times New Roman"/>
        </w:rPr>
        <w:t>Adicionado por el Consejo Nacional de Supervisión del Sistema Financiero, mediante artículo 7, de la sesión 1802-2023 del 19 de junio del 2023, publicada en La Gaceta número 123, alcance número 131, del viernes 07 de julio de 2023.</w:t>
      </w:r>
    </w:p>
  </w:footnote>
  <w:footnote w:id="7">
    <w:p w14:paraId="0FBA6F66" w14:textId="77777777" w:rsidR="00D43C50" w:rsidRPr="00015E0C" w:rsidRDefault="00D43C50" w:rsidP="00D43C50">
      <w:pPr>
        <w:pStyle w:val="Textonotapie"/>
      </w:pPr>
      <w:r w:rsidRPr="00015E0C">
        <w:rPr>
          <w:rStyle w:val="Refdenotaalpie"/>
          <w:rFonts w:ascii="Times New Roman" w:hAnsi="Times New Roman" w:cs="Times New Roman"/>
        </w:rPr>
        <w:footnoteRef/>
      </w:r>
      <w:r>
        <w:t xml:space="preserve"> </w:t>
      </w:r>
      <w:r w:rsidRPr="009E72B8">
        <w:rPr>
          <w:rFonts w:ascii="Times New Roman" w:hAnsi="Times New Roman" w:cs="Times New Roman"/>
        </w:rPr>
        <w:t>Adicionado por el Consejo Nacional de Supervisión del Sistema Financiero, mediante artículo 7, de la sesión 1802-2023 del 19 de junio del 2023, publicada en La Gaceta número 123, alcance número 131, del viernes 07 de julio de 2023.</w:t>
      </w:r>
    </w:p>
  </w:footnote>
  <w:footnote w:id="8">
    <w:p w14:paraId="3E56C7A7" w14:textId="77777777" w:rsidR="000C79F7" w:rsidRPr="00015E0C" w:rsidRDefault="000C79F7" w:rsidP="000C79F7">
      <w:pPr>
        <w:pStyle w:val="Textonotapie"/>
      </w:pPr>
      <w:r w:rsidRPr="000C79F7">
        <w:rPr>
          <w:rStyle w:val="Refdenotaalpie"/>
          <w:rFonts w:ascii="Times New Roman" w:hAnsi="Times New Roman" w:cs="Times New Roman"/>
        </w:rPr>
        <w:footnoteRef/>
      </w:r>
      <w:r w:rsidRPr="000C79F7">
        <w:rPr>
          <w:rFonts w:ascii="Times New Roman" w:hAnsi="Times New Roman" w:cs="Times New Roman"/>
        </w:rPr>
        <w:t xml:space="preserve"> </w:t>
      </w:r>
      <w:r w:rsidRPr="009E72B8">
        <w:rPr>
          <w:rFonts w:ascii="Times New Roman" w:hAnsi="Times New Roman" w:cs="Times New Roman"/>
        </w:rPr>
        <w:t>Adicionado por el Consejo Nacional de Supervisión del Sistema Financiero, mediante artículo 7, de la sesión 1802-2023 del 19 de junio del 2023, publicada en La Gaceta número 123, alcance número 131, del viernes 07 de julio de 2023.</w:t>
      </w:r>
    </w:p>
    <w:p w14:paraId="79C0779E" w14:textId="22363540" w:rsidR="000C79F7" w:rsidRPr="000C79F7" w:rsidRDefault="000C79F7">
      <w:pPr>
        <w:pStyle w:val="Textonotapie"/>
      </w:pPr>
    </w:p>
  </w:footnote>
  <w:footnote w:id="9">
    <w:p w14:paraId="7EA03289" w14:textId="0F471AB3" w:rsidR="00F649DB" w:rsidRPr="00F649DB" w:rsidRDefault="00F649DB" w:rsidP="009D45CB">
      <w:pPr>
        <w:pStyle w:val="Textonotapie"/>
        <w:jc w:val="both"/>
      </w:pPr>
      <w:r w:rsidRPr="00F649DB">
        <w:rPr>
          <w:rStyle w:val="Refdenotaalpie"/>
          <w:rFonts w:ascii="Times New Roman" w:hAnsi="Times New Roman" w:cs="Times New Roman"/>
        </w:rPr>
        <w:footnoteRef/>
      </w:r>
      <w:r>
        <w:t xml:space="preserve"> </w:t>
      </w:r>
      <w:r w:rsidRPr="009E72B8">
        <w:rPr>
          <w:rFonts w:ascii="Times New Roman" w:hAnsi="Times New Roman" w:cs="Times New Roman"/>
        </w:rPr>
        <w:t>Adicionado por el Consejo Nacional de Supervisión del Sistema Financiero, mediante artículo 7, de la sesión 1802-2023 del 19 de junio del 2023, publicada en La Gaceta número 123, alcance número 131, del viernes 07 de julio de 2023.</w:t>
      </w:r>
    </w:p>
  </w:footnote>
  <w:footnote w:id="10">
    <w:p w14:paraId="7F12D86E" w14:textId="7C752731" w:rsidR="000223E1" w:rsidRPr="00E37B9E" w:rsidRDefault="000223E1" w:rsidP="009D45CB">
      <w:pPr>
        <w:pStyle w:val="Textonotapie"/>
        <w:jc w:val="both"/>
        <w:rPr>
          <w:rFonts w:ascii="Times New Roman" w:hAnsi="Times New Roman" w:cs="Times New Roman"/>
        </w:rPr>
      </w:pPr>
      <w:r w:rsidRPr="000223E1">
        <w:rPr>
          <w:rStyle w:val="Refdenotaalpie"/>
          <w:rFonts w:ascii="Times New Roman" w:hAnsi="Times New Roman" w:cs="Times New Roman"/>
        </w:rPr>
        <w:footnoteRef/>
      </w:r>
      <w:r w:rsidRPr="000223E1">
        <w:rPr>
          <w:rFonts w:ascii="Times New Roman" w:hAnsi="Times New Roman" w:cs="Times New Roman"/>
        </w:rPr>
        <w:t xml:space="preserve"> </w:t>
      </w:r>
      <w:r w:rsidR="00B53167">
        <w:rPr>
          <w:rFonts w:ascii="Times New Roman" w:hAnsi="Times New Roman" w:cs="Times New Roman"/>
        </w:rPr>
        <w:t>Reformado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Pr="00E37B9E">
        <w:rPr>
          <w:rFonts w:ascii="Times New Roman" w:hAnsi="Times New Roman" w:cs="Times New Roman"/>
        </w:rPr>
        <w:t>viernes 07 de julio de 2023.</w:t>
      </w:r>
    </w:p>
  </w:footnote>
  <w:footnote w:id="11">
    <w:p w14:paraId="64313039" w14:textId="77777777" w:rsidR="00E37B9E" w:rsidRPr="00F649DB" w:rsidRDefault="00E37B9E" w:rsidP="009D45CB">
      <w:pPr>
        <w:pStyle w:val="Textonotapie"/>
        <w:jc w:val="both"/>
      </w:pPr>
      <w:r w:rsidRPr="00E37B9E">
        <w:rPr>
          <w:rStyle w:val="Refdenotaalpie"/>
          <w:rFonts w:ascii="Times New Roman" w:hAnsi="Times New Roman" w:cs="Times New Roman"/>
        </w:rPr>
        <w:footnoteRef/>
      </w:r>
      <w:r w:rsidRPr="00E37B9E">
        <w:rPr>
          <w:rFonts w:ascii="Times New Roman" w:hAnsi="Times New Roman" w:cs="Times New Roman"/>
        </w:rPr>
        <w:t xml:space="preserve"> </w:t>
      </w:r>
      <w:r w:rsidRPr="00E37B9E">
        <w:rPr>
          <w:rFonts w:ascii="Times New Roman" w:hAnsi="Times New Roman" w:cs="Times New Roman"/>
        </w:rPr>
        <w:t>Adicionado por el Consejo Nacional de Supervisión del Sistema Financiero, mediante artículo 7, de la</w:t>
      </w:r>
      <w:r w:rsidRPr="009E72B8">
        <w:rPr>
          <w:rFonts w:ascii="Times New Roman" w:hAnsi="Times New Roman" w:cs="Times New Roman"/>
        </w:rPr>
        <w:t xml:space="preserve"> sesión 1802-2023 del 19 de junio del 2023, publicada en La Gaceta número 123, alcance número 131, del viernes 07 de julio de 2023.</w:t>
      </w:r>
    </w:p>
    <w:p w14:paraId="547733C4" w14:textId="4E13ED59" w:rsidR="00E37B9E" w:rsidRPr="00E37B9E" w:rsidRDefault="00E37B9E">
      <w:pPr>
        <w:pStyle w:val="Textonotapie"/>
      </w:pPr>
    </w:p>
  </w:footnote>
  <w:footnote w:id="12">
    <w:p w14:paraId="4884E5FE" w14:textId="06B4A930" w:rsidR="006B46CE" w:rsidRPr="00E37B9E" w:rsidRDefault="006B46CE" w:rsidP="00B53167">
      <w:pPr>
        <w:pStyle w:val="Textonotapie"/>
        <w:jc w:val="both"/>
        <w:rPr>
          <w:rFonts w:ascii="Times New Roman" w:hAnsi="Times New Roman" w:cs="Times New Roman"/>
        </w:rPr>
      </w:pPr>
      <w:r w:rsidRPr="006B46CE">
        <w:rPr>
          <w:rStyle w:val="Refdenotaalpie"/>
          <w:rFonts w:ascii="Times New Roman" w:hAnsi="Times New Roman" w:cs="Times New Roman"/>
        </w:rPr>
        <w:footnoteRef/>
      </w:r>
      <w:r w:rsidRPr="006B46CE">
        <w:rPr>
          <w:rFonts w:ascii="Times New Roman" w:hAnsi="Times New Roman" w:cs="Times New Roman"/>
        </w:rPr>
        <w:t xml:space="preserve"> </w:t>
      </w:r>
      <w:r w:rsidR="00B53167">
        <w:rPr>
          <w:rFonts w:ascii="Times New Roman" w:hAnsi="Times New Roman" w:cs="Times New Roman"/>
        </w:rPr>
        <w:t>Reformado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Pr="00E37B9E">
        <w:rPr>
          <w:rFonts w:ascii="Times New Roman" w:hAnsi="Times New Roman" w:cs="Times New Roman"/>
        </w:rPr>
        <w:t>viernes 07 de julio de 2023.</w:t>
      </w:r>
    </w:p>
    <w:p w14:paraId="1BE34BF9" w14:textId="2D781A11" w:rsidR="006B46CE" w:rsidRPr="006B46CE" w:rsidRDefault="006B46CE">
      <w:pPr>
        <w:pStyle w:val="Textonotapie"/>
      </w:pPr>
    </w:p>
  </w:footnote>
  <w:footnote w:id="13">
    <w:p w14:paraId="6F6C6D77" w14:textId="197748EC" w:rsidR="00001AD2" w:rsidRPr="00001AD2" w:rsidRDefault="00001AD2" w:rsidP="00001AD2">
      <w:pPr>
        <w:pStyle w:val="Textonotapie"/>
        <w:jc w:val="both"/>
        <w:rPr>
          <w:rFonts w:ascii="Times New Roman" w:hAnsi="Times New Roman" w:cs="Times New Roman"/>
          <w:lang w:val="es-CR"/>
        </w:rPr>
      </w:pPr>
      <w:r w:rsidRPr="00001AD2">
        <w:rPr>
          <w:rStyle w:val="Refdenotaalpie"/>
          <w:rFonts w:ascii="Times New Roman" w:hAnsi="Times New Roman" w:cs="Times New Roman"/>
        </w:rPr>
        <w:footnoteRef/>
      </w:r>
      <w:r w:rsidRPr="00001AD2">
        <w:rPr>
          <w:rFonts w:ascii="Times New Roman" w:hAnsi="Times New Roman" w:cs="Times New Roman"/>
        </w:rPr>
        <w:t xml:space="preserve"> </w:t>
      </w:r>
      <w:r w:rsidR="00B53167">
        <w:rPr>
          <w:rFonts w:ascii="Times New Roman" w:hAnsi="Times New Roman" w:cs="Times New Roman"/>
        </w:rPr>
        <w:t>Reformado</w:t>
      </w:r>
      <w:r w:rsidR="00B53167"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00B53167" w:rsidRPr="00E37B9E">
        <w:rPr>
          <w:rFonts w:ascii="Times New Roman" w:hAnsi="Times New Roman" w:cs="Times New Roman"/>
        </w:rPr>
        <w:t>viernes 07 de julio de 2023.</w:t>
      </w:r>
    </w:p>
  </w:footnote>
  <w:footnote w:id="14">
    <w:p w14:paraId="50BC76CF" w14:textId="77777777" w:rsidR="0053748F" w:rsidRPr="001813D4" w:rsidRDefault="0053748F" w:rsidP="0053748F">
      <w:pPr>
        <w:pStyle w:val="Textonotapie"/>
        <w:jc w:val="both"/>
        <w:rPr>
          <w:rFonts w:ascii="Times New Roman" w:hAnsi="Times New Roman" w:cs="Times New Roman"/>
          <w:lang w:val="es-CR"/>
        </w:rPr>
      </w:pPr>
      <w:r w:rsidRPr="001813D4">
        <w:rPr>
          <w:rStyle w:val="Refdenotaalpie"/>
          <w:rFonts w:ascii="Times New Roman" w:hAnsi="Times New Roman" w:cs="Times New Roman"/>
        </w:rPr>
        <w:footnoteRef/>
      </w:r>
      <w:r w:rsidRPr="001813D4">
        <w:rPr>
          <w:rFonts w:ascii="Times New Roman" w:hAnsi="Times New Roman" w:cs="Times New Roman"/>
        </w:rPr>
        <w:t xml:space="preserve"> </w:t>
      </w:r>
      <w:r w:rsidRPr="001813D4">
        <w:rPr>
          <w:rFonts w:ascii="Times New Roman" w:hAnsi="Times New Roman" w:cs="Times New Roman"/>
          <w:lang w:val="es-CR"/>
        </w:rPr>
        <w:t xml:space="preserve">Reformado mediante </w:t>
      </w:r>
      <w:r w:rsidRPr="001813D4">
        <w:rPr>
          <w:rFonts w:ascii="Times New Roman" w:hAnsi="Times New Roman" w:cs="Times New Roman"/>
          <w:szCs w:val="24"/>
        </w:rPr>
        <w:t>acuerdo del Consejo Nacional de Supervisión del Sistema Financiero en el artículo 5, del acta de la sesión 1696-2021, celebrada el 25 de octubre de 2021. Publicado en el Diario Oficial La Gaceta número 215 del 8 de noviembre de 2021.</w:t>
      </w:r>
    </w:p>
  </w:footnote>
  <w:footnote w:id="15">
    <w:p w14:paraId="66E4A8D3" w14:textId="03DE8590" w:rsidR="00B53167" w:rsidRPr="00B53167" w:rsidRDefault="00B53167" w:rsidP="003C03C2">
      <w:pPr>
        <w:pStyle w:val="Textonotapie"/>
        <w:jc w:val="both"/>
        <w:rPr>
          <w:lang w:val="es-CR"/>
        </w:rPr>
      </w:pPr>
      <w:r w:rsidRPr="00355359">
        <w:rPr>
          <w:rStyle w:val="Refdenotaalpie"/>
          <w:rFonts w:ascii="Times New Roman" w:hAnsi="Times New Roman" w:cs="Times New Roman"/>
        </w:rPr>
        <w:footnoteRef/>
      </w:r>
      <w:r>
        <w:t xml:space="preserve"> </w:t>
      </w:r>
      <w:r w:rsidR="00355359">
        <w:rPr>
          <w:rFonts w:ascii="Times New Roman" w:hAnsi="Times New Roman" w:cs="Times New Roman"/>
        </w:rPr>
        <w:t>Reformado</w:t>
      </w:r>
      <w:r w:rsidR="00355359"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00355359" w:rsidRPr="00E37B9E">
        <w:rPr>
          <w:rFonts w:ascii="Times New Roman" w:hAnsi="Times New Roman" w:cs="Times New Roman"/>
        </w:rPr>
        <w:t>viernes 07 de julio de 2023.</w:t>
      </w:r>
    </w:p>
  </w:footnote>
  <w:footnote w:id="16">
    <w:p w14:paraId="22A5911B" w14:textId="21EE263E" w:rsidR="00F86B53" w:rsidRPr="00F86B53" w:rsidRDefault="00F86B53" w:rsidP="00F86B53">
      <w:pPr>
        <w:pStyle w:val="Textonotapie"/>
        <w:jc w:val="both"/>
        <w:rPr>
          <w:lang w:val="es-CR"/>
        </w:rPr>
      </w:pPr>
      <w:r w:rsidRPr="00F86B53">
        <w:rPr>
          <w:rStyle w:val="Refdenotaalpie"/>
          <w:rFonts w:ascii="Times New Roman" w:hAnsi="Times New Roman" w:cs="Times New Roman"/>
        </w:rPr>
        <w:footnoteRef/>
      </w:r>
      <w:r w:rsidRPr="00F86B53">
        <w:rPr>
          <w:rFonts w:ascii="Times New Roman" w:hAnsi="Times New Roman" w:cs="Times New Roman"/>
        </w:rPr>
        <w:t xml:space="preserve"> </w:t>
      </w:r>
      <w:r>
        <w:rPr>
          <w:rFonts w:ascii="Times New Roman" w:hAnsi="Times New Roman" w:cs="Times New Roman"/>
        </w:rPr>
        <w:t>Reformado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Pr="00E37B9E">
        <w:rPr>
          <w:rFonts w:ascii="Times New Roman" w:hAnsi="Times New Roman" w:cs="Times New Roman"/>
        </w:rPr>
        <w:t>viernes 07 de julio de 2023.</w:t>
      </w:r>
    </w:p>
  </w:footnote>
  <w:footnote w:id="17">
    <w:p w14:paraId="343728E7" w14:textId="6EA1847B" w:rsidR="00310528" w:rsidRPr="00D60013" w:rsidRDefault="00310528" w:rsidP="00310528">
      <w:pPr>
        <w:pStyle w:val="Textonotapie"/>
        <w:jc w:val="both"/>
        <w:rPr>
          <w:rFonts w:ascii="Times New Roman" w:hAnsi="Times New Roman" w:cs="Times New Roman"/>
          <w:lang w:val="es-CR"/>
        </w:rPr>
      </w:pPr>
      <w:r w:rsidRPr="00D60013">
        <w:rPr>
          <w:rStyle w:val="Refdenotaalpie"/>
          <w:rFonts w:ascii="Times New Roman" w:hAnsi="Times New Roman" w:cs="Times New Roman"/>
        </w:rPr>
        <w:footnoteRef/>
      </w:r>
      <w:r w:rsidRPr="00D60013">
        <w:rPr>
          <w:rFonts w:ascii="Times New Roman" w:hAnsi="Times New Roman" w:cs="Times New Roman"/>
        </w:rPr>
        <w:t xml:space="preserve"> </w:t>
      </w:r>
      <w:r w:rsidRPr="00D60013">
        <w:rPr>
          <w:rFonts w:ascii="Times New Roman" w:hAnsi="Times New Roman" w:cs="Times New Roman"/>
        </w:rPr>
        <w:t>Reformado por el Consejo Nacional de Supervisión del Sistema Financiero, mediante artículo 7, de la sesión 1802-2023 del 19 de junio del 2023, publicada en La Gaceta número 123, alcance número 131, del viernes 07 de julio de 2023.</w:t>
      </w:r>
    </w:p>
  </w:footnote>
  <w:footnote w:id="18">
    <w:p w14:paraId="76AD2CD7" w14:textId="77777777" w:rsidR="00D60013" w:rsidRPr="00310528" w:rsidRDefault="00D60013" w:rsidP="00D60013">
      <w:pPr>
        <w:pStyle w:val="Textonotapie"/>
        <w:jc w:val="both"/>
        <w:rPr>
          <w:lang w:val="es-CR"/>
        </w:rPr>
      </w:pPr>
      <w:r w:rsidRPr="00D60013">
        <w:rPr>
          <w:rStyle w:val="Refdenotaalpie"/>
          <w:rFonts w:ascii="Times New Roman" w:hAnsi="Times New Roman" w:cs="Times New Roman"/>
        </w:rPr>
        <w:footnoteRef/>
      </w:r>
      <w:r w:rsidRPr="00D60013">
        <w:rPr>
          <w:rFonts w:ascii="Times New Roman" w:hAnsi="Times New Roman" w:cs="Times New Roman"/>
        </w:rPr>
        <w:t xml:space="preserve"> </w:t>
      </w:r>
      <w:r w:rsidRPr="00D60013">
        <w:rPr>
          <w:rFonts w:ascii="Times New Roman" w:hAnsi="Times New Roman" w:cs="Times New Roman"/>
        </w:rPr>
        <w:t>R</w:t>
      </w:r>
      <w:r>
        <w:rPr>
          <w:rFonts w:ascii="Times New Roman" w:hAnsi="Times New Roman" w:cs="Times New Roman"/>
        </w:rPr>
        <w:t>eformado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Pr="00E37B9E">
        <w:rPr>
          <w:rFonts w:ascii="Times New Roman" w:hAnsi="Times New Roman" w:cs="Times New Roman"/>
        </w:rPr>
        <w:t>viernes 07 de julio de 2023.</w:t>
      </w:r>
    </w:p>
    <w:p w14:paraId="7D3DB611" w14:textId="6C9E3069" w:rsidR="00D60013" w:rsidRPr="00D60013" w:rsidRDefault="00D60013">
      <w:pPr>
        <w:pStyle w:val="Textonotapie"/>
        <w:rPr>
          <w:lang w:val="es-CR"/>
        </w:rPr>
      </w:pPr>
    </w:p>
  </w:footnote>
  <w:footnote w:id="19">
    <w:p w14:paraId="054BD141" w14:textId="43D9483A" w:rsidR="003155FB" w:rsidRPr="003155FB" w:rsidRDefault="003155FB" w:rsidP="003155FB">
      <w:pPr>
        <w:pStyle w:val="Textonotapie"/>
        <w:jc w:val="both"/>
        <w:rPr>
          <w:lang w:val="es-CR"/>
        </w:rPr>
      </w:pPr>
      <w:r w:rsidRPr="003155FB">
        <w:rPr>
          <w:rStyle w:val="Refdenotaalpie"/>
          <w:rFonts w:ascii="Times New Roman" w:hAnsi="Times New Roman" w:cs="Times New Roman"/>
        </w:rPr>
        <w:footnoteRef/>
      </w:r>
      <w:r w:rsidRPr="003155FB">
        <w:rPr>
          <w:rFonts w:ascii="Times New Roman" w:hAnsi="Times New Roman" w:cs="Times New Roman"/>
        </w:rPr>
        <w:t xml:space="preserve"> </w:t>
      </w:r>
      <w:r w:rsidRPr="00D60013">
        <w:rPr>
          <w:rFonts w:ascii="Times New Roman" w:hAnsi="Times New Roman" w:cs="Times New Roman"/>
        </w:rPr>
        <w:t>R</w:t>
      </w:r>
      <w:r>
        <w:rPr>
          <w:rFonts w:ascii="Times New Roman" w:hAnsi="Times New Roman" w:cs="Times New Roman"/>
        </w:rPr>
        <w:t>eformado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Pr="00E37B9E">
        <w:rPr>
          <w:rFonts w:ascii="Times New Roman" w:hAnsi="Times New Roman" w:cs="Times New Roman"/>
        </w:rPr>
        <w:t>viernes 07 de julio de 2023.</w:t>
      </w:r>
    </w:p>
  </w:footnote>
  <w:footnote w:id="20">
    <w:p w14:paraId="5575A2B5" w14:textId="63D8D4D1" w:rsidR="00CE5100" w:rsidRPr="00CE5100" w:rsidRDefault="00CE5100" w:rsidP="00CE5100">
      <w:pPr>
        <w:pStyle w:val="Textonotapie"/>
        <w:jc w:val="both"/>
        <w:rPr>
          <w:lang w:val="es-CR"/>
        </w:rPr>
      </w:pPr>
      <w:r w:rsidRPr="00CE5100">
        <w:rPr>
          <w:rStyle w:val="Refdenotaalpie"/>
          <w:rFonts w:ascii="Times New Roman" w:hAnsi="Times New Roman" w:cs="Times New Roman"/>
        </w:rPr>
        <w:footnoteRef/>
      </w:r>
      <w:r w:rsidRPr="00CE5100">
        <w:rPr>
          <w:rFonts w:ascii="Times New Roman" w:hAnsi="Times New Roman" w:cs="Times New Roman"/>
        </w:rPr>
        <w:t xml:space="preserve"> </w:t>
      </w:r>
      <w:r w:rsidRPr="00D60013">
        <w:rPr>
          <w:rFonts w:ascii="Times New Roman" w:hAnsi="Times New Roman" w:cs="Times New Roman"/>
        </w:rPr>
        <w:t>R</w:t>
      </w:r>
      <w:r>
        <w:rPr>
          <w:rFonts w:ascii="Times New Roman" w:hAnsi="Times New Roman" w:cs="Times New Roman"/>
        </w:rPr>
        <w:t>eformado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Pr="00E37B9E">
        <w:rPr>
          <w:rFonts w:ascii="Times New Roman" w:hAnsi="Times New Roman" w:cs="Times New Roman"/>
        </w:rPr>
        <w:t>viernes 07 de julio de 2023</w:t>
      </w:r>
      <w:r>
        <w:rPr>
          <w:rFonts w:ascii="Times New Roman" w:hAnsi="Times New Roman" w:cs="Times New Roman"/>
        </w:rPr>
        <w:t>.</w:t>
      </w:r>
    </w:p>
  </w:footnote>
  <w:footnote w:id="21">
    <w:p w14:paraId="6D6825CD" w14:textId="2E0CBDD9" w:rsidR="00356F29" w:rsidRPr="00356F29" w:rsidRDefault="00356F29" w:rsidP="00356F29">
      <w:pPr>
        <w:pStyle w:val="Textonotapie"/>
        <w:jc w:val="both"/>
        <w:rPr>
          <w:lang w:val="es-CR"/>
        </w:rPr>
      </w:pPr>
      <w:r w:rsidRPr="00356F29">
        <w:rPr>
          <w:rStyle w:val="Refdenotaalpie"/>
          <w:rFonts w:ascii="Times New Roman" w:hAnsi="Times New Roman" w:cs="Times New Roman"/>
        </w:rPr>
        <w:footnoteRef/>
      </w:r>
      <w:r>
        <w:t xml:space="preserve"> </w:t>
      </w:r>
      <w:r w:rsidRPr="00D60013">
        <w:rPr>
          <w:rFonts w:ascii="Times New Roman" w:hAnsi="Times New Roman" w:cs="Times New Roman"/>
        </w:rPr>
        <w:t>R</w:t>
      </w:r>
      <w:r>
        <w:rPr>
          <w:rFonts w:ascii="Times New Roman" w:hAnsi="Times New Roman" w:cs="Times New Roman"/>
        </w:rPr>
        <w:t>eformado</w:t>
      </w:r>
      <w:r w:rsidRPr="009E72B8">
        <w:rPr>
          <w:rFonts w:ascii="Times New Roman" w:hAnsi="Times New Roman" w:cs="Times New Roman"/>
        </w:rPr>
        <w:t xml:space="preserve"> por el Consejo Nacional de Supervisión del Sistema Financiero, mediante artículo 7, de la sesión 1802-2023 del 19 de junio del 2023, publicada en La Gaceta número 123, alcance número 131, del </w:t>
      </w:r>
      <w:r w:rsidRPr="00E37B9E">
        <w:rPr>
          <w:rFonts w:ascii="Times New Roman" w:hAnsi="Times New Roman" w:cs="Times New Roman"/>
        </w:rPr>
        <w:t>viernes 07 de julio de 2023</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C4C2" w14:textId="77777777" w:rsidR="00386CF2" w:rsidRDefault="00386C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3975" w14:textId="77777777" w:rsidR="000C6A2D" w:rsidRDefault="000C6A2D">
    <w:pPr>
      <w:pStyle w:val="Encabezado"/>
    </w:pPr>
    <w:r w:rsidRPr="005275B5">
      <w:rPr>
        <w:rFonts w:ascii="Times New Roman" w:eastAsia="Calibri" w:hAnsi="Times New Roman" w:cs="Times New Roman"/>
        <w:noProof/>
        <w:sz w:val="24"/>
        <w:szCs w:val="24"/>
        <w:lang w:val="es-CR" w:eastAsia="es-CR"/>
      </w:rPr>
      <w:drawing>
        <wp:anchor distT="0" distB="0" distL="114300" distR="114300" simplePos="0" relativeHeight="251656192" behindDoc="1" locked="0" layoutInCell="1" allowOverlap="1" wp14:anchorId="125B3976" wp14:editId="125B3977">
          <wp:simplePos x="0" y="0"/>
          <wp:positionH relativeFrom="page">
            <wp:posOffset>170121</wp:posOffset>
          </wp:positionH>
          <wp:positionV relativeFrom="page">
            <wp:posOffset>202019</wp:posOffset>
          </wp:positionV>
          <wp:extent cx="1195138" cy="552893"/>
          <wp:effectExtent l="0" t="0" r="508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711" cy="5605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A77C" w14:textId="77777777" w:rsidR="00386CF2" w:rsidRDefault="00386CF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B5"/>
    <w:rsid w:val="00001AD2"/>
    <w:rsid w:val="00015E0C"/>
    <w:rsid w:val="000223E1"/>
    <w:rsid w:val="00046220"/>
    <w:rsid w:val="000615D3"/>
    <w:rsid w:val="00074F69"/>
    <w:rsid w:val="000B346F"/>
    <w:rsid w:val="000C6A2D"/>
    <w:rsid w:val="000C79F7"/>
    <w:rsid w:val="001813D4"/>
    <w:rsid w:val="00285B88"/>
    <w:rsid w:val="00310528"/>
    <w:rsid w:val="003155FB"/>
    <w:rsid w:val="0034391C"/>
    <w:rsid w:val="00355359"/>
    <w:rsid w:val="00356F29"/>
    <w:rsid w:val="00364753"/>
    <w:rsid w:val="00376512"/>
    <w:rsid w:val="00386CF2"/>
    <w:rsid w:val="00395464"/>
    <w:rsid w:val="003C03C2"/>
    <w:rsid w:val="003C41D8"/>
    <w:rsid w:val="003C50ED"/>
    <w:rsid w:val="004178E8"/>
    <w:rsid w:val="00497712"/>
    <w:rsid w:val="004C3054"/>
    <w:rsid w:val="004D3988"/>
    <w:rsid w:val="005275B5"/>
    <w:rsid w:val="0053748F"/>
    <w:rsid w:val="005A39BD"/>
    <w:rsid w:val="00616706"/>
    <w:rsid w:val="00644864"/>
    <w:rsid w:val="006648B8"/>
    <w:rsid w:val="006B46CE"/>
    <w:rsid w:val="00752D01"/>
    <w:rsid w:val="00787FB6"/>
    <w:rsid w:val="007E55E2"/>
    <w:rsid w:val="008A3CFB"/>
    <w:rsid w:val="008E6D5E"/>
    <w:rsid w:val="009971E9"/>
    <w:rsid w:val="009A75DB"/>
    <w:rsid w:val="009D45CB"/>
    <w:rsid w:val="009D73A1"/>
    <w:rsid w:val="009E72B8"/>
    <w:rsid w:val="00A07A22"/>
    <w:rsid w:val="00A93F0D"/>
    <w:rsid w:val="00B440F4"/>
    <w:rsid w:val="00B53167"/>
    <w:rsid w:val="00B612F9"/>
    <w:rsid w:val="00B67336"/>
    <w:rsid w:val="00B87ADB"/>
    <w:rsid w:val="00BA1A87"/>
    <w:rsid w:val="00BB1ECC"/>
    <w:rsid w:val="00BD5332"/>
    <w:rsid w:val="00BF07C1"/>
    <w:rsid w:val="00C31B58"/>
    <w:rsid w:val="00CD5DE2"/>
    <w:rsid w:val="00CE5100"/>
    <w:rsid w:val="00CE6F0D"/>
    <w:rsid w:val="00D02B85"/>
    <w:rsid w:val="00D10D99"/>
    <w:rsid w:val="00D1240C"/>
    <w:rsid w:val="00D3307F"/>
    <w:rsid w:val="00D43C50"/>
    <w:rsid w:val="00D45505"/>
    <w:rsid w:val="00D60013"/>
    <w:rsid w:val="00DD5EE2"/>
    <w:rsid w:val="00DD6E62"/>
    <w:rsid w:val="00DF72B9"/>
    <w:rsid w:val="00E37B9E"/>
    <w:rsid w:val="00E8555B"/>
    <w:rsid w:val="00EC3E06"/>
    <w:rsid w:val="00F649DB"/>
    <w:rsid w:val="00F74714"/>
    <w:rsid w:val="00F755A6"/>
    <w:rsid w:val="00F86B53"/>
    <w:rsid w:val="00F90993"/>
    <w:rsid w:val="00FA28ED"/>
    <w:rsid w:val="00FE4D1A"/>
    <w:rsid w:val="00FF52D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25B381D"/>
  <w15:chartTrackingRefBased/>
  <w15:docId w15:val="{9E5BC15D-BDF1-4440-9CAD-08CF095B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rsid w:val="005275B5"/>
    <w:pPr>
      <w:spacing w:after="0" w:line="240" w:lineRule="auto"/>
    </w:pPr>
    <w:rPr>
      <w:rFonts w:ascii="Times New Roman" w:eastAsia="Calibri" w:hAnsi="Times New Roman" w:cs="Times New Roman"/>
      <w:sz w:val="24"/>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52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6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A2D"/>
    <w:rPr>
      <w:lang w:val="es-ES"/>
    </w:rPr>
  </w:style>
  <w:style w:type="paragraph" w:styleId="Piedepgina">
    <w:name w:val="footer"/>
    <w:basedOn w:val="Normal"/>
    <w:link w:val="PiedepginaCar"/>
    <w:uiPriority w:val="99"/>
    <w:unhideWhenUsed/>
    <w:rsid w:val="000C6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A2D"/>
    <w:rPr>
      <w:lang w:val="es-ES"/>
    </w:rPr>
  </w:style>
  <w:style w:type="paragraph" w:styleId="Textonotapie">
    <w:name w:val="footnote text"/>
    <w:basedOn w:val="Normal"/>
    <w:link w:val="TextonotapieCar"/>
    <w:uiPriority w:val="99"/>
    <w:semiHidden/>
    <w:unhideWhenUsed/>
    <w:rsid w:val="00D4550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5505"/>
    <w:rPr>
      <w:sz w:val="20"/>
      <w:szCs w:val="20"/>
      <w:lang w:val="es-ES"/>
    </w:rPr>
  </w:style>
  <w:style w:type="character" w:styleId="Refdenotaalpie">
    <w:name w:val="footnote reference"/>
    <w:basedOn w:val="Fuentedeprrafopredeter"/>
    <w:uiPriority w:val="99"/>
    <w:semiHidden/>
    <w:unhideWhenUsed/>
    <w:rsid w:val="00D455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693273F70E58479DD33BEAFDC8AB85" ma:contentTypeVersion="6" ma:contentTypeDescription="Crear nuevo documento." ma:contentTypeScope="" ma:versionID="c199622708600cf81722d943da666ccb">
  <xsd:schema xmlns:xsd="http://www.w3.org/2001/XMLSchema" xmlns:xs="http://www.w3.org/2001/XMLSchema" xmlns:p="http://schemas.microsoft.com/office/2006/metadata/properties" xmlns:ns2="427a0c91-40e8-4dd3-96b0-fb362b253afe" targetNamespace="http://schemas.microsoft.com/office/2006/metadata/properties" ma:root="true" ma:fieldsID="582f4bc4eb180bb8f08f17cc92ded4e5" ns2:_="">
    <xsd:import namespace="427a0c91-40e8-4dd3-96b0-fb362b253a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a0c91-40e8-4dd3-96b0-fb362b253afe"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1C151-9F88-47CE-B16E-07EB4511C2A7}">
  <ds:schemaRefs>
    <ds:schemaRef ds:uri="http://purl.org/dc/elements/1.1/"/>
    <ds:schemaRef ds:uri="http://schemas.microsoft.com/office/2006/documentManagement/types"/>
    <ds:schemaRef ds:uri="427a0c91-40e8-4dd3-96b0-fb362b253afe"/>
    <ds:schemaRef ds:uri="http://schemas.openxmlformats.org/package/2006/metadata/core-properties"/>
    <ds:schemaRef ds:uri="http://schemas.microsoft.com/office/2006/metadata/properties"/>
    <ds:schemaRef ds:uri="http://www.w3.org/XML/1998/namespace"/>
    <ds:schemaRef ds:uri="http://purl.org/dc/term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E970144F-62BC-499B-8D74-2A46D09E5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a0c91-40e8-4dd3-96b0-fb362b253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CAF92-C4F6-42E2-B9BD-ED10328AC8CE}">
  <ds:schemaRefs>
    <ds:schemaRef ds:uri="http://schemas.microsoft.com/sharepoint/v3/contenttype/forms"/>
  </ds:schemaRefs>
</ds:datastoreItem>
</file>

<file path=customXml/itemProps4.xml><?xml version="1.0" encoding="utf-8"?>
<ds:datastoreItem xmlns:ds="http://schemas.openxmlformats.org/officeDocument/2006/customXml" ds:itemID="{6BBB2918-99AF-4516-8764-0DC5CCB2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5706</Words>
  <Characters>31385</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Rodriguez Bovieri</dc:creator>
  <cp:keywords/>
  <dc:description/>
  <cp:lastModifiedBy>MIRANDA VIQUEZ VICTOR ALFONSO</cp:lastModifiedBy>
  <cp:revision>2</cp:revision>
  <dcterms:created xsi:type="dcterms:W3CDTF">2023-07-10T16:43:00Z</dcterms:created>
  <dcterms:modified xsi:type="dcterms:W3CDTF">2023-07-10T16:43:00Z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0x0101000F693273F70E58479DD33BEAFDC8AB85</vt:lpwstr>
  </property>
  <property fmtid="{D5CDD505-2E9C-101B-9397-08002B2CF9AE}" pid="3" name="_ExtendedDescription">
    <vt:lpwstr/>
  </property>
  <property fmtid="{D5CDD505-2E9C-101B-9397-08002B2CF9AE}" pid="4" name="MSIP_Label_b8b4be34-365a-4a68-b9fb-75c1b6874315_Enabled">
    <vt:lpwstr>true</vt:lpwstr>
  </property>
  <property fmtid="{D5CDD505-2E9C-101B-9397-08002B2CF9AE}" pid="5" name="MSIP_Label_b8b4be34-365a-4a68-b9fb-75c1b6874315_SetDate">
    <vt:lpwstr>2023-07-07T21:38:58Z</vt:lpwstr>
  </property>
  <property fmtid="{D5CDD505-2E9C-101B-9397-08002B2CF9AE}" pid="6" name="MSIP_Label_b8b4be34-365a-4a68-b9fb-75c1b6874315_Method">
    <vt:lpwstr>Standard</vt:lpwstr>
  </property>
  <property fmtid="{D5CDD505-2E9C-101B-9397-08002B2CF9AE}" pid="7" name="MSIP_Label_b8b4be34-365a-4a68-b9fb-75c1b6874315_Name">
    <vt:lpwstr>b8b4be34-365a-4a68-b9fb-75c1b6874315</vt:lpwstr>
  </property>
  <property fmtid="{D5CDD505-2E9C-101B-9397-08002B2CF9AE}" pid="8" name="MSIP_Label_b8b4be34-365a-4a68-b9fb-75c1b6874315_SiteId">
    <vt:lpwstr>618d0a45-25a6-4618-9f80-8f70a435ee52</vt:lpwstr>
  </property>
  <property fmtid="{D5CDD505-2E9C-101B-9397-08002B2CF9AE}" pid="9" name="MSIP_Label_b8b4be34-365a-4a68-b9fb-75c1b6874315_ActionId">
    <vt:lpwstr>33ef92c7-bee6-4bfa-a64e-00005842a553</vt:lpwstr>
  </property>
  <property fmtid="{D5CDD505-2E9C-101B-9397-08002B2CF9AE}" pid="10" name="MSIP_Label_b8b4be34-365a-4a68-b9fb-75c1b6874315_ContentBits">
    <vt:lpwstr>2</vt:lpwstr>
  </property>
</Properties>
</file>