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100"/>
        <w:jc w:val="center"/>
      </w:pPr>
      <w:r>
        <w:rPr>
          <w:b w:val="1"/>
          <w:bCs w:val="1"/>
          <w:sz w:val="32"/>
          <w:szCs w:val="32"/>
          <w:rtl w:val="0"/>
        </w:rPr>
        <w:t>SOFTWARE DEVELOPMENT AGREEMENT (MoU)</w:t>
      </w:r>
    </w:p>
    <w:p>
      <w:pPr>
        <w:pStyle w:val="Draft Note"/>
        <w:spacing w:after="100"/>
        <w:jc w:val="both"/>
      </w:pPr>
    </w:p>
    <w:p>
      <w:pPr>
        <w:pStyle w:val="Body"/>
        <w:spacing w:after="100"/>
        <w:jc w:val="both"/>
      </w:pPr>
      <w:r>
        <w:rPr>
          <w:rtl w:val="0"/>
          <w:lang w:val="en-US"/>
        </w:rPr>
        <w:t>This Software Development Agreement ("Agreement") is entered into between:</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116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sz w:val="18"/>
                <w:szCs w:val="18"/>
                <w:shd w:val="nil" w:color="auto" w:fill="auto"/>
                <w:lang w:val="en-US"/>
              </w:rPr>
            </w:pPr>
            <w:r>
              <w:rPr>
                <w:b w:val="1"/>
                <w:bCs w:val="1"/>
                <w:sz w:val="18"/>
                <w:szCs w:val="18"/>
                <w:u w:val="single"/>
                <w:rtl w:val="0"/>
                <w:lang w:val="en-US"/>
              </w:rPr>
              <w:t>Client</w:t>
            </w:r>
            <w:r>
              <w:rPr>
                <w:sz w:val="18"/>
                <w:szCs w:val="18"/>
                <w:shd w:val="nil" w:color="auto" w:fill="auto"/>
                <w:lang w:val="en-US"/>
              </w:rPr>
              <w:br w:type="textWrapping"/>
            </w:r>
            <w:r>
              <w:rPr>
                <w:b w:val="1"/>
                <w:bCs w:val="1"/>
                <w:sz w:val="18"/>
                <w:szCs w:val="18"/>
                <w:rtl w:val="0"/>
                <w:lang w:val="en-US"/>
              </w:rPr>
              <w:t>Name:</w:t>
            </w:r>
            <w:r>
              <w:rPr>
                <w:sz w:val="18"/>
                <w:szCs w:val="18"/>
                <w:shd w:val="nil" w:color="auto" w:fill="auto"/>
                <w:rtl w:val="0"/>
                <w:lang w:val="en-US"/>
              </w:rPr>
              <w:t xml:space="preserve"> Mr. Sriram Kumar Devireddy</w:t>
            </w:r>
            <w:r>
              <w:rPr>
                <w:sz w:val="18"/>
                <w:szCs w:val="18"/>
                <w:shd w:val="nil" w:color="auto" w:fill="auto"/>
                <w:lang w:val="en-US"/>
              </w:rPr>
              <w:br w:type="textWrapping"/>
            </w:r>
            <w:r>
              <w:rPr>
                <w:b w:val="1"/>
                <w:bCs w:val="1"/>
                <w:sz w:val="18"/>
                <w:szCs w:val="18"/>
                <w:rtl w:val="0"/>
                <w:lang w:val="en-US"/>
              </w:rPr>
              <w:t xml:space="preserve">Address: </w:t>
            </w:r>
          </w:p>
          <w:p>
            <w:pPr>
              <w:pStyle w:val="Body"/>
            </w:pPr>
            <w:r>
              <w:rPr>
                <w:sz w:val="18"/>
                <w:szCs w:val="18"/>
                <w:shd w:val="nil" w:color="auto" w:fill="auto"/>
                <w:lang w:val="en-US"/>
              </w:rPr>
              <w:br w:type="textWrapping"/>
            </w:r>
            <w:r>
              <w:rPr>
                <w:b w:val="1"/>
                <w:bCs w:val="1"/>
                <w:sz w:val="18"/>
                <w:szCs w:val="18"/>
                <w:rtl w:val="0"/>
                <w:lang w:val="en-US"/>
              </w:rPr>
              <w:t>Email:</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8"/>
                <w:szCs w:val="18"/>
                <w:u w:val="single"/>
                <w:rtl w:val="0"/>
                <w:lang w:val="en-US"/>
              </w:rPr>
              <w:t>Developer</w:t>
            </w:r>
            <w:r>
              <w:rPr>
                <w:sz w:val="18"/>
                <w:szCs w:val="18"/>
                <w:shd w:val="nil" w:color="auto" w:fill="auto"/>
                <w:lang w:val="en-US"/>
              </w:rPr>
              <w:br w:type="textWrapping"/>
            </w:r>
            <w:r>
              <w:rPr>
                <w:b w:val="1"/>
                <w:bCs w:val="1"/>
                <w:sz w:val="18"/>
                <w:szCs w:val="18"/>
                <w:rtl w:val="0"/>
                <w:lang w:val="en-US"/>
              </w:rPr>
              <w:t xml:space="preserve">Name: </w:t>
            </w:r>
            <w:r>
              <w:rPr>
                <w:sz w:val="18"/>
                <w:szCs w:val="18"/>
                <w:shd w:val="nil" w:color="auto" w:fill="auto"/>
                <w:rtl w:val="0"/>
                <w:lang w:val="en-US"/>
              </w:rPr>
              <w:t>Mr. Pranav Namah Satish</w:t>
            </w:r>
            <w:r>
              <w:rPr>
                <w:sz w:val="18"/>
                <w:szCs w:val="18"/>
                <w:shd w:val="nil" w:color="auto" w:fill="auto"/>
                <w:lang w:val="en-US"/>
              </w:rPr>
              <w:br w:type="textWrapping"/>
            </w:r>
            <w:r>
              <w:rPr>
                <w:b w:val="1"/>
                <w:bCs w:val="1"/>
                <w:sz w:val="18"/>
                <w:szCs w:val="18"/>
                <w:rtl w:val="0"/>
                <w:lang w:val="en-US"/>
              </w:rPr>
              <w:t>Address:</w:t>
            </w:r>
            <w:r>
              <w:rPr>
                <w:sz w:val="18"/>
                <w:szCs w:val="18"/>
                <w:shd w:val="nil" w:color="auto" w:fill="auto"/>
                <w:lang w:val="en-US"/>
              </w:rPr>
              <w:br w:type="textWrapping"/>
              <w:br w:type="textWrapping"/>
            </w:r>
            <w:r>
              <w:rPr>
                <w:b w:val="1"/>
                <w:bCs w:val="1"/>
                <w:sz w:val="18"/>
                <w:szCs w:val="18"/>
                <w:rtl w:val="0"/>
                <w:lang w:val="en-US"/>
              </w:rPr>
              <w:t>Email:</w:t>
            </w:r>
          </w:p>
        </w:tc>
      </w:tr>
    </w:tbl>
    <w:p>
      <w:pPr>
        <w:pStyle w:val="Body"/>
        <w:widowControl w:val="0"/>
        <w:spacing w:after="100" w:line="240" w:lineRule="auto"/>
        <w:jc w:val="both"/>
      </w:pPr>
    </w:p>
    <w:p>
      <w:pPr>
        <w:pStyle w:val="Body"/>
        <w:spacing w:after="100"/>
        <w:jc w:val="both"/>
      </w:pPr>
    </w:p>
    <w:p>
      <w:pPr>
        <w:pStyle w:val="Body"/>
        <w:spacing w:after="100"/>
        <w:jc w:val="both"/>
        <w:rPr>
          <w:b w:val="1"/>
          <w:bCs w:val="1"/>
        </w:rPr>
      </w:pPr>
      <w:r>
        <w:rPr>
          <w:b w:val="1"/>
          <w:bCs w:val="1"/>
          <w:rtl w:val="0"/>
          <w:lang w:val="en-US"/>
        </w:rPr>
        <w:t>Effective Date:</w:t>
      </w:r>
    </w:p>
    <w:p>
      <w:pPr>
        <w:pStyle w:val="Body"/>
        <w:spacing w:after="100"/>
        <w:jc w:val="both"/>
        <w:rPr>
          <w:b w:val="1"/>
          <w:bCs w:val="1"/>
        </w:rPr>
      </w:pPr>
      <w:r>
        <w:rPr>
          <w:b w:val="1"/>
          <w:bCs w:val="1"/>
          <w:rtl w:val="0"/>
          <w:lang w:val="en-US"/>
        </w:rPr>
        <w:t xml:space="preserve">Project Duration: </w:t>
      </w:r>
      <w:r>
        <w:rPr>
          <w:rtl w:val="0"/>
          <w:lang w:val="en-US"/>
        </w:rPr>
        <w:t>12 weeks from satisfaction of the start conditions in Clause 4.1</w:t>
      </w:r>
      <w:r>
        <w:rPr>
          <w:b w:val="1"/>
          <w:bCs w:val="1"/>
          <w:rtl w:val="0"/>
        </w:rPr>
        <w:t xml:space="preserve">    </w:t>
      </w:r>
    </w:p>
    <w:p>
      <w:pPr>
        <w:pStyle w:val="Body"/>
        <w:spacing w:after="100"/>
        <w:jc w:val="both"/>
      </w:pPr>
      <w:r>
        <w:rPr>
          <w:b w:val="1"/>
          <w:bCs w:val="1"/>
          <w:rtl w:val="0"/>
          <w:lang w:val="en-US"/>
        </w:rPr>
        <w:t xml:space="preserve">Total Fee: </w:t>
      </w:r>
      <w:r>
        <w:rPr>
          <w:rtl w:val="0"/>
          <w:lang w:val="en-US"/>
        </w:rPr>
        <w:t>Rs 2,55,000</w:t>
      </w:r>
    </w:p>
    <w:p>
      <w:pPr>
        <w:pStyle w:val="Heading"/>
        <w:spacing w:after="100"/>
        <w:jc w:val="both"/>
      </w:pPr>
      <w:r>
        <w:rPr>
          <w:rtl w:val="0"/>
          <w:lang w:val="en-US"/>
        </w:rPr>
        <w:t>1. Purpose and Contractor Status</w:t>
      </w:r>
    </w:p>
    <w:p>
      <w:pPr>
        <w:pStyle w:val="Body"/>
        <w:spacing w:after="100"/>
        <w:jc w:val="both"/>
      </w:pPr>
      <w:r>
        <w:rPr>
          <w:rtl w:val="0"/>
          <w:lang w:val="en-US"/>
        </w:rPr>
        <w:t>1.1 The Developer agrees to design, develop, test, deploy, and hand over the software application strictly in accordance with the finally approved Functional Requirement Document / Statement of Work ("FRD/SOW") and approved milestone plan.</w:t>
      </w:r>
    </w:p>
    <w:p>
      <w:pPr>
        <w:pStyle w:val="Body"/>
        <w:spacing w:after="100"/>
        <w:jc w:val="both"/>
      </w:pPr>
      <w:r>
        <w:rPr>
          <w:rtl w:val="0"/>
          <w:lang w:val="en-US"/>
        </w:rPr>
        <w:t>1.2 The Developer is engaged as an independent contractor. Nothing in this Agreement shall create an employment, agency, partnership, joint venture, or profit-sharing relationship between the parties.</w:t>
      </w:r>
    </w:p>
    <w:p>
      <w:pPr>
        <w:pStyle w:val="Body"/>
        <w:spacing w:after="100"/>
        <w:jc w:val="both"/>
      </w:pPr>
      <w:r>
        <w:rPr>
          <w:rtl w:val="0"/>
          <w:lang w:val="en-US"/>
        </w:rPr>
        <w:t>1.3 The Developer is responsible for software development services only. Business operations, legal compliance, medical compliance, customer support, revenue generation, marketing, and future product operations are the Client</w:t>
      </w:r>
      <w:r>
        <w:rPr>
          <w:rtl w:val="1"/>
        </w:rPr>
        <w:t>’</w:t>
      </w:r>
      <w:r>
        <w:rPr>
          <w:rtl w:val="0"/>
          <w:lang w:val="en-US"/>
        </w:rPr>
        <w:t>s responsibility unless separately agreed in writing.</w:t>
      </w:r>
    </w:p>
    <w:p>
      <w:pPr>
        <w:pStyle w:val="Heading"/>
        <w:spacing w:after="100"/>
        <w:jc w:val="both"/>
      </w:pPr>
      <w:r>
        <w:rPr>
          <w:rtl w:val="0"/>
          <w:lang w:val="en-US"/>
        </w:rPr>
        <w:t>2. FRD/SOW as the Controlling Scope Document</w:t>
      </w:r>
    </w:p>
    <w:p>
      <w:pPr>
        <w:pStyle w:val="Body"/>
        <w:spacing w:after="100"/>
        <w:jc w:val="both"/>
      </w:pPr>
      <w:r>
        <w:rPr>
          <w:rtl w:val="0"/>
          <w:lang w:val="en-US"/>
        </w:rPr>
        <w:t>2.1 The parties acknowledge that, before signing this Agreement, the Client has not provided a complete and final FRD with detailed user flows, feature lists, acceptance criteria, UI/UX screens, and technical specifications.</w:t>
      </w:r>
    </w:p>
    <w:p>
      <w:pPr>
        <w:pStyle w:val="Body"/>
        <w:spacing w:after="100"/>
        <w:jc w:val="both"/>
      </w:pPr>
      <w:r>
        <w:rPr>
          <w:rtl w:val="0"/>
          <w:lang w:val="en-US"/>
        </w:rPr>
        <w:t>2.2 Any PPT, presentation, verbal discussion, brainstorming session, reference app, rough architecture, informal message, or preliminary idea shared before FRD/SOW approval shall be treated only as discussion material and shall not be considered final project scope.</w:t>
      </w:r>
    </w:p>
    <w:p>
      <w:pPr>
        <w:pStyle w:val="Body"/>
        <w:spacing w:after="100"/>
        <w:jc w:val="both"/>
      </w:pPr>
      <w:r>
        <w:rPr>
          <w:rtl w:val="0"/>
          <w:lang w:val="en-US"/>
        </w:rPr>
        <w:t>2.3 The final project scope shall consist only of features, screens, workflows, modules, integrations, assumptions, exclusions, acceptance criteria, and milestones expressly written in the approved FRD/SOW signed or approved in writing by both parties.</w:t>
      </w:r>
    </w:p>
    <w:p>
      <w:pPr>
        <w:pStyle w:val="Body"/>
        <w:spacing w:after="100"/>
        <w:jc w:val="both"/>
      </w:pPr>
      <w:r>
        <w:rPr>
          <w:rtl w:val="0"/>
          <w:lang w:val="en-US"/>
        </w:rPr>
        <w:t>2.4 In case of conflict between this Agreement and the FRD/SOW, the FRD/SOW shall control the functional scope, deliverables, exclusions, and acceptance criteria. In case of conflict between a PPT/verbal discussion and the FRD/SOW, the FRD/SOW shall control.</w:t>
      </w:r>
    </w:p>
    <w:p>
      <w:pPr>
        <w:pStyle w:val="Body"/>
        <w:spacing w:after="100"/>
        <w:jc w:val="both"/>
      </w:pPr>
      <w:r>
        <w:rPr>
          <w:rtl w:val="0"/>
          <w:lang w:val="en-US"/>
        </w:rPr>
        <w:t>2.5 The Developer shall not be responsible for implementing any feature, workflow, design, business logic, integration, or expectation that is not expressly included in the approved FRD/SOW.</w:t>
      </w:r>
    </w:p>
    <w:p>
      <w:pPr>
        <w:pStyle w:val="Heading"/>
        <w:spacing w:after="100"/>
        <w:jc w:val="both"/>
      </w:pPr>
      <w:r>
        <w:rPr>
          <w:rtl w:val="0"/>
          <w:lang w:val="en-US"/>
        </w:rPr>
        <w:t>3. Project Scope</w:t>
      </w:r>
    </w:p>
    <w:p>
      <w:pPr>
        <w:pStyle w:val="Body"/>
        <w:spacing w:after="100"/>
        <w:jc w:val="both"/>
      </w:pPr>
      <w:r>
        <w:rPr>
          <w:rtl w:val="0"/>
          <w:lang w:val="en-US"/>
        </w:rPr>
        <w:t>3.1 The project may include, only to the extent described in the approved FRD/SOW, components such as a mobile application, admin dashboard, backend APIs, database, file storage, AI integration, OCR integration, authentication, notifications, payment integration, deployment, testing, and documentation.</w:t>
      </w:r>
    </w:p>
    <w:p>
      <w:pPr>
        <w:pStyle w:val="Body"/>
        <w:spacing w:after="100"/>
        <w:jc w:val="both"/>
      </w:pPr>
      <w:r>
        <w:rPr>
          <w:rtl w:val="0"/>
          <w:lang w:val="en-US"/>
        </w:rPr>
        <w:t>3.2 General module names, architecture diagrams, or technology names do not automatically create an obligation to build every possible feature related to that module. The exact obligations are limited to the written FRD/SOW.</w:t>
      </w:r>
    </w:p>
    <w:p>
      <w:pPr>
        <w:pStyle w:val="Body"/>
        <w:spacing w:after="100"/>
        <w:jc w:val="both"/>
      </w:pPr>
      <w:r>
        <w:rPr>
          <w:rtl w:val="0"/>
          <w:lang w:val="en-US"/>
        </w:rPr>
        <w:t>3.3 The following are excluded unless expressly included in the approved FRD/SOW or separately agreed with additional cost and timeline:</w:t>
      </w:r>
    </w:p>
    <w:p>
      <w:pPr>
        <w:pStyle w:val="List Bullet"/>
        <w:numPr>
          <w:ilvl w:val="0"/>
          <w:numId w:val="2"/>
        </w:numPr>
        <w:spacing w:after="100"/>
        <w:jc w:val="both"/>
        <w:rPr>
          <w:lang w:val="en-US"/>
        </w:rPr>
      </w:pPr>
      <w:r>
        <w:rPr>
          <w:rtl w:val="0"/>
          <w:lang w:val="en-US"/>
        </w:rPr>
        <w:t>Medical diagnosis, treatment advice, prescription generation, doctor replacement functionality, or emergency medical services.</w:t>
      </w:r>
    </w:p>
    <w:p>
      <w:pPr>
        <w:pStyle w:val="List Bullet"/>
        <w:numPr>
          <w:ilvl w:val="0"/>
          <w:numId w:val="2"/>
        </w:numPr>
        <w:spacing w:after="100"/>
        <w:jc w:val="both"/>
        <w:rPr>
          <w:lang w:val="en-US"/>
        </w:rPr>
      </w:pPr>
      <w:r>
        <w:rPr>
          <w:rtl w:val="0"/>
          <w:lang w:val="en-US"/>
        </w:rPr>
        <w:t>Telemedicine, doctor dashboard, hospital, lab, pharmacy, wearable, insurance, or government integrations.</w:t>
      </w:r>
    </w:p>
    <w:p>
      <w:pPr>
        <w:pStyle w:val="List Bullet"/>
        <w:numPr>
          <w:ilvl w:val="0"/>
          <w:numId w:val="2"/>
        </w:numPr>
        <w:spacing w:after="100"/>
        <w:jc w:val="both"/>
        <w:rPr>
          <w:lang w:val="en-US"/>
        </w:rPr>
      </w:pPr>
      <w:r>
        <w:rPr>
          <w:rtl w:val="0"/>
          <w:lang w:val="en-US"/>
        </w:rPr>
        <w:t>Guaranteed AI accuracy, guaranteed OCR accuracy, custom AI model training, proprietary LLM development, or clinical validation.</w:t>
      </w:r>
    </w:p>
    <w:p>
      <w:pPr>
        <w:pStyle w:val="List Bullet"/>
        <w:numPr>
          <w:ilvl w:val="0"/>
          <w:numId w:val="2"/>
        </w:numPr>
        <w:spacing w:after="100"/>
        <w:jc w:val="both"/>
        <w:rPr>
          <w:lang w:val="en-US"/>
        </w:rPr>
      </w:pPr>
      <w:r>
        <w:rPr>
          <w:rtl w:val="0"/>
          <w:lang w:val="en-US"/>
        </w:rPr>
        <w:t>Enterprise security audit, penetration testing, HIPAA/GDPR/DPDP certification, legal compliance certification, or medical/legal review.</w:t>
      </w:r>
    </w:p>
    <w:p>
      <w:pPr>
        <w:pStyle w:val="List Bullet"/>
        <w:numPr>
          <w:ilvl w:val="0"/>
          <w:numId w:val="2"/>
        </w:numPr>
        <w:spacing w:after="100"/>
        <w:jc w:val="both"/>
        <w:rPr>
          <w:lang w:val="en-US"/>
        </w:rPr>
      </w:pPr>
      <w:r>
        <w:rPr>
          <w:rtl w:val="0"/>
          <w:lang w:val="en-US"/>
        </w:rPr>
        <w:t>Guaranteed app store approval, guaranteed revenue, guaranteed user adoption, 24/7 monitoring, long-term maintenance, or customer support operations.</w:t>
      </w:r>
    </w:p>
    <w:p>
      <w:pPr>
        <w:pStyle w:val="List Bullet"/>
        <w:numPr>
          <w:ilvl w:val="0"/>
          <w:numId w:val="2"/>
        </w:numPr>
        <w:spacing w:after="100"/>
        <w:jc w:val="both"/>
        <w:rPr>
          <w:lang w:val="en-US"/>
        </w:rPr>
      </w:pPr>
      <w:r>
        <w:rPr>
          <w:rtl w:val="0"/>
          <w:lang w:val="en-US"/>
        </w:rPr>
        <w:t>Any feature not written in the approved FRD/SOW.</w:t>
      </w:r>
    </w:p>
    <w:p>
      <w:pPr>
        <w:pStyle w:val="Heading"/>
        <w:spacing w:after="100"/>
        <w:jc w:val="both"/>
      </w:pPr>
      <w:r>
        <w:rPr>
          <w:rtl w:val="0"/>
          <w:lang w:val="en-US"/>
        </w:rPr>
        <w:t>4. Timeline and Start Conditions</w:t>
      </w:r>
    </w:p>
    <w:p>
      <w:pPr>
        <w:pStyle w:val="Body"/>
        <w:spacing w:after="100"/>
        <w:jc w:val="both"/>
      </w:pPr>
      <w:r>
        <w:rPr>
          <w:rtl w:val="0"/>
          <w:lang w:val="en-US"/>
        </w:rPr>
        <w:t>4.1 The 12-week project timeline shall begin only after all of the following are completed:</w:t>
      </w:r>
    </w:p>
    <w:p>
      <w:pPr>
        <w:pStyle w:val="List Number"/>
        <w:numPr>
          <w:ilvl w:val="0"/>
          <w:numId w:val="4"/>
        </w:numPr>
        <w:spacing w:after="100"/>
        <w:jc w:val="both"/>
        <w:rPr>
          <w:lang w:val="en-US"/>
        </w:rPr>
      </w:pPr>
      <w:r>
        <w:rPr>
          <w:rtl w:val="0"/>
          <w:lang w:val="en-US"/>
        </w:rPr>
        <w:t>This Agreement is signed or approved in writing by both parties.</w:t>
      </w:r>
    </w:p>
    <w:p>
      <w:pPr>
        <w:pStyle w:val="List Number"/>
        <w:numPr>
          <w:ilvl w:val="0"/>
          <w:numId w:val="4"/>
        </w:numPr>
        <w:spacing w:after="100"/>
        <w:jc w:val="both"/>
        <w:rPr>
          <w:lang w:val="en-US"/>
        </w:rPr>
      </w:pPr>
      <w:r>
        <w:rPr>
          <w:rtl w:val="0"/>
          <w:lang w:val="en-US"/>
        </w:rPr>
        <w:t>The FRD/SOW is approved in writing by both parties.</w:t>
      </w:r>
    </w:p>
    <w:p>
      <w:pPr>
        <w:pStyle w:val="List Number"/>
        <w:numPr>
          <w:ilvl w:val="0"/>
          <w:numId w:val="4"/>
        </w:numPr>
        <w:spacing w:after="100"/>
        <w:jc w:val="both"/>
        <w:rPr>
          <w:lang w:val="en-US"/>
        </w:rPr>
      </w:pPr>
      <w:r>
        <w:rPr>
          <w:rtl w:val="0"/>
          <w:lang w:val="en-US"/>
        </w:rPr>
        <w:t>The Client pays the 30% advance.</w:t>
      </w:r>
    </w:p>
    <w:p>
      <w:pPr>
        <w:pStyle w:val="List Number"/>
        <w:numPr>
          <w:ilvl w:val="0"/>
          <w:numId w:val="4"/>
        </w:numPr>
        <w:spacing w:after="100"/>
        <w:jc w:val="both"/>
        <w:rPr>
          <w:lang w:val="en-US"/>
        </w:rPr>
      </w:pPr>
      <w:r>
        <w:rPr>
          <w:rtl w:val="0"/>
          <w:lang w:val="en-US"/>
        </w:rPr>
        <w:t>The Client provides all required accounts, credentials, content, branding assets, and access needed to start development.</w:t>
      </w:r>
    </w:p>
    <w:p>
      <w:pPr>
        <w:pStyle w:val="List Number"/>
        <w:numPr>
          <w:ilvl w:val="0"/>
          <w:numId w:val="4"/>
        </w:numPr>
        <w:spacing w:after="100"/>
        <w:jc w:val="both"/>
        <w:rPr>
          <w:lang w:val="en-US"/>
        </w:rPr>
      </w:pPr>
      <w:r>
        <w:rPr>
          <w:rtl w:val="0"/>
          <w:lang w:val="en-US"/>
        </w:rPr>
        <w:t>Any mandatory third-party accounts, APIs, cloud services, and payment gateway accounts required for the first milestone are available and usable.</w:t>
      </w:r>
    </w:p>
    <w:p>
      <w:pPr>
        <w:pStyle w:val="Body"/>
        <w:spacing w:after="100"/>
        <w:jc w:val="both"/>
      </w:pPr>
      <w:r>
        <w:rPr>
          <w:rtl w:val="0"/>
          <w:lang w:val="en-US"/>
        </w:rPr>
        <w:t>4.2 Any delay caused by late feedback, late approval, missing credentials, unavailable third-party accounts, delayed payment, app store review, cloud provider issues, API outages, payment gateway approval, or other dependencies outside the Developer</w:t>
      </w:r>
      <w:r>
        <w:rPr>
          <w:rtl w:val="1"/>
        </w:rPr>
        <w:t>’</w:t>
      </w:r>
      <w:r>
        <w:rPr>
          <w:rtl w:val="0"/>
          <w:lang w:val="en-US"/>
        </w:rPr>
        <w:t>s control shall extend the timeline accordingly.</w:t>
      </w:r>
    </w:p>
    <w:p>
      <w:pPr>
        <w:pStyle w:val="Body"/>
        <w:spacing w:after="100"/>
        <w:jc w:val="both"/>
      </w:pPr>
      <w:r>
        <w:rPr>
          <w:rtl w:val="0"/>
          <w:lang w:val="en-US"/>
        </w:rPr>
        <w:t>4.3 Failure to deliver shall constitute delay only when the delay is directly caused by the Developer without valid technical, dependency, access, payment, or scope-related reasons.</w:t>
      </w:r>
    </w:p>
    <w:p>
      <w:pPr>
        <w:pStyle w:val="Body"/>
        <w:spacing w:after="100"/>
        <w:jc w:val="both"/>
      </w:pPr>
      <w:r>
        <w:rPr>
          <w:rtl w:val="0"/>
          <w:lang w:val="en-US"/>
        </w:rPr>
        <w:t>4.4 Weekly sprint reviews may be conducted, but absence of client feedback in such reviews shall not make the Developer responsible for unclear or undocumented expectations.</w:t>
      </w:r>
    </w:p>
    <w:p>
      <w:pPr>
        <w:pStyle w:val="Heading"/>
        <w:spacing w:after="100"/>
        <w:jc w:val="both"/>
      </w:pPr>
      <w:r>
        <w:rPr>
          <w:rtl w:val="0"/>
          <w:lang w:val="en-US"/>
        </w:rPr>
        <w:t>5. Technology Flexibility</w:t>
      </w:r>
    </w:p>
    <w:p>
      <w:pPr>
        <w:pStyle w:val="Body"/>
        <w:spacing w:after="100"/>
        <w:jc w:val="both"/>
      </w:pPr>
      <w:r>
        <w:rPr>
          <w:rtl w:val="0"/>
          <w:lang w:val="en-US"/>
        </w:rPr>
        <w:t>5.1 Technologies, frameworks, cloud providers, AI providers, OCR providers, databases, caching systems, deployment methods, and third-party services mentioned in discussions or architecture drafts are indicative unless marked as mandatory in the approved FRD/SOW.</w:t>
      </w:r>
    </w:p>
    <w:p>
      <w:pPr>
        <w:pStyle w:val="Body"/>
        <w:spacing w:after="100"/>
        <w:jc w:val="both"/>
      </w:pPr>
      <w:r>
        <w:rPr>
          <w:rtl w:val="0"/>
          <w:lang w:val="en-US"/>
        </w:rPr>
        <w:t>5.2 The Developer may reasonably modify the technology stack based on technical feasibility, cost, API limitations, timeline, scalability, third-party availability, security, or better implementation practice, provided the agreed user-facing functionality in the FRD/SOW is delivered.</w:t>
      </w:r>
    </w:p>
    <w:p>
      <w:pPr>
        <w:pStyle w:val="Body"/>
        <w:spacing w:after="100"/>
        <w:jc w:val="both"/>
      </w:pPr>
      <w:r>
        <w:rPr>
          <w:rtl w:val="0"/>
          <w:lang w:val="en-US"/>
        </w:rPr>
        <w:t>5.3 If the Client requires a specific technology as mandatory, it must be expressly written in the approved FRD/SOW before development begins. Technology changes requested by the Client after approval may be treated as change requests.</w:t>
      </w:r>
    </w:p>
    <w:p>
      <w:pPr>
        <w:pStyle w:val="Heading"/>
        <w:spacing w:after="100"/>
        <w:jc w:val="both"/>
      </w:pPr>
      <w:r>
        <w:rPr>
          <w:rtl w:val="0"/>
          <w:lang w:val="en-US"/>
        </w:rPr>
        <w:t>6. Payment Terms</w:t>
      </w:r>
    </w:p>
    <w:p>
      <w:pPr>
        <w:pStyle w:val="Body"/>
        <w:spacing w:after="100"/>
        <w:jc w:val="both"/>
      </w:pPr>
      <w:r>
        <w:rPr>
          <w:rtl w:val="0"/>
          <w:lang w:val="en-US"/>
        </w:rPr>
        <w:t>6.1 Total development fee: Rs 2,55,000.</w:t>
      </w:r>
    </w:p>
    <w:p>
      <w:pPr>
        <w:pStyle w:val="Body"/>
        <w:spacing w:after="100"/>
        <w:jc w:val="both"/>
      </w:pPr>
      <w:r>
        <w:rPr>
          <w:rtl w:val="0"/>
          <w:lang w:val="en-US"/>
        </w:rPr>
        <w:t>6.2 Payment schedule:</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20"/>
        <w:gridCol w:w="2520"/>
        <w:gridCol w:w="2520"/>
      </w:tblGrid>
      <w:tr>
        <w:tblPrEx>
          <w:shd w:val="clear" w:color="auto" w:fill="ced7e7"/>
        </w:tblPrEx>
        <w:trPr>
          <w:trHeight w:val="204"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pPr>
            <w:r>
              <w:rPr>
                <w:b w:val="1"/>
                <w:bCs w:val="1"/>
                <w:sz w:val="18"/>
                <w:szCs w:val="18"/>
                <w:shd w:val="nil" w:color="auto" w:fill="auto"/>
                <w:rtl w:val="0"/>
                <w:lang w:val="en-US"/>
              </w:rPr>
              <w:t>Milestone</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pPr>
            <w:r>
              <w:rPr>
                <w:b w:val="1"/>
                <w:bCs w:val="1"/>
                <w:sz w:val="18"/>
                <w:szCs w:val="18"/>
                <w:shd w:val="nil" w:color="auto" w:fill="auto"/>
                <w:rtl w:val="0"/>
                <w:lang w:val="en-US"/>
              </w:rPr>
              <w:t>Payment</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pPr>
            <w:r>
              <w:rPr>
                <w:b w:val="1"/>
                <w:bCs w:val="1"/>
                <w:sz w:val="18"/>
                <w:szCs w:val="18"/>
                <w:shd w:val="nil" w:color="auto" w:fill="auto"/>
                <w:rtl w:val="0"/>
                <w:lang w:val="en-US"/>
              </w:rPr>
              <w:t>Trigger</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top"/>
          </w:tcPr>
          <w:p>
            <w:pPr>
              <w:pStyle w:val="Body"/>
            </w:pPr>
            <w:r>
              <w:rPr>
                <w:b w:val="1"/>
                <w:bCs w:val="1"/>
                <w:sz w:val="18"/>
                <w:szCs w:val="18"/>
                <w:shd w:val="nil" w:color="auto" w:fill="auto"/>
                <w:rtl w:val="0"/>
                <w:lang w:val="en-US"/>
              </w:rPr>
              <w:t>Notes</w:t>
            </w:r>
          </w:p>
        </w:tc>
      </w:tr>
      <w:tr>
        <w:tblPrEx>
          <w:shd w:val="clear" w:color="auto" w:fill="ced7e7"/>
        </w:tblPrEx>
        <w:trPr>
          <w:trHeight w:val="414"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Milestone 1</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30%</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Advance before development begins</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Non-refundable once work starts.</w:t>
            </w:r>
          </w:p>
        </w:tc>
      </w:tr>
      <w:tr>
        <w:tblPrEx>
          <w:shd w:val="clear" w:color="auto" w:fill="ced7e7"/>
        </w:tblPrEx>
        <w:trPr>
          <w:trHeight w:val="414"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Milestone 2</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30%</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After beta delivery/deemed acceptance</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Due based on approved FRD/SOW milestone criteria.</w:t>
            </w:r>
          </w:p>
        </w:tc>
      </w:tr>
      <w:tr>
        <w:tblPrEx>
          <w:shd w:val="clear" w:color="auto" w:fill="ced7e7"/>
        </w:tblPrEx>
        <w:trPr>
          <w:trHeight w:val="624"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Milestone 3</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30%</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After production go-live/final acceptance/deemed acceptance</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Due after core scope is delivered.</w:t>
            </w:r>
          </w:p>
        </w:tc>
      </w:tr>
      <w:tr>
        <w:tblPrEx>
          <w:shd w:val="clear" w:color="auto" w:fill="ced7e7"/>
        </w:tblPrEx>
        <w:trPr>
          <w:trHeight w:val="624"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Milestone 4</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10%</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After 30-day support period</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Only valid agreed bugs within scope may be considered.</w:t>
            </w:r>
          </w:p>
        </w:tc>
      </w:tr>
    </w:tbl>
    <w:p>
      <w:pPr>
        <w:pStyle w:val="Body"/>
        <w:widowControl w:val="0"/>
        <w:spacing w:after="100" w:line="240" w:lineRule="auto"/>
        <w:jc w:val="both"/>
      </w:pPr>
    </w:p>
    <w:p>
      <w:pPr>
        <w:pStyle w:val="Body"/>
        <w:spacing w:after="100"/>
        <w:jc w:val="both"/>
      </w:pPr>
      <w:r>
        <w:rPr>
          <w:rtl w:val="0"/>
          <w:lang w:val="en-US"/>
        </w:rPr>
        <w:t>6.3 Payments made for completed, delivered, approved, or deemed accepted milestones shall be final, locked, and non-refundable, except in cases of proven fraud or willful misconduct by the Developer.</w:t>
      </w:r>
    </w:p>
    <w:p>
      <w:pPr>
        <w:pStyle w:val="Body"/>
        <w:spacing w:after="100"/>
        <w:jc w:val="both"/>
      </w:pPr>
      <w:r>
        <w:rPr>
          <w:rtl w:val="0"/>
          <w:lang w:val="en-US"/>
        </w:rPr>
        <w:t>6.4 The Client shall not withhold payment or request refund for approved work due to change of mind, new expectations, investor feedback, business pivot, market feedback, competitor comparison, new design preference, or features not included in the FRD/SOW.</w:t>
      </w:r>
    </w:p>
    <w:p>
      <w:pPr>
        <w:pStyle w:val="Body"/>
        <w:spacing w:after="100"/>
        <w:jc w:val="both"/>
      </w:pPr>
      <w:r>
        <w:rPr>
          <w:rtl w:val="0"/>
          <w:lang w:val="en-US"/>
        </w:rPr>
        <w:t>6.5 If any payment is delayed by more than seven (7) calendar days after becoming due, the Developer may pause work until payment is received. The project timeline shall be extended for the delay period and any remobilization time reasonably required.</w:t>
      </w:r>
    </w:p>
    <w:p>
      <w:pPr>
        <w:pStyle w:val="Body"/>
        <w:spacing w:after="100"/>
        <w:jc w:val="both"/>
      </w:pPr>
      <w:r>
        <w:rPr>
          <w:rtl w:val="0"/>
          <w:lang w:val="en-US"/>
        </w:rPr>
        <w:t>6.6 The Developer shall hand over work corresponding to payments actually received. The Client shall not receive ownership or unrestricted use of unpaid work.</w:t>
      </w:r>
    </w:p>
    <w:p>
      <w:pPr>
        <w:pStyle w:val="Heading"/>
        <w:spacing w:after="100"/>
        <w:jc w:val="both"/>
      </w:pPr>
      <w:r>
        <w:rPr>
          <w:rtl w:val="0"/>
          <w:lang w:val="en-US"/>
        </w:rPr>
        <w:t>7. Milestone Review, Acceptance, and Rejection</w:t>
      </w:r>
    </w:p>
    <w:p>
      <w:pPr>
        <w:pStyle w:val="Body"/>
        <w:spacing w:after="100"/>
        <w:jc w:val="both"/>
      </w:pPr>
      <w:r>
        <w:rPr>
          <w:rtl w:val="0"/>
          <w:lang w:val="en-US"/>
        </w:rPr>
        <w:t>7.1 For each milestone, the Developer shall submit the deliverables for review. The Client shall provide written approval or specific written feedback within five (5) working days.</w:t>
      </w:r>
    </w:p>
    <w:p>
      <w:pPr>
        <w:pStyle w:val="Body"/>
        <w:spacing w:after="100"/>
        <w:jc w:val="both"/>
      </w:pPr>
      <w:r>
        <w:rPr>
          <w:rtl w:val="0"/>
          <w:lang w:val="en-US"/>
        </w:rPr>
        <w:t>7.2 If the Client does not provide written feedback within five (5) working days, the milestone shall be deemed accepted.</w:t>
      </w:r>
    </w:p>
    <w:p>
      <w:pPr>
        <w:pStyle w:val="Body"/>
        <w:spacing w:after="100"/>
        <w:jc w:val="both"/>
      </w:pPr>
      <w:r>
        <w:rPr>
          <w:rtl w:val="0"/>
          <w:lang w:val="en-US"/>
        </w:rPr>
        <w:t>7.3 A milestone may be rejected only if the delivered work materially fails to meet the written requirements and acceptance criteria in the approved FRD/SOW.</w:t>
      </w:r>
    </w:p>
    <w:p>
      <w:pPr>
        <w:pStyle w:val="Body"/>
        <w:spacing w:after="100"/>
        <w:jc w:val="both"/>
      </w:pPr>
      <w:r>
        <w:rPr>
          <w:rtl w:val="0"/>
          <w:lang w:val="en-US"/>
        </w:rPr>
        <w:t>7.4 Any rejection must be specific, written, and include the issue, expected behavior, screenshots or screen recordings where applicable, and reference to the exact FRD/SOW requirement not met.</w:t>
      </w:r>
    </w:p>
    <w:p>
      <w:pPr>
        <w:pStyle w:val="Body"/>
        <w:spacing w:after="100"/>
        <w:jc w:val="both"/>
      </w:pPr>
      <w:r>
        <w:rPr>
          <w:rtl w:val="0"/>
          <w:lang w:val="en-US"/>
        </w:rPr>
        <w:t>7.5 The Developer shall be given a reasonable opportunity to fix valid defects or missing items within an agreed timeframe.</w:t>
      </w:r>
    </w:p>
    <w:p>
      <w:pPr>
        <w:pStyle w:val="Body"/>
        <w:spacing w:after="100"/>
        <w:jc w:val="both"/>
      </w:pPr>
      <w:r>
        <w:rPr>
          <w:rtl w:val="0"/>
          <w:lang w:val="en-US"/>
        </w:rPr>
        <w:t>7.6 A milestone cannot be rejected due to subjective dissatisfaction, changed preference, verbal assumptions, PPT references, new ideas, competitor comparison, business change, or requirements not written in the approved FRD/SOW.</w:t>
      </w:r>
    </w:p>
    <w:p>
      <w:pPr>
        <w:pStyle w:val="Body"/>
        <w:spacing w:after="100"/>
        <w:jc w:val="both"/>
      </w:pPr>
      <w:r>
        <w:rPr>
          <w:rtl w:val="0"/>
          <w:lang w:val="en-US"/>
        </w:rPr>
        <w:t>7.7 Once a milestone is approved or deemed accepted, the Client cannot later reopen, reject, reverse, or request refund for that milestone or previous milestones. Any requested changes to approved work shall be treated as change requests.</w:t>
      </w:r>
    </w:p>
    <w:p>
      <w:pPr>
        <w:pStyle w:val="Heading"/>
        <w:spacing w:after="100"/>
        <w:jc w:val="both"/>
      </w:pPr>
      <w:r>
        <w:rPr>
          <w:rtl w:val="0"/>
          <w:lang w:val="en-US"/>
        </w:rPr>
        <w:t>8. Change Request Process</w:t>
      </w:r>
    </w:p>
    <w:p>
      <w:pPr>
        <w:pStyle w:val="Body"/>
        <w:spacing w:after="100"/>
        <w:jc w:val="both"/>
      </w:pPr>
      <w:r>
        <w:rPr>
          <w:rtl w:val="0"/>
          <w:lang w:val="en-US"/>
        </w:rPr>
        <w:t>8.1 Any feature, screen, workflow, integration, design change, business logic change, AI behavior change, infrastructure change, performance requirement, compliance requirement, or technical requirement not expressly included in the approved FRD/SOW shall be treated as a change request.</w:t>
      </w:r>
    </w:p>
    <w:p>
      <w:pPr>
        <w:pStyle w:val="Body"/>
        <w:spacing w:after="100"/>
        <w:jc w:val="both"/>
      </w:pPr>
      <w:r>
        <w:rPr>
          <w:rtl w:val="0"/>
          <w:lang w:val="en-US"/>
        </w:rPr>
        <w:t>8.2 Change requests shall be documented in writing and may include revised cost, revised timeline, revised milestone impact, and technical feasibility notes.</w:t>
      </w:r>
    </w:p>
    <w:p>
      <w:pPr>
        <w:pStyle w:val="Body"/>
        <w:spacing w:after="100"/>
        <w:jc w:val="both"/>
      </w:pPr>
      <w:r>
        <w:rPr>
          <w:rtl w:val="0"/>
          <w:lang w:val="en-US"/>
        </w:rPr>
        <w:t>8.3 The Developer is not required to start out-of-scope work unless both parties approve the change request in writing and the Client pays any agreed additional amount or advance for such change.</w:t>
      </w:r>
    </w:p>
    <w:p>
      <w:pPr>
        <w:pStyle w:val="Heading"/>
        <w:spacing w:after="100"/>
        <w:jc w:val="both"/>
      </w:pPr>
      <w:r>
        <w:rPr>
          <w:rtl w:val="0"/>
          <w:lang w:val="en-US"/>
        </w:rPr>
        <w:t>9. Client Responsibilities</w:t>
      </w:r>
    </w:p>
    <w:p>
      <w:pPr>
        <w:pStyle w:val="Body"/>
        <w:spacing w:after="100"/>
        <w:jc w:val="both"/>
      </w:pPr>
      <w:r>
        <w:rPr>
          <w:rtl w:val="0"/>
          <w:lang w:val="en-US"/>
        </w:rPr>
        <w:t>9.1 The Client shall provide timely decisions, approvals, content, branding assets, legal documents, medical disclaimers, privacy policy, refund policy, business logic confirmation, required accounts, credentials, API keys, cloud accounts, app store accounts, payment gateway accounts, and third-party subscriptions.</w:t>
      </w:r>
    </w:p>
    <w:p>
      <w:pPr>
        <w:pStyle w:val="Body"/>
        <w:spacing w:after="100"/>
        <w:jc w:val="both"/>
      </w:pPr>
      <w:r>
        <w:rPr>
          <w:rtl w:val="0"/>
          <w:lang w:val="en-US"/>
        </w:rPr>
        <w:t>9.2 The Client shall be solely responsible for third-party approvals, including payment gateway KYC, Apple Developer approval, Google Play Console approval, cloud account verification, domain ownership, API access, and legal/compliance approvals.</w:t>
      </w:r>
    </w:p>
    <w:p>
      <w:pPr>
        <w:pStyle w:val="Body"/>
        <w:spacing w:after="100"/>
        <w:jc w:val="both"/>
      </w:pPr>
      <w:r>
        <w:rPr>
          <w:rtl w:val="0"/>
          <w:lang w:val="en-US"/>
        </w:rPr>
        <w:t>9.3 Delays or failures in Client responsibilities shall not be treated as Developer delay or Developer breach.</w:t>
      </w:r>
    </w:p>
    <w:p>
      <w:pPr>
        <w:pStyle w:val="Heading"/>
        <w:spacing w:after="100"/>
        <w:jc w:val="both"/>
      </w:pPr>
      <w:r>
        <w:rPr>
          <w:rtl w:val="0"/>
          <w:lang w:val="en-US"/>
        </w:rPr>
        <w:t>10. Third-Party Costs and Infrastructure Costs</w:t>
      </w:r>
    </w:p>
    <w:p>
      <w:pPr>
        <w:pStyle w:val="Body"/>
        <w:spacing w:after="100"/>
        <w:jc w:val="both"/>
      </w:pPr>
      <w:r>
        <w:rPr>
          <w:rtl w:val="0"/>
          <w:lang w:val="en-US"/>
        </w:rPr>
        <w:t>10.1 The Developer</w:t>
      </w:r>
      <w:r>
        <w:rPr>
          <w:rtl w:val="1"/>
        </w:rPr>
        <w:t>’</w:t>
      </w:r>
      <w:r>
        <w:rPr>
          <w:rtl w:val="0"/>
          <w:lang w:val="en-US"/>
        </w:rPr>
        <w:t>s fee includes development services only. It does not include cloud bills, AI usage charges, OCR usage charges, payment gateway charges, SMS/email charges, app store fees, domain charges, paid software tools, API fees, taxes, or subscriptions.</w:t>
      </w:r>
    </w:p>
    <w:p>
      <w:pPr>
        <w:pStyle w:val="Body"/>
        <w:spacing w:after="100"/>
        <w:jc w:val="both"/>
      </w:pPr>
      <w:r>
        <w:rPr>
          <w:rtl w:val="0"/>
          <w:lang w:val="en-US"/>
        </w:rPr>
        <w:t>10.2 All third-party accounts and production infrastructure shall be owned and paid for by the Client unless otherwise agreed in writing.</w:t>
      </w:r>
    </w:p>
    <w:p>
      <w:pPr>
        <w:pStyle w:val="Body"/>
        <w:spacing w:after="100"/>
        <w:jc w:val="both"/>
      </w:pPr>
      <w:r>
        <w:rPr>
          <w:rtl w:val="0"/>
          <w:lang w:val="en-US"/>
        </w:rPr>
        <w:t>10.3 The Developer shall not be required to pay third-party costs from the development fee.</w:t>
      </w:r>
    </w:p>
    <w:p>
      <w:pPr>
        <w:pStyle w:val="Heading"/>
        <w:spacing w:after="100"/>
        <w:jc w:val="both"/>
      </w:pPr>
      <w:r>
        <w:rPr>
          <w:rtl w:val="0"/>
          <w:lang w:val="en-US"/>
        </w:rPr>
        <w:t>11. Repository, Source Code, and Access</w:t>
      </w:r>
    </w:p>
    <w:p>
      <w:pPr>
        <w:pStyle w:val="Body"/>
        <w:spacing w:after="100"/>
        <w:jc w:val="both"/>
      </w:pPr>
      <w:r>
        <w:rPr>
          <w:rtl w:val="0"/>
          <w:lang w:val="en-US"/>
        </w:rPr>
        <w:t>11.1 The repository may be created under the Client</w:t>
      </w:r>
      <w:r>
        <w:rPr>
          <w:rtl w:val="1"/>
        </w:rPr>
        <w:t>’</w:t>
      </w:r>
      <w:r>
        <w:rPr>
          <w:rtl w:val="0"/>
          <w:lang w:val="en-US"/>
        </w:rPr>
        <w:t>s GitHub/GitLab organization, provided the Developer receives uninterrupted access required to perform development until all payments and handover obligations are completed.</w:t>
      </w:r>
    </w:p>
    <w:p>
      <w:pPr>
        <w:pStyle w:val="Body"/>
        <w:spacing w:after="100"/>
        <w:jc w:val="both"/>
      </w:pPr>
      <w:r>
        <w:rPr>
          <w:rtl w:val="0"/>
          <w:lang w:val="en-US"/>
        </w:rPr>
        <w:t>11.2 The Developer shall commit code regularly and maintain reasonable version control practices. Daily commit requirements shall not be treated as a material breach where work is being performed offline, under review, in design/planning, blocked by dependencies, or not suitable for daily commits.</w:t>
      </w:r>
    </w:p>
    <w:p>
      <w:pPr>
        <w:pStyle w:val="Body"/>
        <w:spacing w:after="100"/>
        <w:jc w:val="both"/>
      </w:pPr>
      <w:r>
        <w:rPr>
          <w:rtl w:val="0"/>
          <w:lang w:val="en-US"/>
        </w:rPr>
        <w:t>11.3 The Client shall not remove or restrict the Developer</w:t>
      </w:r>
      <w:r>
        <w:rPr>
          <w:rtl w:val="1"/>
        </w:rPr>
        <w:t>’</w:t>
      </w:r>
      <w:r>
        <w:rPr>
          <w:rtl w:val="0"/>
          <w:lang w:val="en-US"/>
        </w:rPr>
        <w:t>s access during the active project unless there is proven misuse, breach, or termination under this Agreement. Wrongful access removal shall pause the timeline and may require payment for completed work before further handover.</w:t>
      </w:r>
    </w:p>
    <w:p>
      <w:pPr>
        <w:pStyle w:val="Body"/>
        <w:spacing w:after="100"/>
        <w:jc w:val="both"/>
      </w:pPr>
      <w:r>
        <w:rPr>
          <w:rtl w:val="0"/>
          <w:lang w:val="en-US"/>
        </w:rPr>
        <w:t>11.4 The Developer may retain an archival copy of project work solely for legal record, dispute resolution, tax/accounting, or portfolio verification purposes, subject to confidentiality and without public disclosure of confidential information or proprietary source code.</w:t>
      </w:r>
    </w:p>
    <w:p>
      <w:pPr>
        <w:pStyle w:val="Heading"/>
        <w:spacing w:after="100"/>
        <w:jc w:val="both"/>
      </w:pPr>
      <w:r>
        <w:rPr>
          <w:rtl w:val="0"/>
          <w:lang w:val="en-US"/>
        </w:rPr>
        <w:t>12. Source Code Ownership and Intellectual Property</w:t>
      </w:r>
    </w:p>
    <w:p>
      <w:pPr>
        <w:pStyle w:val="Body"/>
        <w:spacing w:after="100"/>
        <w:jc w:val="both"/>
      </w:pPr>
      <w:r>
        <w:rPr>
          <w:rtl w:val="0"/>
          <w:lang w:val="en-US"/>
        </w:rPr>
        <w:t>12.1 Ownership of custom project-specific deliverables transfers to the Client only upon payment of the applicable milestone amount for those deliverables.</w:t>
      </w:r>
    </w:p>
    <w:p>
      <w:pPr>
        <w:pStyle w:val="Body"/>
        <w:spacing w:after="100"/>
        <w:jc w:val="both"/>
      </w:pPr>
      <w:r>
        <w:rPr>
          <w:rtl w:val="0"/>
          <w:lang w:val="en-US"/>
        </w:rPr>
        <w:t>12.2 Until full payment for a milestone is received, the Developer retains ownership and control over the unpaid work product for that milestone.</w:t>
      </w:r>
    </w:p>
    <w:p>
      <w:pPr>
        <w:pStyle w:val="Body"/>
        <w:spacing w:after="100"/>
        <w:jc w:val="both"/>
      </w:pPr>
      <w:r>
        <w:rPr>
          <w:rtl w:val="0"/>
          <w:lang w:val="en-US"/>
        </w:rPr>
        <w:t>12.3 Upon payment, the Client shall own the custom source code, UI, APIs, database schema, project-specific prompts, workflows, documentation, and other custom deliverables created specifically for the project, subject to the Developer</w:t>
      </w:r>
      <w:r>
        <w:rPr>
          <w:rtl w:val="1"/>
        </w:rPr>
        <w:t>’</w:t>
      </w:r>
      <w:r>
        <w:rPr>
          <w:rtl w:val="0"/>
          <w:lang w:val="en-US"/>
        </w:rPr>
        <w:t>s retained rights below.</w:t>
      </w:r>
    </w:p>
    <w:p>
      <w:pPr>
        <w:pStyle w:val="Body"/>
        <w:spacing w:after="100"/>
        <w:jc w:val="both"/>
      </w:pPr>
      <w:r>
        <w:rPr>
          <w:rtl w:val="0"/>
          <w:lang w:val="en-US"/>
        </w:rPr>
        <w:t>12.4 The Developer retains ownership of pre-existing knowledge, general programming skills, reusable code snippets, templates, generic utilities, development methods, debugging approaches, architectural know-how, non-client-specific AI implementation patterns, and general technical experience.</w:t>
      </w:r>
    </w:p>
    <w:p>
      <w:pPr>
        <w:pStyle w:val="Body"/>
        <w:spacing w:after="100"/>
        <w:jc w:val="both"/>
      </w:pPr>
      <w:r>
        <w:rPr>
          <w:rtl w:val="0"/>
          <w:lang w:val="en-US"/>
        </w:rPr>
        <w:t>12.5 The Developer may use general skills, non-confidential knowledge, and reusable non-client-specific components in future projects, provided the Client</w:t>
      </w:r>
      <w:r>
        <w:rPr>
          <w:rtl w:val="1"/>
        </w:rPr>
        <w:t>’</w:t>
      </w:r>
      <w:r>
        <w:rPr>
          <w:rtl w:val="0"/>
          <w:lang w:val="en-US"/>
        </w:rPr>
        <w:t>s confidential information, proprietary business logic, customer data, private credentials, private prompts, and project-specific source code are not copied or disclosed.</w:t>
      </w:r>
    </w:p>
    <w:p>
      <w:pPr>
        <w:pStyle w:val="Body"/>
        <w:spacing w:after="100"/>
        <w:jc w:val="both"/>
      </w:pPr>
      <w:r>
        <w:rPr>
          <w:rtl w:val="0"/>
          <w:lang w:val="en-US"/>
        </w:rPr>
        <w:t>12.6 Third-party libraries, frameworks, SDKs, APIs, cloud services, AI models, open-source packages, and licensed assets remain subject to their respective third-party licenses and are not owned by either party.</w:t>
      </w:r>
    </w:p>
    <w:p>
      <w:pPr>
        <w:pStyle w:val="Heading"/>
        <w:spacing w:after="100"/>
        <w:jc w:val="both"/>
      </w:pPr>
      <w:r>
        <w:rPr>
          <w:rtl w:val="0"/>
          <w:lang w:val="en-US"/>
        </w:rPr>
        <w:t>13. Confidentiality</w:t>
      </w:r>
    </w:p>
    <w:p>
      <w:pPr>
        <w:pStyle w:val="Body"/>
        <w:spacing w:after="100"/>
        <w:jc w:val="both"/>
      </w:pPr>
      <w:r>
        <w:rPr>
          <w:rtl w:val="0"/>
          <w:lang w:val="en-US"/>
        </w:rPr>
        <w:t>13.1 The Developer shall maintain confidentiality of Client confidential information, including private source code, business plans, customer data, credentials, financial information, proprietary AI prompts, architecture, and product strategy.</w:t>
      </w:r>
    </w:p>
    <w:p>
      <w:pPr>
        <w:pStyle w:val="Body"/>
        <w:spacing w:after="100"/>
        <w:jc w:val="both"/>
      </w:pPr>
      <w:r>
        <w:rPr>
          <w:rtl w:val="0"/>
          <w:lang w:val="en-US"/>
        </w:rPr>
        <w:t>13.2 The Client shall maintain confidentiality of the Developer</w:t>
      </w:r>
      <w:r>
        <w:rPr>
          <w:rtl w:val="1"/>
        </w:rPr>
        <w:t>’</w:t>
      </w:r>
      <w:r>
        <w:rPr>
          <w:rtl w:val="0"/>
          <w:lang w:val="en-US"/>
        </w:rPr>
        <w:t>s private estimates, development methods, proprietary templates, reusable tools, working notes, and non-public technical materials.</w:t>
      </w:r>
    </w:p>
    <w:p>
      <w:pPr>
        <w:pStyle w:val="Body"/>
        <w:spacing w:after="100"/>
        <w:jc w:val="both"/>
      </w:pPr>
      <w:r>
        <w:rPr>
          <w:rtl w:val="0"/>
          <w:lang w:val="en-US"/>
        </w:rPr>
        <w:t>13.3 Confidentiality shall not restrict either party from using publicly known information, independently developed knowledge, general skills, or information lawfully obtained from third parties.</w:t>
      </w:r>
    </w:p>
    <w:p>
      <w:pPr>
        <w:pStyle w:val="Body"/>
        <w:spacing w:after="100"/>
        <w:jc w:val="both"/>
      </w:pPr>
      <w:r>
        <w:rPr>
          <w:rtl w:val="0"/>
          <w:lang w:val="en-US"/>
        </w:rPr>
        <w:t>13.4 Confidentiality obligations shall remain in force for five (5) years after completion or termination, except for trade secrets or credentials, which shall remain confidential as long as they are not publicly known.</w:t>
      </w:r>
    </w:p>
    <w:p>
      <w:pPr>
        <w:pStyle w:val="Heading"/>
        <w:spacing w:after="100"/>
        <w:jc w:val="both"/>
      </w:pPr>
      <w:r>
        <w:rPr>
          <w:rtl w:val="0"/>
          <w:lang w:val="en-US"/>
        </w:rPr>
        <w:t>14. Non-Compete and Future Work</w:t>
      </w:r>
    </w:p>
    <w:p>
      <w:pPr>
        <w:pStyle w:val="Body"/>
        <w:spacing w:after="100"/>
        <w:jc w:val="both"/>
      </w:pPr>
      <w:r>
        <w:rPr>
          <w:rtl w:val="0"/>
          <w:lang w:val="en-US"/>
        </w:rPr>
        <w:t>14.1 The Developer shall not knowingly use the Client</w:t>
      </w:r>
      <w:r>
        <w:rPr>
          <w:rtl w:val="1"/>
        </w:rPr>
        <w:t>’</w:t>
      </w:r>
      <w:r>
        <w:rPr>
          <w:rtl w:val="0"/>
          <w:lang w:val="en-US"/>
        </w:rPr>
        <w:t>s confidential information to build an identical or substantially similar product for a direct competitor for twelve (12) months after project completion.</w:t>
      </w:r>
    </w:p>
    <w:p>
      <w:pPr>
        <w:pStyle w:val="Body"/>
        <w:spacing w:after="100"/>
        <w:jc w:val="both"/>
      </w:pPr>
      <w:r>
        <w:rPr>
          <w:rtl w:val="0"/>
          <w:lang w:val="en-US"/>
        </w:rPr>
        <w:t>14.2 This restriction shall not prevent the Developer from performing general software development, healthcare software development, AI application development, admin dashboards, OCR integrations, report-processing systems, cloud deployments, mobile apps, or similar technical work for other clients, provided the Client</w:t>
      </w:r>
      <w:r>
        <w:rPr>
          <w:rtl w:val="1"/>
        </w:rPr>
        <w:t>’</w:t>
      </w:r>
      <w:r>
        <w:rPr>
          <w:rtl w:val="0"/>
          <w:lang w:val="en-US"/>
        </w:rPr>
        <w:t>s confidential information and project-specific source code are not reused.</w:t>
      </w:r>
    </w:p>
    <w:p>
      <w:pPr>
        <w:pStyle w:val="Body"/>
        <w:spacing w:after="100"/>
        <w:jc w:val="both"/>
      </w:pPr>
      <w:r>
        <w:rPr>
          <w:rtl w:val="0"/>
          <w:lang w:val="en-US"/>
        </w:rPr>
        <w:t>14.3 The parties agree that this clause is intended only to protect confidential information and shall not restrict the Developer</w:t>
      </w:r>
      <w:r>
        <w:rPr>
          <w:rtl w:val="1"/>
        </w:rPr>
        <w:t>’</w:t>
      </w:r>
      <w:r>
        <w:rPr>
          <w:rtl w:val="0"/>
          <w:lang w:val="en-US"/>
        </w:rPr>
        <w:t>s general profession, trade, employment, freelancing, education, or future career.</w:t>
      </w:r>
    </w:p>
    <w:p>
      <w:pPr>
        <w:pStyle w:val="Heading"/>
        <w:spacing w:after="100"/>
        <w:jc w:val="both"/>
      </w:pPr>
      <w:r>
        <w:rPr>
          <w:rtl w:val="0"/>
          <w:lang w:val="en-US"/>
        </w:rPr>
        <w:t>15. Open Source and Third-Party Components</w:t>
      </w:r>
    </w:p>
    <w:p>
      <w:pPr>
        <w:pStyle w:val="Body"/>
        <w:spacing w:after="100"/>
        <w:jc w:val="both"/>
      </w:pPr>
      <w:r>
        <w:rPr>
          <w:rtl w:val="0"/>
          <w:lang w:val="en-US"/>
        </w:rPr>
        <w:t>15.1 The Developer may use commercially suitable third-party libraries, frameworks, SDKs, and open-source components where appropriate.</w:t>
      </w:r>
    </w:p>
    <w:p>
      <w:pPr>
        <w:pStyle w:val="Body"/>
        <w:spacing w:after="100"/>
        <w:jc w:val="both"/>
      </w:pPr>
      <w:r>
        <w:rPr>
          <w:rtl w:val="0"/>
          <w:lang w:val="en-US"/>
        </w:rPr>
        <w:t>15.2 The Developer shall avoid using copyleft components that require disclosure of proprietary project source code unless approved by the Client in writing.</w:t>
      </w:r>
    </w:p>
    <w:p>
      <w:pPr>
        <w:pStyle w:val="Body"/>
        <w:spacing w:after="100"/>
        <w:jc w:val="both"/>
      </w:pPr>
      <w:r>
        <w:rPr>
          <w:rtl w:val="0"/>
          <w:lang w:val="en-US"/>
        </w:rPr>
        <w:t>15.3 The Client acknowledges that modern software development relies on third-party components and that such components remain governed by their own licenses, limitations, updates, and security advisories.</w:t>
      </w:r>
    </w:p>
    <w:p>
      <w:pPr>
        <w:pStyle w:val="Heading"/>
        <w:spacing w:after="100"/>
        <w:jc w:val="both"/>
      </w:pPr>
      <w:r>
        <w:rPr>
          <w:rtl w:val="0"/>
          <w:lang w:val="en-US"/>
        </w:rPr>
        <w:t>16. Security Requirements</w:t>
      </w:r>
    </w:p>
    <w:p>
      <w:pPr>
        <w:pStyle w:val="Body"/>
        <w:spacing w:after="100"/>
        <w:jc w:val="both"/>
      </w:pPr>
      <w:r>
        <w:rPr>
          <w:rtl w:val="0"/>
          <w:lang w:val="en-US"/>
        </w:rPr>
        <w:t>16.1 The Developer shall implement reasonable basic security practices within the agreed scope, such as authentication, protected APIs, environment variables, input validation, HTTPS deployment, secure file upload handling where feasible, and avoiding hard-coded production secrets.</w:t>
      </w:r>
    </w:p>
    <w:p>
      <w:pPr>
        <w:pStyle w:val="Body"/>
        <w:spacing w:after="100"/>
        <w:jc w:val="both"/>
      </w:pPr>
      <w:r>
        <w:rPr>
          <w:rtl w:val="0"/>
          <w:lang w:val="en-US"/>
        </w:rPr>
        <w:t>16.2 The Developer does not guarantee that the application is immune from all vulnerabilities, cyberattacks, data breaches, third-party failures, or future security risks.</w:t>
      </w:r>
    </w:p>
    <w:p>
      <w:pPr>
        <w:pStyle w:val="Body"/>
        <w:spacing w:after="100"/>
        <w:jc w:val="both"/>
      </w:pPr>
      <w:r>
        <w:rPr>
          <w:rtl w:val="0"/>
          <w:lang w:val="en-US"/>
        </w:rPr>
        <w:t>16.3 Enterprise security audit, penetration testing, compliance certification, continuous monitoring, incident response, and long-term security maintenance are excluded unless separately agreed in writing.</w:t>
      </w:r>
    </w:p>
    <w:p>
      <w:pPr>
        <w:pStyle w:val="Heading"/>
        <w:spacing w:after="100"/>
        <w:jc w:val="both"/>
      </w:pPr>
      <w:r>
        <w:rPr>
          <w:rtl w:val="0"/>
        </w:rPr>
        <w:t>17. Testing</w:t>
      </w:r>
    </w:p>
    <w:p>
      <w:pPr>
        <w:pStyle w:val="Body"/>
        <w:spacing w:after="100"/>
        <w:jc w:val="both"/>
      </w:pPr>
      <w:r>
        <w:rPr>
          <w:rtl w:val="0"/>
          <w:lang w:val="en-US"/>
        </w:rPr>
        <w:t>17.1 The Developer shall perform reasonable testing appropriate for the project scope, including manual testing, API testing, integration testing, and core flow testing.</w:t>
      </w:r>
    </w:p>
    <w:p>
      <w:pPr>
        <w:pStyle w:val="Body"/>
        <w:spacing w:after="100"/>
        <w:jc w:val="both"/>
      </w:pPr>
      <w:r>
        <w:rPr>
          <w:rtl w:val="0"/>
          <w:lang w:val="en-US"/>
        </w:rPr>
        <w:t>17.2 The Client shall support user acceptance testing by reviewing milestone deliverables and providing specific feedback within the agreed review period.</w:t>
      </w:r>
    </w:p>
    <w:p>
      <w:pPr>
        <w:pStyle w:val="Body"/>
        <w:spacing w:after="100"/>
        <w:jc w:val="both"/>
      </w:pPr>
      <w:r>
        <w:rPr>
          <w:rtl w:val="0"/>
          <w:lang w:val="en-US"/>
        </w:rPr>
        <w:t>17.3 Automated full test suites, enterprise QA, third-party QA, penetration testing, load testing, stress testing, compliance testing, medical accuracy testing, and app store policy testing are excluded unless separately agreed in writing.</w:t>
      </w:r>
    </w:p>
    <w:p>
      <w:pPr>
        <w:pStyle w:val="Heading"/>
        <w:spacing w:after="100"/>
        <w:jc w:val="both"/>
      </w:pPr>
      <w:r>
        <w:rPr>
          <w:rtl w:val="0"/>
          <w:lang w:val="en-US"/>
        </w:rPr>
        <w:t>18. Documentation</w:t>
      </w:r>
    </w:p>
    <w:p>
      <w:pPr>
        <w:pStyle w:val="Body"/>
        <w:spacing w:after="100"/>
        <w:jc w:val="both"/>
      </w:pPr>
      <w:r>
        <w:rPr>
          <w:rtl w:val="0"/>
          <w:lang w:val="en-US"/>
        </w:rPr>
        <w:t>18.1 The Developer shall provide basic technical documentation, which may include README files, setup guide, deployment guide, environment variable list, API documentation, database overview, architecture notes, admin usage notes, and handover notes.</w:t>
      </w:r>
    </w:p>
    <w:p>
      <w:pPr>
        <w:pStyle w:val="Body"/>
        <w:spacing w:after="100"/>
        <w:jc w:val="both"/>
      </w:pPr>
      <w:r>
        <w:rPr>
          <w:rtl w:val="0"/>
          <w:lang w:val="en-US"/>
        </w:rPr>
        <w:t>18.2 Enterprise-grade documentation, legal documentation, compliance reports, user manuals, training videos, security audit reports, and disaster recovery automation are excluded unless separately agreed in writing.</w:t>
      </w:r>
    </w:p>
    <w:p>
      <w:pPr>
        <w:pStyle w:val="Heading"/>
        <w:spacing w:after="100"/>
        <w:jc w:val="both"/>
      </w:pPr>
      <w:r>
        <w:rPr>
          <w:rtl w:val="0"/>
          <w:lang w:val="en-US"/>
        </w:rPr>
        <w:t>19. AI, OCR, and Medical Disclaimer</w:t>
      </w:r>
    </w:p>
    <w:p>
      <w:pPr>
        <w:pStyle w:val="Body"/>
        <w:spacing w:after="100"/>
        <w:jc w:val="both"/>
      </w:pPr>
      <w:r>
        <w:rPr>
          <w:rtl w:val="0"/>
          <w:lang w:val="en-US"/>
        </w:rPr>
        <w:t>19.1 The application may use AI and OCR providers selected based on feasibility, cost, and technical suitability. AI and OCR behavior depends on third-party systems and source data quality.</w:t>
      </w:r>
    </w:p>
    <w:p>
      <w:pPr>
        <w:pStyle w:val="Body"/>
        <w:spacing w:after="100"/>
        <w:jc w:val="both"/>
      </w:pPr>
      <w:r>
        <w:rPr>
          <w:rtl w:val="0"/>
          <w:lang w:val="en-US"/>
        </w:rPr>
        <w:t>19.2 The Developer does not guarantee medical accuracy, AI accuracy, OCR accuracy, diagnosis accuracy, treatment correctness, or clinical validity.</w:t>
      </w:r>
    </w:p>
    <w:p>
      <w:pPr>
        <w:pStyle w:val="Body"/>
        <w:spacing w:after="100"/>
        <w:jc w:val="both"/>
      </w:pPr>
      <w:r>
        <w:rPr>
          <w:rtl w:val="0"/>
          <w:lang w:val="en-US"/>
        </w:rPr>
        <w:t>19.3 The application shall include an appropriate disclaimer stating that AI-generated content is for informational purposes only and does not replace professional medical advice.</w:t>
      </w:r>
    </w:p>
    <w:p>
      <w:pPr>
        <w:pStyle w:val="Body"/>
        <w:spacing w:after="100"/>
        <w:jc w:val="both"/>
      </w:pPr>
      <w:r>
        <w:rPr>
          <w:rtl w:val="0"/>
          <w:lang w:val="en-US"/>
        </w:rPr>
        <w:t>19.4 The Client is solely responsible for obtaining legal, medical, regulatory, data protection, privacy, healthcare, tax, payment, and consumer protection review before public launch.</w:t>
      </w:r>
    </w:p>
    <w:p>
      <w:pPr>
        <w:pStyle w:val="Body"/>
        <w:spacing w:after="100"/>
        <w:jc w:val="both"/>
      </w:pPr>
      <w:r>
        <w:rPr>
          <w:rtl w:val="0"/>
          <w:lang w:val="en-US"/>
        </w:rPr>
        <w:t>19.5 The Client shall indemnify and hold harmless the Developer from claims arising from the Client</w:t>
      </w:r>
      <w:r>
        <w:rPr>
          <w:rtl w:val="1"/>
        </w:rPr>
        <w:t>’</w:t>
      </w:r>
      <w:r>
        <w:rPr>
          <w:rtl w:val="0"/>
          <w:lang w:val="en-US"/>
        </w:rPr>
        <w:t>s business operations, medical/health claims, user reliance on AI output, legal non-compliance, privacy policy issues, terms of use issues, marketing claims, or misuse of the application, except to the extent caused by the Developer</w:t>
      </w:r>
      <w:r>
        <w:rPr>
          <w:rtl w:val="1"/>
        </w:rPr>
        <w:t>’</w:t>
      </w:r>
      <w:r>
        <w:rPr>
          <w:rtl w:val="0"/>
          <w:lang w:val="en-US"/>
        </w:rPr>
        <w:t>s proven fraud or willful misconduct.</w:t>
      </w:r>
    </w:p>
    <w:p>
      <w:pPr>
        <w:pStyle w:val="Heading"/>
        <w:spacing w:after="100"/>
        <w:jc w:val="both"/>
      </w:pPr>
      <w:r>
        <w:rPr>
          <w:rtl w:val="0"/>
          <w:lang w:val="en-US"/>
        </w:rPr>
        <w:t>20. Performance and Scalability</w:t>
      </w:r>
    </w:p>
    <w:p>
      <w:pPr>
        <w:pStyle w:val="Body"/>
        <w:spacing w:after="100"/>
        <w:jc w:val="both"/>
      </w:pPr>
      <w:r>
        <w:rPr>
          <w:rtl w:val="0"/>
          <w:lang w:val="en-US"/>
        </w:rPr>
        <w:t>20.1 The application shall be designed with reasonable scalable architecture principles within the agreed budget and timeline.</w:t>
      </w:r>
    </w:p>
    <w:p>
      <w:pPr>
        <w:pStyle w:val="Body"/>
        <w:spacing w:after="100"/>
        <w:jc w:val="both"/>
      </w:pPr>
      <w:r>
        <w:rPr>
          <w:rtl w:val="0"/>
          <w:lang w:val="en-US"/>
        </w:rPr>
        <w:t>20.2 Any reference to supporting 10,000 Monthly Active Users means the architecture shall allow future scaling toward such usage with appropriate infrastructure upgrades, database scaling, monitoring, optimization, and third-party API limits. It is not a guaranteed performance benchmark on initial infrastructure.</w:t>
      </w:r>
    </w:p>
    <w:p>
      <w:pPr>
        <w:pStyle w:val="Body"/>
        <w:spacing w:after="100"/>
        <w:jc w:val="both"/>
      </w:pPr>
      <w:r>
        <w:rPr>
          <w:rtl w:val="0"/>
          <w:lang w:val="en-US"/>
        </w:rPr>
        <w:t>20.3 Actual uptime, response time, processing speed, AI latency, OCR latency, and user capacity depend on cloud resources, database tier, traffic patterns, API rate limits, third-party services, ongoing maintenance, and Client infrastructure budget.</w:t>
      </w:r>
    </w:p>
    <w:p>
      <w:pPr>
        <w:pStyle w:val="Body"/>
        <w:spacing w:after="100"/>
        <w:jc w:val="both"/>
      </w:pPr>
      <w:r>
        <w:rPr>
          <w:rtl w:val="0"/>
          <w:lang w:val="en-US"/>
        </w:rPr>
        <w:t>20.4 Load testing, stress testing, uptime guarantees, performance SLAs, and 24/7 monitoring are excluded unless separately agreed in writing.</w:t>
      </w:r>
    </w:p>
    <w:p>
      <w:pPr>
        <w:pStyle w:val="Heading"/>
        <w:spacing w:after="100"/>
        <w:jc w:val="both"/>
      </w:pPr>
      <w:r>
        <w:rPr>
          <w:rtl w:val="0"/>
          <w:lang w:val="en-US"/>
        </w:rPr>
        <w:t>21. Bug Warranty and Support</w:t>
      </w:r>
    </w:p>
    <w:p>
      <w:pPr>
        <w:pStyle w:val="Body"/>
        <w:spacing w:after="100"/>
        <w:jc w:val="both"/>
      </w:pPr>
      <w:r>
        <w:rPr>
          <w:rtl w:val="0"/>
          <w:lang w:val="en-US"/>
        </w:rPr>
        <w:t>21.1 The Developer shall provide a 60-day bug warranty after final handover for reproducible defects directly attributable to the Developer</w:t>
      </w:r>
      <w:r>
        <w:rPr>
          <w:rtl w:val="1"/>
        </w:rPr>
        <w:t>’</w:t>
      </w:r>
      <w:r>
        <w:rPr>
          <w:rtl w:val="0"/>
          <w:lang w:val="en-US"/>
        </w:rPr>
        <w:t>s work under the approved FRD/SOW.</w:t>
      </w:r>
    </w:p>
    <w:p>
      <w:pPr>
        <w:pStyle w:val="Body"/>
        <w:spacing w:after="100"/>
        <w:jc w:val="both"/>
      </w:pPr>
      <w:r>
        <w:rPr>
          <w:rtl w:val="0"/>
          <w:lang w:val="en-US"/>
        </w:rPr>
        <w:t>21.2 The bug warranty covers only valid bugs in delivered scope. It does not include new features, design changes, business logic changes, content updates, performance upgrades, third-party API changes, cloud outages, AI/OCR provider errors, payment gateway issues, app store policy changes, expired credentials, billing failures, server changes after handover, changes made by the Client or third parties, security incidents caused by credential misuse, or compliance/legal changes.</w:t>
      </w:r>
    </w:p>
    <w:p>
      <w:pPr>
        <w:pStyle w:val="Body"/>
        <w:spacing w:after="100"/>
        <w:jc w:val="both"/>
      </w:pPr>
      <w:r>
        <w:rPr>
          <w:rtl w:val="0"/>
          <w:lang w:val="en-US"/>
        </w:rPr>
        <w:t>21.3 The 30-day support period linked to the final 10% payment is limited to valid agreed issues within delivered scope and does not create an obligation to provide new features, unlimited support, operational monitoring, or long-term maintenance.</w:t>
      </w:r>
    </w:p>
    <w:p>
      <w:pPr>
        <w:pStyle w:val="Body"/>
        <w:spacing w:after="100"/>
        <w:jc w:val="both"/>
      </w:pPr>
      <w:r>
        <w:rPr>
          <w:rtl w:val="0"/>
          <w:lang w:val="en-US"/>
        </w:rPr>
        <w:t>21.4 After the 60-day bug warranty, the Developer has no obligation to maintain, monitor, manage, secure, update, scale, or operate the application unless a separate maintenance agreement is signed.</w:t>
      </w:r>
    </w:p>
    <w:p>
      <w:pPr>
        <w:pStyle w:val="Heading"/>
        <w:spacing w:after="100"/>
        <w:jc w:val="both"/>
      </w:pPr>
      <w:r>
        <w:rPr>
          <w:rtl w:val="0"/>
          <w:lang w:val="en-US"/>
        </w:rPr>
        <w:t>22. Post-Handover Responsibility</w:t>
      </w:r>
    </w:p>
    <w:p>
      <w:pPr>
        <w:pStyle w:val="Body"/>
        <w:spacing w:after="100"/>
        <w:jc w:val="both"/>
      </w:pPr>
      <w:r>
        <w:rPr>
          <w:rtl w:val="0"/>
          <w:lang w:val="en-US"/>
        </w:rPr>
        <w:t>22.1 After final handover, the Client shall be responsible for cloud billing, server monitoring, database backups, security updates, API usage, payment gateway operations, app store maintenance, user support, legal compliance, privacy compliance, medical disclaimers, customer data handling, ongoing costs, and business operations.</w:t>
      </w:r>
    </w:p>
    <w:p>
      <w:pPr>
        <w:pStyle w:val="Body"/>
        <w:spacing w:after="100"/>
        <w:jc w:val="both"/>
      </w:pPr>
      <w:r>
        <w:rPr>
          <w:rtl w:val="0"/>
          <w:lang w:val="en-US"/>
        </w:rPr>
        <w:t>22.2 The Developer shall not be responsible for future downtime, data loss, cyberattacks, third-party failures, API changes, cloud bills, app store actions, user complaints, business losses, regulatory issues, or operational problems after handover, except for valid warranty bugs reported within the warranty period and directly attributable to the Developer</w:t>
      </w:r>
      <w:r>
        <w:rPr>
          <w:rtl w:val="1"/>
        </w:rPr>
        <w:t>’</w:t>
      </w:r>
      <w:r>
        <w:rPr>
          <w:rtl w:val="0"/>
          <w:lang w:val="en-US"/>
        </w:rPr>
        <w:t>s original work.</w:t>
      </w:r>
    </w:p>
    <w:p>
      <w:pPr>
        <w:pStyle w:val="Heading"/>
        <w:spacing w:after="100"/>
        <w:jc w:val="both"/>
      </w:pPr>
      <w:r>
        <w:rPr>
          <w:rtl w:val="0"/>
          <w:lang w:val="en-US"/>
        </w:rPr>
        <w:t>23. Limitation of Liability</w:t>
      </w:r>
    </w:p>
    <w:p>
      <w:pPr>
        <w:pStyle w:val="Body"/>
        <w:spacing w:after="100"/>
        <w:jc w:val="both"/>
      </w:pPr>
      <w:r>
        <w:rPr>
          <w:rtl w:val="0"/>
          <w:lang w:val="en-US"/>
        </w:rPr>
        <w:t>23.1 The Developer</w:t>
      </w:r>
      <w:r>
        <w:rPr>
          <w:rtl w:val="1"/>
        </w:rPr>
        <w:t>’</w:t>
      </w:r>
      <w:r>
        <w:rPr>
          <w:rtl w:val="0"/>
          <w:lang w:val="en-US"/>
        </w:rPr>
        <w:t>s total liability under this Agreement shall be limited to the total amount actually paid by the Client to the Developer under this Agreement.</w:t>
      </w:r>
    </w:p>
    <w:p>
      <w:pPr>
        <w:pStyle w:val="Body"/>
        <w:spacing w:after="100"/>
        <w:jc w:val="both"/>
      </w:pPr>
      <w:r>
        <w:rPr>
          <w:rtl w:val="0"/>
          <w:lang w:val="en-US"/>
        </w:rPr>
        <w:t>23.2 The Developer shall not be liable for indirect, incidental, special, punitive, exemplary, or consequential damages, including loss of revenue, loss of profit, loss of customers, loss of business opportunity, data loss, reputational loss, third-party claims, cloud outage, API failure, payment gateway failure, business interruption, or regulatory consequences.</w:t>
      </w:r>
    </w:p>
    <w:p>
      <w:pPr>
        <w:pStyle w:val="Body"/>
        <w:spacing w:after="100"/>
        <w:jc w:val="both"/>
      </w:pPr>
      <w:r>
        <w:rPr>
          <w:rtl w:val="0"/>
          <w:lang w:val="en-US"/>
        </w:rPr>
        <w:t>23.3 Nothing in this clause shall limit liability for proven fraud, willful misconduct, or intentional breach of confidentiality.</w:t>
      </w:r>
    </w:p>
    <w:p>
      <w:pPr>
        <w:pStyle w:val="Heading"/>
        <w:spacing w:after="100"/>
        <w:jc w:val="both"/>
      </w:pPr>
      <w:r>
        <w:rPr>
          <w:rtl w:val="0"/>
          <w:lang w:val="it-IT"/>
        </w:rPr>
        <w:t>24. Termination</w:t>
      </w:r>
    </w:p>
    <w:p>
      <w:pPr>
        <w:pStyle w:val="Body"/>
        <w:spacing w:after="100"/>
        <w:jc w:val="both"/>
      </w:pPr>
      <w:r>
        <w:rPr>
          <w:rtl w:val="0"/>
          <w:lang w:val="en-US"/>
        </w:rPr>
        <w:t>24.1 Either party may terminate this Agreement with fifteen (15) days</w:t>
      </w:r>
      <w:r>
        <w:rPr>
          <w:rtl w:val="1"/>
        </w:rPr>
        <w:t xml:space="preserve">’ </w:t>
      </w:r>
      <w:r>
        <w:rPr>
          <w:rtl w:val="0"/>
          <w:lang w:val="en-US"/>
        </w:rPr>
        <w:t>written notice.</w:t>
      </w:r>
    </w:p>
    <w:p>
      <w:pPr>
        <w:pStyle w:val="Body"/>
        <w:spacing w:after="100"/>
        <w:jc w:val="both"/>
      </w:pPr>
      <w:r>
        <w:rPr>
          <w:rtl w:val="0"/>
          <w:lang w:val="en-US"/>
        </w:rPr>
        <w:t>24.2 Upon termination, the Client shall pay for all completed work and reasonable work-in-progress up to the termination date before receiving handover of such work.</w:t>
      </w:r>
    </w:p>
    <w:p>
      <w:pPr>
        <w:pStyle w:val="Body"/>
        <w:spacing w:after="100"/>
        <w:jc w:val="both"/>
      </w:pPr>
      <w:r>
        <w:rPr>
          <w:rtl w:val="0"/>
          <w:lang w:val="en-US"/>
        </w:rPr>
        <w:t>24.3 Approved milestone payments shall remain non-refundable even if the Agreement is later terminated.</w:t>
      </w:r>
    </w:p>
    <w:p>
      <w:pPr>
        <w:pStyle w:val="Body"/>
        <w:spacing w:after="100"/>
        <w:jc w:val="both"/>
      </w:pPr>
      <w:r>
        <w:rPr>
          <w:rtl w:val="0"/>
          <w:lang w:val="en-US"/>
        </w:rPr>
        <w:t>24.4 The Developer shall hand over only the work corresponding to payments received.</w:t>
      </w:r>
    </w:p>
    <w:p>
      <w:pPr>
        <w:pStyle w:val="Body"/>
        <w:spacing w:after="100"/>
        <w:jc w:val="both"/>
      </w:pPr>
      <w:r>
        <w:rPr>
          <w:rtl w:val="0"/>
          <w:lang w:val="en-US"/>
        </w:rPr>
        <w:t>24.5 If termination is caused by Client non-payment, failure to provide access, repeated scope changes, or prolonged lack of feedback, the Developer shall not be considered in breach for stopping further work after written notice.</w:t>
      </w:r>
    </w:p>
    <w:p>
      <w:pPr>
        <w:pStyle w:val="Heading"/>
        <w:spacing w:after="100"/>
        <w:jc w:val="both"/>
      </w:pPr>
      <w:r>
        <w:rPr>
          <w:rtl w:val="0"/>
          <w:lang w:val="en-US"/>
        </w:rPr>
        <w:t>25. Code Review</w:t>
      </w:r>
    </w:p>
    <w:p>
      <w:pPr>
        <w:pStyle w:val="Body"/>
        <w:spacing w:after="100"/>
        <w:jc w:val="both"/>
      </w:pPr>
      <w:r>
        <w:rPr>
          <w:rtl w:val="0"/>
          <w:lang w:val="en-US"/>
        </w:rPr>
        <w:t>25.1 The Client may conduct code reviews or appoint a third party to review the code, provided such third party is bound by confidentiality and does not interfere with active development.</w:t>
      </w:r>
    </w:p>
    <w:p>
      <w:pPr>
        <w:pStyle w:val="Body"/>
        <w:spacing w:after="100"/>
        <w:jc w:val="both"/>
      </w:pPr>
      <w:r>
        <w:rPr>
          <w:rtl w:val="0"/>
          <w:lang w:val="en-US"/>
        </w:rPr>
        <w:t>25.2 Code review feedback shall be limited to material issues related to the approved FRD/SOW, security, maintainability, or critical defects. Preference-based rewrites, architecture changes, technology changes, or out-of-scope improvements may be treated as change requests.</w:t>
      </w:r>
    </w:p>
    <w:p>
      <w:pPr>
        <w:pStyle w:val="Heading"/>
        <w:spacing w:after="100"/>
        <w:jc w:val="both"/>
      </w:pPr>
      <w:r>
        <w:rPr>
          <w:rtl w:val="0"/>
          <w:lang w:val="en-US"/>
        </w:rPr>
        <w:t>26. Credentials and Account Security</w:t>
      </w:r>
    </w:p>
    <w:p>
      <w:pPr>
        <w:pStyle w:val="Body"/>
        <w:spacing w:after="100"/>
        <w:jc w:val="both"/>
      </w:pPr>
      <w:r>
        <w:rPr>
          <w:rtl w:val="0"/>
          <w:lang w:val="en-US"/>
        </w:rPr>
        <w:t>26.1 Production accounts should be created and owned by the Client wherever possible.</w:t>
      </w:r>
    </w:p>
    <w:p>
      <w:pPr>
        <w:pStyle w:val="Body"/>
        <w:spacing w:after="100"/>
        <w:jc w:val="both"/>
      </w:pPr>
      <w:r>
        <w:rPr>
          <w:rtl w:val="0"/>
          <w:lang w:val="en-US"/>
        </w:rPr>
        <w:t>26.2 The Developer shall not intentionally remove Client access, change passwords without authorization, hard-code production secrets, or store credentials insecurely.</w:t>
      </w:r>
    </w:p>
    <w:p>
      <w:pPr>
        <w:pStyle w:val="Body"/>
        <w:spacing w:after="100"/>
        <w:jc w:val="both"/>
      </w:pPr>
      <w:r>
        <w:rPr>
          <w:rtl w:val="0"/>
          <w:lang w:val="en-US"/>
        </w:rPr>
        <w:t>26.3 The Client shall maintain secure ownership of production accounts and shall be responsible for billing, access control, renewals, and post-handover credential management.</w:t>
      </w:r>
    </w:p>
    <w:p>
      <w:pPr>
        <w:pStyle w:val="Heading"/>
        <w:spacing w:after="100"/>
        <w:jc w:val="both"/>
      </w:pPr>
      <w:r>
        <w:rPr>
          <w:rtl w:val="0"/>
          <w:lang w:val="en-US"/>
        </w:rPr>
        <w:t>27. Dispute Resolution</w:t>
      </w:r>
    </w:p>
    <w:p>
      <w:pPr>
        <w:pStyle w:val="Body"/>
        <w:spacing w:after="100"/>
        <w:jc w:val="both"/>
      </w:pPr>
      <w:r>
        <w:rPr>
          <w:rtl w:val="0"/>
          <w:lang w:val="en-US"/>
        </w:rPr>
        <w:t>27.1 The parties shall first attempt to resolve disputes through good-faith negotiation.</w:t>
      </w:r>
    </w:p>
    <w:p>
      <w:pPr>
        <w:pStyle w:val="Body"/>
        <w:spacing w:after="100"/>
        <w:jc w:val="both"/>
      </w:pPr>
      <w:r>
        <w:rPr>
          <w:rtl w:val="0"/>
          <w:lang w:val="en-US"/>
        </w:rPr>
        <w:t>27.2 If unresolved within thirty (30) days, disputes shall be referred to arbitration in Bengaluru, Karnataka, in accordance with applicable Indian arbitration law.</w:t>
      </w:r>
    </w:p>
    <w:p>
      <w:pPr>
        <w:pStyle w:val="Body"/>
        <w:spacing w:after="100"/>
        <w:jc w:val="both"/>
      </w:pPr>
      <w:r>
        <w:rPr>
          <w:rtl w:val="0"/>
          <w:lang w:val="en-US"/>
        </w:rPr>
        <w:t>27.3 Subject to the arbitration clause, courts at Bengaluru, Karnataka shall have jurisdiction where applicable.</w:t>
      </w:r>
    </w:p>
    <w:p>
      <w:pPr>
        <w:pStyle w:val="Heading"/>
        <w:spacing w:after="100"/>
        <w:jc w:val="both"/>
      </w:pPr>
      <w:r>
        <w:rPr>
          <w:rtl w:val="0"/>
          <w:lang w:val="en-US"/>
        </w:rPr>
        <w:t>28. Governing Law</w:t>
      </w:r>
    </w:p>
    <w:p>
      <w:pPr>
        <w:pStyle w:val="Body"/>
        <w:spacing w:after="100"/>
        <w:jc w:val="both"/>
      </w:pPr>
      <w:r>
        <w:rPr>
          <w:rtl w:val="0"/>
          <w:lang w:val="en-US"/>
        </w:rPr>
        <w:t>28.1 This Agreement shall be governed by the laws of India.</w:t>
      </w:r>
    </w:p>
    <w:p>
      <w:pPr>
        <w:pStyle w:val="Heading"/>
        <w:spacing w:after="100"/>
        <w:jc w:val="both"/>
      </w:pPr>
      <w:r>
        <w:rPr>
          <w:rtl w:val="0"/>
          <w:lang w:val="en-US"/>
        </w:rPr>
        <w:t>29. Entire Agreement and Attachments</w:t>
      </w:r>
    </w:p>
    <w:p>
      <w:pPr>
        <w:pStyle w:val="Body"/>
        <w:spacing w:after="100"/>
        <w:jc w:val="both"/>
      </w:pPr>
      <w:r>
        <w:rPr>
          <w:rtl w:val="0"/>
          <w:lang w:val="en-US"/>
        </w:rPr>
        <w:t>29.1 This Agreement, together with the approved FRD/SOW, approved milestone plan, and approved change requests, represents the complete understanding between the parties regarding the project.</w:t>
      </w:r>
    </w:p>
    <w:p>
      <w:pPr>
        <w:pStyle w:val="Body"/>
        <w:spacing w:after="100"/>
        <w:jc w:val="both"/>
      </w:pPr>
      <w:r>
        <w:rPr>
          <w:rtl w:val="0"/>
          <w:lang w:val="en-US"/>
        </w:rPr>
        <w:t>29.2 Prior discussions, PPTs, verbal statements, informal messages, and brainstorming ideas shall not form part of the binding scope unless included in the approved FRD/SOW or written change request.</w:t>
      </w:r>
    </w:p>
    <w:p>
      <w:pPr>
        <w:pStyle w:val="Body"/>
        <w:spacing w:after="100"/>
        <w:jc w:val="both"/>
      </w:pPr>
      <w:r>
        <w:rPr>
          <w:rtl w:val="0"/>
          <w:lang w:val="en-US"/>
        </w:rPr>
        <w:t>29.3 This Agreement may be modified only by written approval of both parties.</w:t>
      </w:r>
    </w:p>
    <w:p>
      <w:pPr>
        <w:pStyle w:val="Heading"/>
        <w:spacing w:after="100"/>
        <w:jc w:val="both"/>
      </w:pPr>
      <w:r>
        <w:rPr>
          <w:rtl w:val="0"/>
          <w:lang w:val="en-US"/>
        </w:rPr>
        <w:t>30. Signatures</w:t>
      </w:r>
    </w:p>
    <w:p>
      <w:pPr>
        <w:pStyle w:val="Body"/>
        <w:spacing w:after="100"/>
        <w:jc w:val="both"/>
      </w:pPr>
      <w:r>
        <w:rPr>
          <w:rtl w:val="0"/>
          <w:lang w:val="en-US"/>
        </w:rPr>
        <w:t>By signing below, both parties confirm that they have read, understood, and agreed to the terms of this Agreement.</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83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Client</w:t>
            </w:r>
            <w:r>
              <w:rPr>
                <w:sz w:val="18"/>
                <w:szCs w:val="18"/>
                <w:shd w:val="nil" w:color="auto" w:fill="auto"/>
                <w:lang w:val="en-US"/>
              </w:rPr>
              <w:br w:type="textWrapping"/>
            </w:r>
            <w:r>
              <w:rPr>
                <w:sz w:val="18"/>
                <w:szCs w:val="18"/>
                <w:shd w:val="nil" w:color="auto" w:fill="auto"/>
                <w:rtl w:val="0"/>
                <w:lang w:val="en-US"/>
              </w:rPr>
              <w:t>Name: Mr. Sriram Kumar Devireddy</w:t>
            </w:r>
            <w:r>
              <w:rPr>
                <w:sz w:val="18"/>
                <w:szCs w:val="18"/>
                <w:shd w:val="nil" w:color="auto" w:fill="auto"/>
                <w:lang w:val="en-US"/>
              </w:rPr>
              <w:br w:type="textWrapping"/>
            </w:r>
            <w:r>
              <w:rPr>
                <w:sz w:val="18"/>
                <w:szCs w:val="18"/>
                <w:shd w:val="nil" w:color="auto" w:fill="auto"/>
                <w:rtl w:val="0"/>
                <w:lang w:val="en-US"/>
              </w:rPr>
              <w:t>Signature: ______________________________</w:t>
            </w:r>
            <w:r>
              <w:rPr>
                <w:sz w:val="18"/>
                <w:szCs w:val="18"/>
                <w:shd w:val="nil" w:color="auto" w:fill="auto"/>
                <w:lang w:val="en-US"/>
              </w:rPr>
              <w:br w:type="textWrapping"/>
            </w:r>
            <w:r>
              <w:rPr>
                <w:sz w:val="18"/>
                <w:szCs w:val="18"/>
                <w:shd w:val="nil" w:color="auto" w:fill="auto"/>
                <w:rtl w:val="0"/>
                <w:lang w:val="en-US"/>
              </w:rPr>
              <w:t>Date: ______________________________</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8"/>
                <w:szCs w:val="18"/>
                <w:shd w:val="nil" w:color="auto" w:fill="auto"/>
                <w:rtl w:val="0"/>
                <w:lang w:val="en-US"/>
              </w:rPr>
              <w:t>Developer</w:t>
            </w:r>
            <w:r>
              <w:rPr>
                <w:sz w:val="18"/>
                <w:szCs w:val="18"/>
                <w:shd w:val="nil" w:color="auto" w:fill="auto"/>
                <w:lang w:val="en-US"/>
              </w:rPr>
              <w:br w:type="textWrapping"/>
            </w:r>
            <w:r>
              <w:rPr>
                <w:sz w:val="18"/>
                <w:szCs w:val="18"/>
                <w:shd w:val="nil" w:color="auto" w:fill="auto"/>
                <w:rtl w:val="0"/>
                <w:lang w:val="en-US"/>
              </w:rPr>
              <w:t>Name: Mr. Pranav Namah Satish</w:t>
            </w:r>
            <w:r>
              <w:rPr>
                <w:sz w:val="18"/>
                <w:szCs w:val="18"/>
                <w:shd w:val="nil" w:color="auto" w:fill="auto"/>
                <w:lang w:val="en-US"/>
              </w:rPr>
              <w:br w:type="textWrapping"/>
            </w:r>
            <w:r>
              <w:rPr>
                <w:sz w:val="18"/>
                <w:szCs w:val="18"/>
                <w:shd w:val="nil" w:color="auto" w:fill="auto"/>
                <w:rtl w:val="0"/>
                <w:lang w:val="en-US"/>
              </w:rPr>
              <w:t>Signature: ______________________________</w:t>
            </w:r>
            <w:r>
              <w:rPr>
                <w:sz w:val="18"/>
                <w:szCs w:val="18"/>
                <w:shd w:val="nil" w:color="auto" w:fill="auto"/>
                <w:lang w:val="en-US"/>
              </w:rPr>
              <w:br w:type="textWrapping"/>
            </w:r>
            <w:r>
              <w:rPr>
                <w:sz w:val="18"/>
                <w:szCs w:val="18"/>
                <w:shd w:val="nil" w:color="auto" w:fill="auto"/>
                <w:rtl w:val="0"/>
                <w:lang w:val="en-US"/>
              </w:rPr>
              <w:t>Date: ______________________________</w:t>
            </w:r>
          </w:p>
        </w:tc>
      </w:tr>
    </w:tbl>
    <w:p>
      <w:pPr>
        <w:pStyle w:val="Body"/>
        <w:widowControl w:val="0"/>
        <w:spacing w:after="100" w:line="240" w:lineRule="auto"/>
        <w:jc w:val="both"/>
      </w:pPr>
      <w:r/>
    </w:p>
    <w:sectPr>
      <w:headerReference w:type="default" r:id="rId4"/>
      <w:footerReference w:type="default" r:id="rId5"/>
      <w:pgSz w:w="12240" w:h="15840" w:orient="portrait"/>
      <w:pgMar w:top="1008" w:right="1080" w:bottom="1008"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rPr>
        <w:sz w:val="16"/>
        <w:szCs w:val="16"/>
      </w:rPr>
    </w:pPr>
    <w:r>
      <w:rPr>
        <w:sz w:val="16"/>
        <w:szCs w:val="16"/>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52"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Draft Note">
    <w:name w:val="Draft Note"/>
    <w:next w:val="Draft Note"/>
    <w:pPr>
      <w:keepNext w:val="0"/>
      <w:keepLines w:val="0"/>
      <w:pageBreakBefore w:val="0"/>
      <w:widowControl w:val="1"/>
      <w:shd w:val="clear" w:color="auto" w:fill="auto"/>
      <w:suppressAutoHyphens w:val="0"/>
      <w:bidi w:val="0"/>
      <w:spacing w:before="0" w:after="120" w:line="252" w:lineRule="auto"/>
      <w:ind w:left="0" w:right="0" w:firstLine="0"/>
      <w:jc w:val="left"/>
      <w:outlineLvl w:val="9"/>
    </w:pPr>
    <w:rPr>
      <w:rFonts w:ascii="Arial" w:cs="Arial" w:hAnsi="Arial" w:eastAsia="Arial"/>
      <w:b w:val="0"/>
      <w:bCs w:val="0"/>
      <w:i w:val="1"/>
      <w:iCs w:val="1"/>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52"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365f91"/>
      <w:spacing w:val="0"/>
      <w:kern w:val="0"/>
      <w:position w:val="0"/>
      <w:sz w:val="26"/>
      <w:szCs w:val="26"/>
      <w:u w:val="none" w:color="365f91"/>
      <w:shd w:val="nil" w:color="auto" w:fill="auto"/>
      <w:vertAlign w:val="baseline"/>
      <w:lang w:val="en-US"/>
      <w14:textOutline>
        <w14:noFill/>
      </w14:textOutline>
      <w14:textFill>
        <w14:solidFill>
          <w14:srgbClr w14:val="365F91"/>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52"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20" w:line="252"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