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A9900" w14:textId="77777777" w:rsidR="009C35C6" w:rsidRPr="009C35C6" w:rsidRDefault="009C35C6" w:rsidP="009C35C6">
      <w:pPr>
        <w:rPr>
          <w:b/>
          <w:bCs/>
        </w:rPr>
      </w:pPr>
      <w:r w:rsidRPr="009C35C6">
        <w:rPr>
          <w:b/>
          <w:bCs/>
        </w:rPr>
        <w:t>Faculty-Industry Clinical Research Exchange</w:t>
      </w:r>
    </w:p>
    <w:p w14:paraId="49BC6BC4" w14:textId="77777777" w:rsidR="009C35C6" w:rsidRPr="009C35C6" w:rsidRDefault="009C35C6" w:rsidP="009C35C6">
      <w:r w:rsidRPr="009C35C6">
        <w:t xml:space="preserve">The proposed program may support development of a </w:t>
      </w:r>
      <w:r w:rsidRPr="009C35C6">
        <w:rPr>
          <w:b/>
          <w:bCs/>
        </w:rPr>
        <w:t>Faculty-Industry Clinical Research Exchange</w:t>
      </w:r>
      <w:r w:rsidRPr="009C35C6">
        <w:t xml:space="preserve"> designed to keep instruction closely aligned with contemporary biostatistical practice in clinical research settings. Through this model, participating faculty would spend a defined portion of their professional workload, summer activity, or reassigned time embedded with industry, clinical research, CRO, health-system, or related partners. The purpose would be to allow faculty to observe or participate in appropriate aspects of real clinical research work, including study-team processes, applied statistical workflows, data standards, regulatory documentation practices, and interdisciplinary collaboration.</w:t>
      </w:r>
    </w:p>
    <w:p w14:paraId="5C7F2514" w14:textId="6DC85FD9" w:rsidR="009C35C6" w:rsidRPr="009C35C6" w:rsidRDefault="009C35C6" w:rsidP="009C35C6">
      <w:r w:rsidRPr="009C35C6">
        <w:t xml:space="preserve">The exchange would not be designed as external consulting alone. Its primary academic purpose would be to strengthen teaching, curriculum development, student mentoring, applied projects, and employer engagement. Faculty participants would return with </w:t>
      </w:r>
      <w:r>
        <w:t xml:space="preserve">a sound </w:t>
      </w:r>
      <w:proofErr w:type="gramStart"/>
      <w:r>
        <w:t>basis</w:t>
      </w:r>
      <w:proofErr w:type="gramEnd"/>
      <w:r>
        <w:t xml:space="preserve"> for</w:t>
      </w:r>
      <w:r w:rsidRPr="009C35C6">
        <w:t xml:space="preserve"> </w:t>
      </w:r>
      <w:proofErr w:type="gramStart"/>
      <w:r w:rsidRPr="009C35C6">
        <w:t>examples</w:t>
      </w:r>
      <w:proofErr w:type="gramEnd"/>
      <w:r>
        <w:t xml:space="preserve"> and</w:t>
      </w:r>
      <w:r w:rsidRPr="009C35C6">
        <w:t xml:space="preserve"> case studies, workflow insights, project ideas, and a stronger understanding of the professional expectations facing graduates. These experiences </w:t>
      </w:r>
      <w:r>
        <w:t>w</w:t>
      </w:r>
      <w:r w:rsidRPr="009C35C6">
        <w:t>ould support ongoing refinement of course examples, capstone projects, statistical programming assignments, data standards instruction, and advisory-board engagement.</w:t>
      </w:r>
    </w:p>
    <w:p w14:paraId="14BE592B" w14:textId="1CC441AD" w:rsidR="009C35C6" w:rsidRPr="009C35C6" w:rsidRDefault="009C35C6" w:rsidP="009C35C6">
      <w:r w:rsidRPr="009C35C6">
        <w:t>Participation would be governed by appropriate agreements addressing confidentiality, data access, institutional responsibilities, conflicts of interest, intellectual property, privacy and human-</w:t>
      </w:r>
      <w:proofErr w:type="gramStart"/>
      <w:r w:rsidRPr="009C35C6">
        <w:t>subjects</w:t>
      </w:r>
      <w:proofErr w:type="gramEnd"/>
      <w:r w:rsidRPr="009C35C6">
        <w:t xml:space="preserve"> considerations, and any sponsor-specific requirements. </w:t>
      </w:r>
      <w:r>
        <w:t>E</w:t>
      </w:r>
      <w:r w:rsidRPr="009C35C6">
        <w:t xml:space="preserve">ach placement </w:t>
      </w:r>
      <w:r>
        <w:t>w</w:t>
      </w:r>
      <w:r w:rsidRPr="009C35C6">
        <w:t>ould include a brief scope of work, expected learning outcomes, and a post-placement report or presentation identifying how the experience will inform teaching, curriculum, student projects, or future collaboration.</w:t>
      </w:r>
    </w:p>
    <w:p w14:paraId="656F857C" w14:textId="77777777" w:rsidR="009C35C6" w:rsidRPr="009C35C6" w:rsidRDefault="009C35C6" w:rsidP="009C35C6">
      <w:pPr>
        <w:rPr>
          <w:b/>
          <w:bCs/>
        </w:rPr>
      </w:pPr>
      <w:r w:rsidRPr="009C35C6">
        <w:rPr>
          <w:b/>
          <w:bCs/>
        </w:rPr>
        <w:t>Motivation and value</w:t>
      </w:r>
    </w:p>
    <w:p w14:paraId="0260CF1A" w14:textId="77777777" w:rsidR="009C35C6" w:rsidRPr="009C35C6" w:rsidRDefault="009C35C6" w:rsidP="009C35C6">
      <w:r w:rsidRPr="009C35C6">
        <w:t>A faculty-industry exchange would help ensure that the proposed MS in Biostatistics remains connected to current clinical research practice rather than becoming a static sequence of statistical methods courses. Industry partners have indicated that the clinical research environment is changing, including the increasing role of AI-assisted workflows, standards-driven documentation, and collaborative trial-team processes. Faculty immersion in those environments would provide a structured way to bring those realities back into the curriculum while preserving the program’s academic foundation.</w:t>
      </w:r>
    </w:p>
    <w:p w14:paraId="56F5BEE2" w14:textId="77777777" w:rsidR="009C35C6" w:rsidRDefault="009C35C6" w:rsidP="009C35C6">
      <w:r w:rsidRPr="009C35C6">
        <w:t xml:space="preserve">The model would have value for multiple stakeholders. Students would benefit from instruction grounded in current professional practice, realistic case studies, and capstone projects informed by actual clinical research workflows. Faculty would benefit from refreshed professional knowledge, stronger industry relationships, and opportunities to </w:t>
      </w:r>
      <w:r w:rsidRPr="009C35C6">
        <w:lastRenderedPageBreak/>
        <w:t>identify applied research or partnership possibilities. Industry partners would benefit from stronger connections to the program, a more aligned talent pipeline, and opportunities to shape educational preparation without assuming responsibility for delivering the degree.</w:t>
      </w:r>
    </w:p>
    <w:p w14:paraId="2CD8AC1E" w14:textId="77777777" w:rsidR="009C35C6" w:rsidRDefault="009C35C6" w:rsidP="009C35C6"/>
    <w:p w14:paraId="04FD2433" w14:textId="23FDBB02" w:rsidR="009C35C6" w:rsidRDefault="009C35C6" w:rsidP="009C35C6">
      <w:pPr>
        <w:rPr>
          <w:b/>
          <w:bCs/>
        </w:rPr>
      </w:pPr>
      <w:r>
        <w:rPr>
          <w:b/>
          <w:bCs/>
        </w:rPr>
        <w:t>Possible Insert for Planning Authorization Document:</w:t>
      </w:r>
    </w:p>
    <w:p w14:paraId="79EBAED7" w14:textId="198E5898" w:rsidR="009C35C6" w:rsidRPr="009C35C6" w:rsidRDefault="009C35C6" w:rsidP="009C35C6">
      <w:r w:rsidRPr="009C35C6">
        <w:t xml:space="preserve">As the program develops, UNCW may also explore faculty-industry clinical research exchanges with </w:t>
      </w:r>
      <w:r>
        <w:t>industry</w:t>
      </w:r>
      <w:r w:rsidRPr="009C35C6">
        <w:t xml:space="preserve"> partners. Such exchanges would allow faculty to spend defined periods embedded in clinical research</w:t>
      </w:r>
      <w:r>
        <w:t xml:space="preserve"> </w:t>
      </w:r>
      <w:r w:rsidRPr="009C35C6">
        <w:t xml:space="preserve">settings, with the goal of bringing current industry practices back into </w:t>
      </w:r>
      <w:r>
        <w:t>program development</w:t>
      </w:r>
      <w:r w:rsidRPr="009C35C6">
        <w:t>.</w:t>
      </w:r>
    </w:p>
    <w:p w14:paraId="0EEC4047" w14:textId="77777777" w:rsidR="00024AAD" w:rsidRDefault="00024AAD"/>
    <w:sectPr w:rsidR="00024A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5C6"/>
    <w:rsid w:val="0001048D"/>
    <w:rsid w:val="00024AAD"/>
    <w:rsid w:val="001E31D7"/>
    <w:rsid w:val="002E70C1"/>
    <w:rsid w:val="003830A2"/>
    <w:rsid w:val="00674CF9"/>
    <w:rsid w:val="007B2D0C"/>
    <w:rsid w:val="009C184E"/>
    <w:rsid w:val="009C3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FD24F"/>
  <w15:chartTrackingRefBased/>
  <w15:docId w15:val="{8745428C-A680-4BFD-BF52-6EC8CD009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35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35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35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35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35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35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35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35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35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5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35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35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35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35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35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5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5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5C6"/>
    <w:rPr>
      <w:rFonts w:eastAsiaTheme="majorEastAsia" w:cstheme="majorBidi"/>
      <w:color w:val="272727" w:themeColor="text1" w:themeTint="D8"/>
    </w:rPr>
  </w:style>
  <w:style w:type="paragraph" w:styleId="Title">
    <w:name w:val="Title"/>
    <w:basedOn w:val="Normal"/>
    <w:next w:val="Normal"/>
    <w:link w:val="TitleChar"/>
    <w:uiPriority w:val="10"/>
    <w:qFormat/>
    <w:rsid w:val="009C35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5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5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5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5C6"/>
    <w:pPr>
      <w:spacing w:before="160"/>
      <w:jc w:val="center"/>
    </w:pPr>
    <w:rPr>
      <w:i/>
      <w:iCs/>
      <w:color w:val="404040" w:themeColor="text1" w:themeTint="BF"/>
    </w:rPr>
  </w:style>
  <w:style w:type="character" w:customStyle="1" w:styleId="QuoteChar">
    <w:name w:val="Quote Char"/>
    <w:basedOn w:val="DefaultParagraphFont"/>
    <w:link w:val="Quote"/>
    <w:uiPriority w:val="29"/>
    <w:rsid w:val="009C35C6"/>
    <w:rPr>
      <w:i/>
      <w:iCs/>
      <w:color w:val="404040" w:themeColor="text1" w:themeTint="BF"/>
    </w:rPr>
  </w:style>
  <w:style w:type="paragraph" w:styleId="ListParagraph">
    <w:name w:val="List Paragraph"/>
    <w:basedOn w:val="Normal"/>
    <w:uiPriority w:val="34"/>
    <w:qFormat/>
    <w:rsid w:val="009C35C6"/>
    <w:pPr>
      <w:ind w:left="720"/>
      <w:contextualSpacing/>
    </w:pPr>
  </w:style>
  <w:style w:type="character" w:styleId="IntenseEmphasis">
    <w:name w:val="Intense Emphasis"/>
    <w:basedOn w:val="DefaultParagraphFont"/>
    <w:uiPriority w:val="21"/>
    <w:qFormat/>
    <w:rsid w:val="009C35C6"/>
    <w:rPr>
      <w:i/>
      <w:iCs/>
      <w:color w:val="0F4761" w:themeColor="accent1" w:themeShade="BF"/>
    </w:rPr>
  </w:style>
  <w:style w:type="paragraph" w:styleId="IntenseQuote">
    <w:name w:val="Intense Quote"/>
    <w:basedOn w:val="Normal"/>
    <w:next w:val="Normal"/>
    <w:link w:val="IntenseQuoteChar"/>
    <w:uiPriority w:val="30"/>
    <w:qFormat/>
    <w:rsid w:val="009C35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35C6"/>
    <w:rPr>
      <w:i/>
      <w:iCs/>
      <w:color w:val="0F4761" w:themeColor="accent1" w:themeShade="BF"/>
    </w:rPr>
  </w:style>
  <w:style w:type="character" w:styleId="IntenseReference">
    <w:name w:val="Intense Reference"/>
    <w:basedOn w:val="DefaultParagraphFont"/>
    <w:uiPriority w:val="32"/>
    <w:qFormat/>
    <w:rsid w:val="009C35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511</Words>
  <Characters>2919</Characters>
  <Application>Microsoft Office Word</Application>
  <DocSecurity>0</DocSecurity>
  <Lines>24</Lines>
  <Paragraphs>6</Paragraphs>
  <ScaleCrop>false</ScaleCrop>
  <Company>UNC Wilmington</Company>
  <LinksUpToDate>false</LinksUpToDate>
  <CharactersWithSpaces>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Blum, James E.</dc:creator>
  <cp:keywords/>
  <dc:description/>
  <cp:lastModifiedBy>Blum, James E.</cp:lastModifiedBy>
  <cp:revision>1</cp:revision>
  <dcterms:created xsi:type="dcterms:W3CDTF">2026-08-09T18:08:00Z</dcterms:created>
  <dcterms:modified xsi:type="dcterms:W3CDTF">2026-08-09T18:16:00Z</dcterms:modified>
</cp:coreProperties>
</file>