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19318" w14:textId="77777777" w:rsidR="0001617E" w:rsidRDefault="0001617E"/>
    <w:p w14:paraId="5284C793" w14:textId="77777777" w:rsidR="0001617E" w:rsidRPr="00DC7A71" w:rsidRDefault="00B35299">
      <w:pPr>
        <w:pStyle w:val="Title"/>
        <w:jc w:val="center"/>
        <w:rPr>
          <w:rFonts w:ascii="Times New Roman" w:hAnsi="Times New Roman" w:cs="Times New Roman"/>
        </w:rPr>
      </w:pPr>
      <w:r w:rsidRPr="00DC7A71">
        <w:rPr>
          <w:rFonts w:ascii="Times New Roman" w:hAnsi="Times New Roman" w:cs="Times New Roman"/>
        </w:rPr>
        <w:t>E Commerce Order Experience Analysis</w:t>
      </w:r>
    </w:p>
    <w:p w14:paraId="4AE933A9" w14:textId="77777777" w:rsidR="0001617E" w:rsidRPr="00DC7A71" w:rsidRDefault="00B35299">
      <w:pPr>
        <w:spacing w:after="640"/>
        <w:jc w:val="center"/>
        <w:rPr>
          <w:rFonts w:cs="Times New Roman"/>
          <w:b/>
          <w:bCs/>
        </w:rPr>
      </w:pPr>
      <w:r w:rsidRPr="00DC7A71">
        <w:rPr>
          <w:rFonts w:cs="Times New Roman"/>
          <w:b/>
          <w:bCs/>
          <w:sz w:val="26"/>
        </w:rPr>
        <w:t>Final Technical Report</w:t>
      </w:r>
    </w:p>
    <w:p w14:paraId="6F6FAB64" w14:textId="1F8B590E" w:rsidR="0001617E" w:rsidRPr="00DC7A71" w:rsidRDefault="00DC7A71">
      <w:pPr>
        <w:jc w:val="center"/>
        <w:rPr>
          <w:rFonts w:cs="Times New Roman"/>
          <w:b/>
          <w:bCs/>
        </w:rPr>
      </w:pPr>
      <w:r w:rsidRPr="00DC7A71">
        <w:rPr>
          <w:rFonts w:cs="Times New Roman"/>
          <w:b/>
          <w:bCs/>
        </w:rPr>
        <w:t xml:space="preserve">Data Visualization Design </w:t>
      </w:r>
      <w:r w:rsidR="00B35299" w:rsidRPr="00DC7A71">
        <w:rPr>
          <w:rFonts w:cs="Times New Roman"/>
          <w:b/>
          <w:bCs/>
        </w:rPr>
        <w:t>Project</w:t>
      </w:r>
    </w:p>
    <w:p w14:paraId="2A0F02BB" w14:textId="7471DE9A" w:rsidR="0001617E" w:rsidRPr="00DC7A71" w:rsidRDefault="00B35299">
      <w:pPr>
        <w:jc w:val="center"/>
        <w:rPr>
          <w:rFonts w:cs="Times New Roman"/>
          <w:b/>
          <w:bCs/>
        </w:rPr>
      </w:pPr>
      <w:r w:rsidRPr="00DC7A71">
        <w:rPr>
          <w:rFonts w:cs="Times New Roman"/>
          <w:b/>
          <w:bCs/>
        </w:rPr>
        <w:t>Marketplace Customer Satisfaction and Fulfilment Performance</w:t>
      </w:r>
    </w:p>
    <w:p w14:paraId="1CE88CE3" w14:textId="0372BCAC" w:rsidR="0001617E" w:rsidRPr="00DC7A71" w:rsidRDefault="0001617E">
      <w:pPr>
        <w:jc w:val="center"/>
        <w:rPr>
          <w:rFonts w:cs="Times New Roman"/>
          <w:b/>
          <w:bCs/>
        </w:rPr>
      </w:pPr>
    </w:p>
    <w:p w14:paraId="6DC70997" w14:textId="60407050" w:rsidR="0001617E" w:rsidRPr="00DC7A71" w:rsidRDefault="00DC7A71" w:rsidP="00DC7A71">
      <w:pPr>
        <w:jc w:val="center"/>
        <w:rPr>
          <w:rFonts w:cs="Times New Roman"/>
          <w:b/>
          <w:bCs/>
        </w:rPr>
      </w:pPr>
      <w:r w:rsidRPr="00DC7A71">
        <w:rPr>
          <w:rFonts w:cs="Times New Roman"/>
          <w:b/>
          <w:bCs/>
        </w:rPr>
        <w:t>9</w:t>
      </w:r>
      <w:r w:rsidRPr="00DC7A71">
        <w:rPr>
          <w:rFonts w:cs="Times New Roman"/>
          <w:b/>
          <w:bCs/>
          <w:vertAlign w:val="superscript"/>
        </w:rPr>
        <w:t>th</w:t>
      </w:r>
      <w:r w:rsidRPr="00DC7A71">
        <w:rPr>
          <w:rFonts w:cs="Times New Roman"/>
          <w:b/>
          <w:bCs/>
        </w:rPr>
        <w:t xml:space="preserve"> </w:t>
      </w:r>
      <w:r w:rsidR="00B35299" w:rsidRPr="00DC7A71">
        <w:rPr>
          <w:rFonts w:cs="Times New Roman"/>
          <w:b/>
          <w:bCs/>
        </w:rPr>
        <w:t>September 2026</w:t>
      </w:r>
    </w:p>
    <w:p w14:paraId="5A1F3E40" w14:textId="3B627B0E" w:rsidR="00DC7A71" w:rsidRDefault="00DC7A71" w:rsidP="00DC7A71">
      <w:pPr>
        <w:jc w:val="center"/>
        <w:rPr>
          <w:b/>
          <w:bCs/>
        </w:rPr>
      </w:pPr>
      <w:r w:rsidRPr="00DC7A71">
        <w:rPr>
          <w:rFonts w:cs="Times New Roman"/>
          <w:b/>
          <w:bCs/>
          <w:noProof/>
          <w:color w:val="0D0D0D" w:themeColor="text1" w:themeTint="F2"/>
          <w:szCs w:val="24"/>
          <w:lang w:val="en-GB" w:eastAsia="en-GB" w:bidi="as-IN"/>
        </w:rPr>
        <w:drawing>
          <wp:anchor distT="0" distB="0" distL="114300" distR="114300" simplePos="0" relativeHeight="251660800" behindDoc="0" locked="0" layoutInCell="1" allowOverlap="1" wp14:anchorId="23AD1CC3" wp14:editId="0971A6B7">
            <wp:simplePos x="0" y="0"/>
            <wp:positionH relativeFrom="column">
              <wp:posOffset>776246</wp:posOffset>
            </wp:positionH>
            <wp:positionV relativeFrom="paragraph">
              <wp:posOffset>96065</wp:posOffset>
            </wp:positionV>
            <wp:extent cx="4312920" cy="2943860"/>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12920" cy="2943860"/>
                    </a:xfrm>
                    <a:prstGeom prst="rect">
                      <a:avLst/>
                    </a:prstGeom>
                  </pic:spPr>
                </pic:pic>
              </a:graphicData>
            </a:graphic>
            <wp14:sizeRelH relativeFrom="margin">
              <wp14:pctWidth>0</wp14:pctWidth>
            </wp14:sizeRelH>
            <wp14:sizeRelV relativeFrom="margin">
              <wp14:pctHeight>0</wp14:pctHeight>
            </wp14:sizeRelV>
          </wp:anchor>
        </w:drawing>
      </w:r>
    </w:p>
    <w:p w14:paraId="5C17415B" w14:textId="173A644F" w:rsidR="00DC7A71" w:rsidRDefault="00DC7A71" w:rsidP="00DC7A71">
      <w:pPr>
        <w:jc w:val="center"/>
        <w:rPr>
          <w:b/>
          <w:bCs/>
        </w:rPr>
      </w:pPr>
    </w:p>
    <w:p w14:paraId="5A026366" w14:textId="4513E337" w:rsidR="00DC7A71" w:rsidRDefault="00DC7A71" w:rsidP="00DC7A71">
      <w:pPr>
        <w:jc w:val="center"/>
        <w:rPr>
          <w:b/>
          <w:bCs/>
        </w:rPr>
      </w:pPr>
    </w:p>
    <w:p w14:paraId="6F0DFBFB" w14:textId="37314117" w:rsidR="00DC7A71" w:rsidRDefault="00DC7A71" w:rsidP="00DC7A71">
      <w:pPr>
        <w:jc w:val="center"/>
        <w:rPr>
          <w:b/>
          <w:bCs/>
        </w:rPr>
      </w:pPr>
    </w:p>
    <w:p w14:paraId="497A5F43" w14:textId="5E91D945" w:rsidR="00DC7A71" w:rsidRDefault="00DC7A71" w:rsidP="00DC7A71">
      <w:pPr>
        <w:jc w:val="center"/>
        <w:rPr>
          <w:b/>
          <w:bCs/>
        </w:rPr>
      </w:pPr>
    </w:p>
    <w:p w14:paraId="16521D2F" w14:textId="67364719" w:rsidR="00DC7A71" w:rsidRDefault="00DC7A71" w:rsidP="00DC7A71">
      <w:pPr>
        <w:jc w:val="center"/>
        <w:rPr>
          <w:b/>
          <w:bCs/>
        </w:rPr>
      </w:pPr>
    </w:p>
    <w:p w14:paraId="28527EAC" w14:textId="7869EBA5" w:rsidR="00DC7A71" w:rsidRDefault="00DC7A71" w:rsidP="00DC7A71">
      <w:pPr>
        <w:jc w:val="center"/>
        <w:rPr>
          <w:b/>
          <w:bCs/>
        </w:rPr>
      </w:pPr>
    </w:p>
    <w:p w14:paraId="438FE823" w14:textId="02C967C0" w:rsidR="00DC7A71" w:rsidRDefault="00DC7A71" w:rsidP="00DC7A71">
      <w:pPr>
        <w:jc w:val="center"/>
        <w:rPr>
          <w:b/>
          <w:bCs/>
        </w:rPr>
      </w:pPr>
    </w:p>
    <w:p w14:paraId="039DECD9" w14:textId="5C93E7DF" w:rsidR="00DC7A71" w:rsidRDefault="00DC7A71" w:rsidP="00DC7A71">
      <w:pPr>
        <w:jc w:val="center"/>
        <w:rPr>
          <w:b/>
          <w:bCs/>
        </w:rPr>
      </w:pPr>
    </w:p>
    <w:p w14:paraId="313338D6" w14:textId="15182457" w:rsidR="00DC7A71" w:rsidRDefault="00DC7A71" w:rsidP="00DC7A71">
      <w:pPr>
        <w:jc w:val="center"/>
        <w:rPr>
          <w:b/>
          <w:bCs/>
        </w:rPr>
      </w:pPr>
    </w:p>
    <w:p w14:paraId="5A36D2BA" w14:textId="12F4DB7E" w:rsidR="00DC7A71" w:rsidRDefault="00DC7A71" w:rsidP="00DC7A71">
      <w:pPr>
        <w:jc w:val="center"/>
        <w:rPr>
          <w:b/>
          <w:bCs/>
        </w:rPr>
      </w:pPr>
    </w:p>
    <w:p w14:paraId="401B5C6A" w14:textId="73EEF847" w:rsidR="00DC7A71" w:rsidRDefault="00DC7A71" w:rsidP="00DC7A71">
      <w:pPr>
        <w:jc w:val="center"/>
        <w:rPr>
          <w:b/>
          <w:bCs/>
        </w:rPr>
      </w:pPr>
    </w:p>
    <w:p w14:paraId="10BBAE87" w14:textId="639421C1" w:rsidR="00DC7A71" w:rsidRPr="00DC7A71" w:rsidRDefault="00DC7A71" w:rsidP="00DC7A71">
      <w:pPr>
        <w:jc w:val="center"/>
        <w:rPr>
          <w:b/>
          <w:bCs/>
        </w:rPr>
      </w:pPr>
      <w:r w:rsidRPr="00DC7A71">
        <w:rPr>
          <w:b/>
          <w:bCs/>
        </w:rPr>
        <w:t>IITM BS Degree Program,</w:t>
      </w:r>
    </w:p>
    <w:p w14:paraId="0B232546" w14:textId="4E865DC4" w:rsidR="00DC7A71" w:rsidRPr="00DC7A71" w:rsidRDefault="00DC7A71" w:rsidP="00DC7A71">
      <w:pPr>
        <w:jc w:val="center"/>
        <w:rPr>
          <w:b/>
          <w:bCs/>
        </w:rPr>
      </w:pPr>
      <w:r w:rsidRPr="00DC7A71">
        <w:rPr>
          <w:b/>
          <w:bCs/>
        </w:rPr>
        <w:t>Indian Institute of Technology, Madras,</w:t>
      </w:r>
    </w:p>
    <w:p w14:paraId="5E5992B2" w14:textId="78B7E295" w:rsidR="00DC7A71" w:rsidRPr="00DC7A71" w:rsidRDefault="00DC7A71" w:rsidP="00DC7A71">
      <w:pPr>
        <w:jc w:val="center"/>
        <w:rPr>
          <w:b/>
          <w:bCs/>
        </w:rPr>
      </w:pPr>
      <w:r w:rsidRPr="00DC7A71">
        <w:rPr>
          <w:b/>
          <w:bCs/>
        </w:rPr>
        <w:t>Chennai Tamil Nadu, India, 600036</w:t>
      </w:r>
    </w:p>
    <w:p w14:paraId="27DDDD7E" w14:textId="68157B5E" w:rsidR="00DC7A71" w:rsidRPr="00DC7A71" w:rsidRDefault="00B35299" w:rsidP="00DC7A71">
      <w:pPr>
        <w:rPr>
          <w:b/>
          <w:bCs/>
        </w:rPr>
      </w:pPr>
      <w:r>
        <w:br w:type="page"/>
      </w:r>
    </w:p>
    <w:p w14:paraId="07C7CFE2" w14:textId="0586E452" w:rsidR="0001617E" w:rsidRDefault="0001617E"/>
    <w:p w14:paraId="177EC57B" w14:textId="77777777" w:rsidR="0001617E" w:rsidRDefault="00B35299">
      <w:pPr>
        <w:pStyle w:val="Heading1"/>
      </w:pPr>
      <w:r>
        <w:t>Contents</w:t>
      </w:r>
    </w:p>
    <w:p w14:paraId="756AB1E2" w14:textId="77777777" w:rsidR="0001617E" w:rsidRDefault="00B35299">
      <w:pPr>
        <w:ind w:left="288"/>
      </w:pPr>
      <w:r>
        <w:t>Executive summary</w:t>
      </w:r>
    </w:p>
    <w:p w14:paraId="19371FC5" w14:textId="77777777" w:rsidR="0001617E" w:rsidRDefault="00B35299">
      <w:pPr>
        <w:ind w:left="288"/>
      </w:pPr>
      <w:r>
        <w:t>1 Business problem and decision questions</w:t>
      </w:r>
    </w:p>
    <w:p w14:paraId="72CA74FF" w14:textId="77777777" w:rsidR="0001617E" w:rsidRDefault="00B35299">
      <w:pPr>
        <w:ind w:left="288"/>
      </w:pPr>
      <w:r>
        <w:t>2 Analytical approach and design rationale</w:t>
      </w:r>
    </w:p>
    <w:p w14:paraId="5BF74FD3" w14:textId="77777777" w:rsidR="0001617E" w:rsidRDefault="00B35299">
      <w:pPr>
        <w:ind w:left="288"/>
      </w:pPr>
      <w:r>
        <w:t>3 Data preparation and quality assurance</w:t>
      </w:r>
    </w:p>
    <w:p w14:paraId="39BE2ECA" w14:textId="77777777" w:rsidR="0001617E" w:rsidRDefault="00B35299">
      <w:pPr>
        <w:ind w:left="288"/>
      </w:pPr>
      <w:r>
        <w:t>4 Findings and visual evidence</w:t>
      </w:r>
    </w:p>
    <w:p w14:paraId="5015CCC1" w14:textId="77777777" w:rsidR="0001617E" w:rsidRDefault="00B35299">
      <w:pPr>
        <w:ind w:left="288"/>
      </w:pPr>
      <w:r>
        <w:t>5 Dashboard design and chart selection</w:t>
      </w:r>
    </w:p>
    <w:p w14:paraId="6F5CEBFD" w14:textId="77777777" w:rsidR="0001617E" w:rsidRDefault="00B35299">
      <w:pPr>
        <w:ind w:left="288"/>
      </w:pPr>
      <w:r>
        <w:t>6 Management implications and recommendations</w:t>
      </w:r>
    </w:p>
    <w:p w14:paraId="5AD64DFB" w14:textId="77777777" w:rsidR="0001617E" w:rsidRDefault="00B35299">
      <w:pPr>
        <w:ind w:left="288"/>
      </w:pPr>
      <w:r>
        <w:t>7 Constraints and next steps</w:t>
      </w:r>
    </w:p>
    <w:p w14:paraId="6A7A86CC" w14:textId="77777777" w:rsidR="0001617E" w:rsidRDefault="00B35299">
      <w:pPr>
        <w:ind w:left="288"/>
      </w:pPr>
      <w:r>
        <w:t>Technical appendix</w:t>
      </w:r>
    </w:p>
    <w:p w14:paraId="79924089" w14:textId="77777777" w:rsidR="0001617E" w:rsidRDefault="00B35299">
      <w:r>
        <w:br w:type="page"/>
      </w:r>
    </w:p>
    <w:p w14:paraId="7AC2AE58" w14:textId="77777777" w:rsidR="0001617E" w:rsidRDefault="00B35299">
      <w:pPr>
        <w:pStyle w:val="Heading1"/>
      </w:pPr>
      <w:r>
        <w:lastRenderedPageBreak/>
        <w:t>Executive summary</w:t>
      </w:r>
    </w:p>
    <w:p w14:paraId="19A75970" w14:textId="77777777" w:rsidR="0001617E" w:rsidRDefault="00B35299">
      <w:r>
        <w:t>The marketplace can grow its seller base and order volume only if the post-purchase experience remains reliable. This report examines whether low customer ratings are mainly associated with the sellers and products admitted to the marketplace, or with fulfilment after checkout. The evidence points to delivery execution as the priority: late orders average 2.27 stars compared with 4.23 for on-time orders, and ratings fall to 2.61 stars when delivery takes 25 days or more.</w:t>
      </w:r>
    </w:p>
    <w:p w14:paraId="441ECDB7" w14:textId="77777777" w:rsidR="0001617E" w:rsidRDefault="00B35299">
      <w:r>
        <w:t>The analysis uses a protected one-row-per-order dataset built from the Olist relational files. It follows the order journey from purchase to approval, seller handoff, carrier transit, delivery and review. The strongest actionable pattern is carrier transit, not seller handling: the average carrier stage is 8.9 days versus 2.3 days for seller handling, and satisfaction declines more steeply as carrier transit increases. Multi-seller orders are a second material source of dissatisfaction, while regional route conditions and a small group of high-value, low-scoring sellers identify where interventions should be targeted.</w:t>
      </w:r>
    </w:p>
    <w:p w14:paraId="6CC6CFE0" w14:textId="77777777" w:rsidR="0001617E" w:rsidRDefault="00B35299">
      <w:r>
        <w:t>Management should protect growth by reducing the long delivery tail rather than applying broad seller restrictions. The immediate operating plan is to trigger delivery exceptions from day 16, set realistic region-specific carrier SLAs, disclose split fulfilment at checkout, and provide dedicated remediation to the most commercially important at-risk sellers.</w:t>
      </w:r>
    </w:p>
    <w:p w14:paraId="2221C1E2" w14:textId="77777777" w:rsidR="0001617E" w:rsidRDefault="00B35299">
      <w:pPr>
        <w:pStyle w:val="Heading1"/>
      </w:pPr>
      <w:r>
        <w:t>1 Business problem and decision questions</w:t>
      </w:r>
    </w:p>
    <w:p w14:paraId="0417B82C" w14:textId="77777777" w:rsidR="0001617E" w:rsidRDefault="00B35299">
      <w:pPr>
        <w:pStyle w:val="Heading2"/>
      </w:pPr>
      <w:r>
        <w:t>1.1 Business problem in our words</w:t>
      </w:r>
    </w:p>
    <w:p w14:paraId="1D0124E3" w14:textId="77777777" w:rsidR="0001617E" w:rsidRDefault="00B35299">
      <w:r>
        <w:t>The marketplace wants more sellers and more sales, but cannot allow expansion to reduce customer satisfaction. Management needs to know which parts of the order journey create low reviews, whether these problems can be fixed operationally, and how to intervene without unnecessarily reducing seller participation or commercial volume.</w:t>
      </w:r>
    </w:p>
    <w:p w14:paraId="4FF0D515" w14:textId="77777777" w:rsidR="0001617E" w:rsidRDefault="00B35299">
      <w:pPr>
        <w:pStyle w:val="Heading2"/>
      </w:pPr>
      <w:r>
        <w:t>1.2 Questions the analysis answers</w:t>
      </w:r>
    </w:p>
    <w:p w14:paraId="652B5E71" w14:textId="77777777" w:rsidR="0001617E" w:rsidRDefault="00B35299">
      <w:pPr>
        <w:ind w:left="403" w:hanging="259"/>
      </w:pPr>
      <w:r>
        <w:rPr>
          <w:b/>
        </w:rPr>
        <w:t xml:space="preserve">• </w:t>
      </w:r>
      <w:r>
        <w:t>How strongly do delivery duration and late delivery affect review scores?</w:t>
      </w:r>
    </w:p>
    <w:p w14:paraId="4BD310C2" w14:textId="77777777" w:rsidR="0001617E" w:rsidRDefault="00B35299">
      <w:pPr>
        <w:ind w:left="403" w:hanging="259"/>
      </w:pPr>
      <w:r>
        <w:rPr>
          <w:b/>
        </w:rPr>
        <w:t xml:space="preserve">• </w:t>
      </w:r>
      <w:r>
        <w:t>Is the satisfaction loss more closely associated with seller handling or carrier transit?</w:t>
      </w:r>
    </w:p>
    <w:p w14:paraId="7B36B80B" w14:textId="77777777" w:rsidR="0001617E" w:rsidRDefault="00B35299">
      <w:pPr>
        <w:ind w:left="403" w:hanging="259"/>
      </w:pPr>
      <w:r>
        <w:rPr>
          <w:b/>
        </w:rPr>
        <w:t xml:space="preserve">• </w:t>
      </w:r>
      <w:r>
        <w:t>Do multi-seller orders create a separate fulfilment-complexity penalty?</w:t>
      </w:r>
    </w:p>
    <w:p w14:paraId="7D3F6877" w14:textId="77777777" w:rsidR="0001617E" w:rsidRDefault="00B35299">
      <w:pPr>
        <w:ind w:left="403" w:hanging="259"/>
      </w:pPr>
      <w:r>
        <w:rPr>
          <w:b/>
        </w:rPr>
        <w:t xml:space="preserve">• </w:t>
      </w:r>
      <w:r>
        <w:t>Which regions, routes and sellers should receive priority intervention?</w:t>
      </w:r>
    </w:p>
    <w:p w14:paraId="0497A1C8" w14:textId="77777777" w:rsidR="0001617E" w:rsidRDefault="00B35299">
      <w:pPr>
        <w:ind w:left="403" w:hanging="259"/>
      </w:pPr>
      <w:r>
        <w:rPr>
          <w:b/>
        </w:rPr>
        <w:t xml:space="preserve">• </w:t>
      </w:r>
      <w:r>
        <w:t>Do categories, price, payment, freight and geography alter the conclusion that fulfilment is the main operational lever?</w:t>
      </w:r>
    </w:p>
    <w:p w14:paraId="48263592" w14:textId="77777777" w:rsidR="0001617E" w:rsidRDefault="00B35299">
      <w:pPr>
        <w:pStyle w:val="Heading1"/>
      </w:pPr>
      <w:r>
        <w:t>2 Analytical approach and design rationale</w:t>
      </w:r>
    </w:p>
    <w:p w14:paraId="7CE1F98D" w14:textId="77777777" w:rsidR="0001617E" w:rsidRDefault="00B35299">
      <w:r>
        <w:t xml:space="preserve">We treated the customer review as the final outcome of an order journey rather than as an isolated seller score. The analytical sequence was: understand the relational data, create a reliable order-level dataset, measure the core delivery outcomes, test plausible alternative explanations, </w:t>
      </w:r>
      <w:r>
        <w:lastRenderedPageBreak/>
        <w:t>and translate the evidence into a dashboard and operating actions. This design prevents the project from becoming a collection of unrelated charts.</w:t>
      </w:r>
    </w:p>
    <w:tbl>
      <w:tblPr>
        <w:tblStyle w:val="TableGrid"/>
        <w:tblW w:w="0" w:type="auto"/>
        <w:tblLook w:val="04A0" w:firstRow="1" w:lastRow="0" w:firstColumn="1" w:lastColumn="0" w:noHBand="0" w:noVBand="1"/>
      </w:tblPr>
      <w:tblGrid>
        <w:gridCol w:w="1584"/>
        <w:gridCol w:w="4170"/>
        <w:gridCol w:w="3596"/>
      </w:tblGrid>
      <w:tr w:rsidR="0001617E" w14:paraId="2696CDD8" w14:textId="77777777">
        <w:tc>
          <w:tcPr>
            <w:tcW w:w="1584" w:type="dxa"/>
            <w:shd w:val="clear" w:color="auto" w:fill="D9D9D9"/>
            <w:tcMar>
              <w:top w:w="80" w:type="dxa"/>
              <w:left w:w="100" w:type="dxa"/>
              <w:bottom w:w="80" w:type="dxa"/>
              <w:right w:w="100" w:type="dxa"/>
            </w:tcMar>
            <w:vAlign w:val="center"/>
          </w:tcPr>
          <w:p w14:paraId="042F9C6C" w14:textId="77777777" w:rsidR="0001617E" w:rsidRDefault="00B35299">
            <w:pPr>
              <w:spacing w:after="0" w:line="240" w:lineRule="auto"/>
            </w:pPr>
            <w:r>
              <w:rPr>
                <w:b/>
                <w:sz w:val="20"/>
              </w:rPr>
              <w:t>Phase</w:t>
            </w:r>
          </w:p>
        </w:tc>
        <w:tc>
          <w:tcPr>
            <w:tcW w:w="4176" w:type="dxa"/>
            <w:shd w:val="clear" w:color="auto" w:fill="D9D9D9"/>
            <w:tcMar>
              <w:top w:w="80" w:type="dxa"/>
              <w:left w:w="100" w:type="dxa"/>
              <w:bottom w:w="80" w:type="dxa"/>
              <w:right w:w="100" w:type="dxa"/>
            </w:tcMar>
            <w:vAlign w:val="center"/>
          </w:tcPr>
          <w:p w14:paraId="31909B00" w14:textId="77777777" w:rsidR="0001617E" w:rsidRDefault="00B35299">
            <w:pPr>
              <w:spacing w:after="0" w:line="240" w:lineRule="auto"/>
            </w:pPr>
            <w:r>
              <w:rPr>
                <w:b/>
                <w:sz w:val="20"/>
              </w:rPr>
              <w:t>Purpose</w:t>
            </w:r>
          </w:p>
        </w:tc>
        <w:tc>
          <w:tcPr>
            <w:tcW w:w="3600" w:type="dxa"/>
            <w:shd w:val="clear" w:color="auto" w:fill="D9D9D9"/>
            <w:tcMar>
              <w:top w:w="80" w:type="dxa"/>
              <w:left w:w="100" w:type="dxa"/>
              <w:bottom w:w="80" w:type="dxa"/>
              <w:right w:w="100" w:type="dxa"/>
            </w:tcMar>
            <w:vAlign w:val="center"/>
          </w:tcPr>
          <w:p w14:paraId="13971895" w14:textId="77777777" w:rsidR="0001617E" w:rsidRDefault="00B35299">
            <w:pPr>
              <w:spacing w:after="0" w:line="240" w:lineRule="auto"/>
            </w:pPr>
            <w:r>
              <w:rPr>
                <w:b/>
                <w:sz w:val="20"/>
              </w:rPr>
              <w:t>Business value</w:t>
            </w:r>
          </w:p>
        </w:tc>
      </w:tr>
      <w:tr w:rsidR="0001617E" w14:paraId="7CBE0859" w14:textId="77777777">
        <w:tc>
          <w:tcPr>
            <w:tcW w:w="1584" w:type="dxa"/>
            <w:tcMar>
              <w:top w:w="80" w:type="dxa"/>
              <w:left w:w="100" w:type="dxa"/>
              <w:bottom w:w="80" w:type="dxa"/>
              <w:right w:w="100" w:type="dxa"/>
            </w:tcMar>
            <w:vAlign w:val="center"/>
          </w:tcPr>
          <w:p w14:paraId="0263966A" w14:textId="77777777" w:rsidR="0001617E" w:rsidRDefault="00B35299">
            <w:pPr>
              <w:spacing w:after="0" w:line="240" w:lineRule="auto"/>
            </w:pPr>
            <w:r>
              <w:rPr>
                <w:sz w:val="20"/>
              </w:rPr>
              <w:t>Understand</w:t>
            </w:r>
          </w:p>
        </w:tc>
        <w:tc>
          <w:tcPr>
            <w:tcW w:w="4176" w:type="dxa"/>
            <w:tcMar>
              <w:top w:w="80" w:type="dxa"/>
              <w:left w:w="100" w:type="dxa"/>
              <w:bottom w:w="80" w:type="dxa"/>
              <w:right w:w="100" w:type="dxa"/>
            </w:tcMar>
            <w:vAlign w:val="center"/>
          </w:tcPr>
          <w:p w14:paraId="418E03CD" w14:textId="77777777" w:rsidR="0001617E" w:rsidRDefault="00B35299">
            <w:pPr>
              <w:spacing w:after="0" w:line="240" w:lineRule="auto"/>
            </w:pPr>
            <w:r>
              <w:rPr>
                <w:sz w:val="20"/>
              </w:rPr>
              <w:t>Map source-table grain and define one order as the unit of analysis.</w:t>
            </w:r>
          </w:p>
        </w:tc>
        <w:tc>
          <w:tcPr>
            <w:tcW w:w="3600" w:type="dxa"/>
            <w:tcMar>
              <w:top w:w="80" w:type="dxa"/>
              <w:left w:w="100" w:type="dxa"/>
              <w:bottom w:w="80" w:type="dxa"/>
              <w:right w:w="100" w:type="dxa"/>
            </w:tcMar>
            <w:vAlign w:val="center"/>
          </w:tcPr>
          <w:p w14:paraId="00349829" w14:textId="77777777" w:rsidR="0001617E" w:rsidRDefault="00B35299">
            <w:pPr>
              <w:spacing w:after="0" w:line="240" w:lineRule="auto"/>
            </w:pPr>
            <w:r>
              <w:rPr>
                <w:sz w:val="20"/>
              </w:rPr>
              <w:t>Ensures each customer experience receives one fair vote.</w:t>
            </w:r>
          </w:p>
        </w:tc>
      </w:tr>
      <w:tr w:rsidR="0001617E" w14:paraId="7151B5AB" w14:textId="77777777">
        <w:tc>
          <w:tcPr>
            <w:tcW w:w="1584" w:type="dxa"/>
            <w:shd w:val="clear" w:color="auto" w:fill="F2F2F2"/>
            <w:tcMar>
              <w:top w:w="80" w:type="dxa"/>
              <w:left w:w="100" w:type="dxa"/>
              <w:bottom w:w="80" w:type="dxa"/>
              <w:right w:w="100" w:type="dxa"/>
            </w:tcMar>
            <w:vAlign w:val="center"/>
          </w:tcPr>
          <w:p w14:paraId="21534C06" w14:textId="77777777" w:rsidR="0001617E" w:rsidRDefault="00B35299">
            <w:pPr>
              <w:spacing w:after="0" w:line="240" w:lineRule="auto"/>
            </w:pPr>
            <w:r>
              <w:rPr>
                <w:sz w:val="20"/>
              </w:rPr>
              <w:t>Prepare</w:t>
            </w:r>
          </w:p>
        </w:tc>
        <w:tc>
          <w:tcPr>
            <w:tcW w:w="4176" w:type="dxa"/>
            <w:shd w:val="clear" w:color="auto" w:fill="F2F2F2"/>
            <w:tcMar>
              <w:top w:w="80" w:type="dxa"/>
              <w:left w:w="100" w:type="dxa"/>
              <w:bottom w:w="80" w:type="dxa"/>
              <w:right w:w="100" w:type="dxa"/>
            </w:tcMar>
            <w:vAlign w:val="center"/>
          </w:tcPr>
          <w:p w14:paraId="139856A0" w14:textId="77777777" w:rsidR="0001617E" w:rsidRDefault="00B35299">
            <w:pPr>
              <w:spacing w:after="0" w:line="240" w:lineRule="auto"/>
            </w:pPr>
            <w:r>
              <w:rPr>
                <w:sz w:val="20"/>
              </w:rPr>
              <w:t>Aggregate one-to-many tables before joining and derive fulfilment metrics.</w:t>
            </w:r>
          </w:p>
        </w:tc>
        <w:tc>
          <w:tcPr>
            <w:tcW w:w="3600" w:type="dxa"/>
            <w:shd w:val="clear" w:color="auto" w:fill="F2F2F2"/>
            <w:tcMar>
              <w:top w:w="80" w:type="dxa"/>
              <w:left w:w="100" w:type="dxa"/>
              <w:bottom w:w="80" w:type="dxa"/>
              <w:right w:w="100" w:type="dxa"/>
            </w:tcMar>
            <w:vAlign w:val="center"/>
          </w:tcPr>
          <w:p w14:paraId="564006CC" w14:textId="77777777" w:rsidR="0001617E" w:rsidRDefault="00B35299">
            <w:pPr>
              <w:spacing w:after="0" w:line="240" w:lineRule="auto"/>
            </w:pPr>
            <w:r>
              <w:rPr>
                <w:sz w:val="20"/>
              </w:rPr>
              <w:t>Prevents duplicate reviews and creates comparable measures.</w:t>
            </w:r>
          </w:p>
        </w:tc>
      </w:tr>
      <w:tr w:rsidR="0001617E" w14:paraId="0D3B099E" w14:textId="77777777">
        <w:tc>
          <w:tcPr>
            <w:tcW w:w="1584" w:type="dxa"/>
            <w:tcMar>
              <w:top w:w="80" w:type="dxa"/>
              <w:left w:w="100" w:type="dxa"/>
              <w:bottom w:w="80" w:type="dxa"/>
              <w:right w:w="100" w:type="dxa"/>
            </w:tcMar>
            <w:vAlign w:val="center"/>
          </w:tcPr>
          <w:p w14:paraId="66B36119" w14:textId="77777777" w:rsidR="0001617E" w:rsidRDefault="00B35299">
            <w:pPr>
              <w:spacing w:after="0" w:line="240" w:lineRule="auto"/>
            </w:pPr>
            <w:r>
              <w:rPr>
                <w:sz w:val="20"/>
              </w:rPr>
              <w:t>Explore</w:t>
            </w:r>
          </w:p>
        </w:tc>
        <w:tc>
          <w:tcPr>
            <w:tcW w:w="4176" w:type="dxa"/>
            <w:tcMar>
              <w:top w:w="80" w:type="dxa"/>
              <w:left w:w="100" w:type="dxa"/>
              <w:bottom w:w="80" w:type="dxa"/>
              <w:right w:w="100" w:type="dxa"/>
            </w:tcMar>
            <w:vAlign w:val="center"/>
          </w:tcPr>
          <w:p w14:paraId="0AA0DF37" w14:textId="77777777" w:rsidR="0001617E" w:rsidRDefault="00B35299">
            <w:pPr>
              <w:spacing w:after="0" w:line="240" w:lineRule="auto"/>
            </w:pPr>
            <w:r>
              <w:rPr>
                <w:sz w:val="20"/>
              </w:rPr>
              <w:t>Compare ratings across delivery, delay, seller, region and order-structure segments.</w:t>
            </w:r>
          </w:p>
        </w:tc>
        <w:tc>
          <w:tcPr>
            <w:tcW w:w="3600" w:type="dxa"/>
            <w:tcMar>
              <w:top w:w="80" w:type="dxa"/>
              <w:left w:w="100" w:type="dxa"/>
              <w:bottom w:w="80" w:type="dxa"/>
              <w:right w:w="100" w:type="dxa"/>
            </w:tcMar>
            <w:vAlign w:val="center"/>
          </w:tcPr>
          <w:p w14:paraId="58A0005E" w14:textId="77777777" w:rsidR="0001617E" w:rsidRDefault="00B35299">
            <w:pPr>
              <w:spacing w:after="0" w:line="240" w:lineRule="auto"/>
            </w:pPr>
            <w:r>
              <w:rPr>
                <w:sz w:val="20"/>
              </w:rPr>
              <w:t>Identifies where dissatisfaction is concentrated.</w:t>
            </w:r>
          </w:p>
        </w:tc>
      </w:tr>
      <w:tr w:rsidR="0001617E" w14:paraId="3500BF72" w14:textId="77777777">
        <w:tc>
          <w:tcPr>
            <w:tcW w:w="1584" w:type="dxa"/>
            <w:shd w:val="clear" w:color="auto" w:fill="F2F2F2"/>
            <w:tcMar>
              <w:top w:w="80" w:type="dxa"/>
              <w:left w:w="100" w:type="dxa"/>
              <w:bottom w:w="80" w:type="dxa"/>
              <w:right w:w="100" w:type="dxa"/>
            </w:tcMar>
            <w:vAlign w:val="center"/>
          </w:tcPr>
          <w:p w14:paraId="2CECA25B" w14:textId="77777777" w:rsidR="0001617E" w:rsidRDefault="00B35299">
            <w:pPr>
              <w:spacing w:after="0" w:line="240" w:lineRule="auto"/>
            </w:pPr>
            <w:r>
              <w:rPr>
                <w:sz w:val="20"/>
              </w:rPr>
              <w:t>Communicate</w:t>
            </w:r>
          </w:p>
        </w:tc>
        <w:tc>
          <w:tcPr>
            <w:tcW w:w="4176" w:type="dxa"/>
            <w:shd w:val="clear" w:color="auto" w:fill="F2F2F2"/>
            <w:tcMar>
              <w:top w:w="80" w:type="dxa"/>
              <w:left w:w="100" w:type="dxa"/>
              <w:bottom w:w="80" w:type="dxa"/>
              <w:right w:w="100" w:type="dxa"/>
            </w:tcMar>
            <w:vAlign w:val="center"/>
          </w:tcPr>
          <w:p w14:paraId="0D1D3A21" w14:textId="77777777" w:rsidR="0001617E" w:rsidRDefault="00B35299">
            <w:pPr>
              <w:spacing w:after="0" w:line="240" w:lineRule="auto"/>
            </w:pPr>
            <w:r>
              <w:rPr>
                <w:sz w:val="20"/>
              </w:rPr>
              <w:t>Use decision-oriented charts and an interactive dashboard.</w:t>
            </w:r>
          </w:p>
        </w:tc>
        <w:tc>
          <w:tcPr>
            <w:tcW w:w="3600" w:type="dxa"/>
            <w:shd w:val="clear" w:color="auto" w:fill="F2F2F2"/>
            <w:tcMar>
              <w:top w:w="80" w:type="dxa"/>
              <w:left w:w="100" w:type="dxa"/>
              <w:bottom w:w="80" w:type="dxa"/>
              <w:right w:w="100" w:type="dxa"/>
            </w:tcMar>
            <w:vAlign w:val="center"/>
          </w:tcPr>
          <w:p w14:paraId="354BB8E3" w14:textId="77777777" w:rsidR="0001617E" w:rsidRDefault="00B35299">
            <w:pPr>
              <w:spacing w:after="0" w:line="240" w:lineRule="auto"/>
            </w:pPr>
            <w:r>
              <w:rPr>
                <w:sz w:val="20"/>
              </w:rPr>
              <w:t>Makes owner, priority and action clear to management.</w:t>
            </w:r>
          </w:p>
        </w:tc>
      </w:tr>
    </w:tbl>
    <w:p w14:paraId="78BD503A" w14:textId="77777777" w:rsidR="0001617E" w:rsidRDefault="0001617E">
      <w:pPr>
        <w:spacing w:after="20"/>
      </w:pPr>
    </w:p>
    <w:p w14:paraId="11BBBCC8" w14:textId="77777777" w:rsidR="0001617E" w:rsidRDefault="00B35299">
      <w:pPr>
        <w:pStyle w:val="Heading2"/>
      </w:pPr>
      <w:r>
        <w:t>2.1 Analytical logic</w:t>
      </w:r>
    </w:p>
    <w:p w14:paraId="6A45F3EF" w14:textId="77777777" w:rsidR="0001617E" w:rsidRDefault="00B35299">
      <w:r>
        <w:t>The primary hypothesis was that slower or late fulfilment lowers satisfaction. We then split the delivery journey into approval, seller handling and carrier transit to locate the responsible stage. We tested multi-seller fulfilment, geography, category, freight, payment and product characteristics as competing explanations. This is descriptive exploratory analysis, not a causal experiment; the findings are therefore used to prioritise operational investigation and intervention testing.</w:t>
      </w:r>
    </w:p>
    <w:p w14:paraId="18AC0945" w14:textId="77777777" w:rsidR="0001617E" w:rsidRDefault="00B35299">
      <w:pPr>
        <w:pStyle w:val="Heading1"/>
      </w:pPr>
      <w:r>
        <w:t>3 Data preparation and quality assurance</w:t>
      </w:r>
    </w:p>
    <w:p w14:paraId="1AEC4FB2" w14:textId="77777777" w:rsidR="0001617E" w:rsidRDefault="00B35299">
      <w:pPr>
        <w:pStyle w:val="Heading2"/>
      </w:pPr>
      <w:r>
        <w:t>3.1 Source data and analytical grain</w:t>
      </w:r>
    </w:p>
    <w:p w14:paraId="76BA18E8" w14:textId="77777777" w:rsidR="0001617E" w:rsidRDefault="00B35299">
      <w:r>
        <w:t>The source is a relational marketplace dataset. Orders, items, payments and reviews do not have the same grain: one order can contain several items, payment records and review entries. The analytical dataset was deliberately built at one row per order because both delivery outcome and review score are experienced at order level.</w:t>
      </w:r>
    </w:p>
    <w:tbl>
      <w:tblPr>
        <w:tblStyle w:val="TableGrid"/>
        <w:tblW w:w="0" w:type="auto"/>
        <w:tblLook w:val="04A0" w:firstRow="1" w:lastRow="0" w:firstColumn="1" w:lastColumn="0" w:noHBand="0" w:noVBand="1"/>
      </w:tblPr>
      <w:tblGrid>
        <w:gridCol w:w="2014"/>
        <w:gridCol w:w="3596"/>
        <w:gridCol w:w="3740"/>
      </w:tblGrid>
      <w:tr w:rsidR="0001617E" w14:paraId="2F189C65" w14:textId="77777777">
        <w:tc>
          <w:tcPr>
            <w:tcW w:w="2016" w:type="dxa"/>
            <w:shd w:val="clear" w:color="auto" w:fill="D9D9D9"/>
            <w:tcMar>
              <w:top w:w="80" w:type="dxa"/>
              <w:left w:w="100" w:type="dxa"/>
              <w:bottom w:w="80" w:type="dxa"/>
              <w:right w:w="100" w:type="dxa"/>
            </w:tcMar>
            <w:vAlign w:val="center"/>
          </w:tcPr>
          <w:p w14:paraId="5C5A73CA" w14:textId="77777777" w:rsidR="0001617E" w:rsidRDefault="00B35299">
            <w:pPr>
              <w:spacing w:after="0" w:line="240" w:lineRule="auto"/>
            </w:pPr>
            <w:r>
              <w:rPr>
                <w:b/>
                <w:sz w:val="20"/>
              </w:rPr>
              <w:t>Source group</w:t>
            </w:r>
          </w:p>
        </w:tc>
        <w:tc>
          <w:tcPr>
            <w:tcW w:w="3600" w:type="dxa"/>
            <w:shd w:val="clear" w:color="auto" w:fill="D9D9D9"/>
            <w:tcMar>
              <w:top w:w="80" w:type="dxa"/>
              <w:left w:w="100" w:type="dxa"/>
              <w:bottom w:w="80" w:type="dxa"/>
              <w:right w:w="100" w:type="dxa"/>
            </w:tcMar>
            <w:vAlign w:val="center"/>
          </w:tcPr>
          <w:p w14:paraId="151901CC" w14:textId="77777777" w:rsidR="0001617E" w:rsidRDefault="00B35299">
            <w:pPr>
              <w:spacing w:after="0" w:line="240" w:lineRule="auto"/>
            </w:pPr>
            <w:r>
              <w:rPr>
                <w:b/>
                <w:sz w:val="20"/>
              </w:rPr>
              <w:t>Role in analysis</w:t>
            </w:r>
          </w:p>
        </w:tc>
        <w:tc>
          <w:tcPr>
            <w:tcW w:w="3744" w:type="dxa"/>
            <w:shd w:val="clear" w:color="auto" w:fill="D9D9D9"/>
            <w:tcMar>
              <w:top w:w="80" w:type="dxa"/>
              <w:left w:w="100" w:type="dxa"/>
              <w:bottom w:w="80" w:type="dxa"/>
              <w:right w:w="100" w:type="dxa"/>
            </w:tcMar>
            <w:vAlign w:val="center"/>
          </w:tcPr>
          <w:p w14:paraId="7B66BAC9" w14:textId="77777777" w:rsidR="0001617E" w:rsidRDefault="00B35299">
            <w:pPr>
              <w:spacing w:after="0" w:line="240" w:lineRule="auto"/>
            </w:pPr>
            <w:r>
              <w:rPr>
                <w:b/>
                <w:sz w:val="20"/>
              </w:rPr>
              <w:t>Preparation rule</w:t>
            </w:r>
          </w:p>
        </w:tc>
      </w:tr>
      <w:tr w:rsidR="0001617E" w14:paraId="6F0D5CDA" w14:textId="77777777">
        <w:tc>
          <w:tcPr>
            <w:tcW w:w="2016" w:type="dxa"/>
            <w:tcMar>
              <w:top w:w="80" w:type="dxa"/>
              <w:left w:w="100" w:type="dxa"/>
              <w:bottom w:w="80" w:type="dxa"/>
              <w:right w:w="100" w:type="dxa"/>
            </w:tcMar>
            <w:vAlign w:val="center"/>
          </w:tcPr>
          <w:p w14:paraId="5E348D68" w14:textId="77777777" w:rsidR="0001617E" w:rsidRDefault="00B35299">
            <w:pPr>
              <w:spacing w:after="0" w:line="240" w:lineRule="auto"/>
            </w:pPr>
            <w:r>
              <w:rPr>
                <w:sz w:val="20"/>
              </w:rPr>
              <w:t>Orders</w:t>
            </w:r>
          </w:p>
        </w:tc>
        <w:tc>
          <w:tcPr>
            <w:tcW w:w="3600" w:type="dxa"/>
            <w:tcMar>
              <w:top w:w="80" w:type="dxa"/>
              <w:left w:w="100" w:type="dxa"/>
              <w:bottom w:w="80" w:type="dxa"/>
              <w:right w:w="100" w:type="dxa"/>
            </w:tcMar>
            <w:vAlign w:val="center"/>
          </w:tcPr>
          <w:p w14:paraId="2121A9E5" w14:textId="77777777" w:rsidR="0001617E" w:rsidRDefault="00B35299">
            <w:pPr>
              <w:spacing w:after="0" w:line="240" w:lineRule="auto"/>
            </w:pPr>
            <w:r>
              <w:rPr>
                <w:sz w:val="20"/>
              </w:rPr>
              <w:t>Order status and lifecycle timestamps.</w:t>
            </w:r>
          </w:p>
        </w:tc>
        <w:tc>
          <w:tcPr>
            <w:tcW w:w="3744" w:type="dxa"/>
            <w:tcMar>
              <w:top w:w="80" w:type="dxa"/>
              <w:left w:w="100" w:type="dxa"/>
              <w:bottom w:w="80" w:type="dxa"/>
              <w:right w:w="100" w:type="dxa"/>
            </w:tcMar>
            <w:vAlign w:val="center"/>
          </w:tcPr>
          <w:p w14:paraId="237F8B3D" w14:textId="77777777" w:rsidR="0001617E" w:rsidRDefault="00B35299">
            <w:pPr>
              <w:spacing w:after="0" w:line="240" w:lineRule="auto"/>
            </w:pPr>
            <w:r>
              <w:rPr>
                <w:sz w:val="20"/>
              </w:rPr>
              <w:t>Used as the order-level spine.</w:t>
            </w:r>
          </w:p>
        </w:tc>
      </w:tr>
      <w:tr w:rsidR="0001617E" w14:paraId="2A62BC3D" w14:textId="77777777">
        <w:tc>
          <w:tcPr>
            <w:tcW w:w="2016" w:type="dxa"/>
            <w:shd w:val="clear" w:color="auto" w:fill="F2F2F2"/>
            <w:tcMar>
              <w:top w:w="80" w:type="dxa"/>
              <w:left w:w="100" w:type="dxa"/>
              <w:bottom w:w="80" w:type="dxa"/>
              <w:right w:w="100" w:type="dxa"/>
            </w:tcMar>
            <w:vAlign w:val="center"/>
          </w:tcPr>
          <w:p w14:paraId="6EB01226" w14:textId="77777777" w:rsidR="0001617E" w:rsidRDefault="00B35299">
            <w:pPr>
              <w:spacing w:after="0" w:line="240" w:lineRule="auto"/>
            </w:pPr>
            <w:r>
              <w:rPr>
                <w:sz w:val="20"/>
              </w:rPr>
              <w:t>Items and products</w:t>
            </w:r>
          </w:p>
        </w:tc>
        <w:tc>
          <w:tcPr>
            <w:tcW w:w="3600" w:type="dxa"/>
            <w:shd w:val="clear" w:color="auto" w:fill="F2F2F2"/>
            <w:tcMar>
              <w:top w:w="80" w:type="dxa"/>
              <w:left w:w="100" w:type="dxa"/>
              <w:bottom w:w="80" w:type="dxa"/>
              <w:right w:w="100" w:type="dxa"/>
            </w:tcMar>
            <w:vAlign w:val="center"/>
          </w:tcPr>
          <w:p w14:paraId="73B53EDA" w14:textId="77777777" w:rsidR="0001617E" w:rsidRDefault="00B35299">
            <w:pPr>
              <w:spacing w:after="0" w:line="240" w:lineRule="auto"/>
            </w:pPr>
            <w:r>
              <w:rPr>
                <w:sz w:val="20"/>
              </w:rPr>
              <w:t>Item count, seller count, category, price and freight.</w:t>
            </w:r>
          </w:p>
        </w:tc>
        <w:tc>
          <w:tcPr>
            <w:tcW w:w="3744" w:type="dxa"/>
            <w:shd w:val="clear" w:color="auto" w:fill="F2F2F2"/>
            <w:tcMar>
              <w:top w:w="80" w:type="dxa"/>
              <w:left w:w="100" w:type="dxa"/>
              <w:bottom w:w="80" w:type="dxa"/>
              <w:right w:w="100" w:type="dxa"/>
            </w:tcMar>
            <w:vAlign w:val="center"/>
          </w:tcPr>
          <w:p w14:paraId="0B392590" w14:textId="77777777" w:rsidR="0001617E" w:rsidRDefault="00B35299">
            <w:pPr>
              <w:spacing w:after="0" w:line="240" w:lineRule="auto"/>
            </w:pPr>
            <w:r>
              <w:rPr>
                <w:sz w:val="20"/>
              </w:rPr>
              <w:t>Aggregated by order before joining.</w:t>
            </w:r>
          </w:p>
        </w:tc>
      </w:tr>
      <w:tr w:rsidR="0001617E" w14:paraId="126D2497" w14:textId="77777777">
        <w:tc>
          <w:tcPr>
            <w:tcW w:w="2016" w:type="dxa"/>
            <w:tcMar>
              <w:top w:w="80" w:type="dxa"/>
              <w:left w:w="100" w:type="dxa"/>
              <w:bottom w:w="80" w:type="dxa"/>
              <w:right w:w="100" w:type="dxa"/>
            </w:tcMar>
            <w:vAlign w:val="center"/>
          </w:tcPr>
          <w:p w14:paraId="28DC291B" w14:textId="77777777" w:rsidR="0001617E" w:rsidRDefault="00B35299">
            <w:pPr>
              <w:spacing w:after="0" w:line="240" w:lineRule="auto"/>
            </w:pPr>
            <w:r>
              <w:rPr>
                <w:sz w:val="20"/>
              </w:rPr>
              <w:t>Payments</w:t>
            </w:r>
          </w:p>
        </w:tc>
        <w:tc>
          <w:tcPr>
            <w:tcW w:w="3600" w:type="dxa"/>
            <w:tcMar>
              <w:top w:w="80" w:type="dxa"/>
              <w:left w:w="100" w:type="dxa"/>
              <w:bottom w:w="80" w:type="dxa"/>
              <w:right w:w="100" w:type="dxa"/>
            </w:tcMar>
            <w:vAlign w:val="center"/>
          </w:tcPr>
          <w:p w14:paraId="2121CC73" w14:textId="77777777" w:rsidR="0001617E" w:rsidRDefault="00B35299">
            <w:pPr>
              <w:spacing w:after="0" w:line="240" w:lineRule="auto"/>
            </w:pPr>
            <w:r>
              <w:rPr>
                <w:sz w:val="20"/>
              </w:rPr>
              <w:t>Payment value, type and instalments.</w:t>
            </w:r>
          </w:p>
        </w:tc>
        <w:tc>
          <w:tcPr>
            <w:tcW w:w="3744" w:type="dxa"/>
            <w:tcMar>
              <w:top w:w="80" w:type="dxa"/>
              <w:left w:w="100" w:type="dxa"/>
              <w:bottom w:w="80" w:type="dxa"/>
              <w:right w:w="100" w:type="dxa"/>
            </w:tcMar>
            <w:vAlign w:val="center"/>
          </w:tcPr>
          <w:p w14:paraId="28AD10E0" w14:textId="77777777" w:rsidR="0001617E" w:rsidRDefault="00B35299">
            <w:pPr>
              <w:spacing w:after="0" w:line="240" w:lineRule="auto"/>
            </w:pPr>
            <w:r>
              <w:rPr>
                <w:sz w:val="20"/>
              </w:rPr>
              <w:t>Total payment summed; method retained as a descriptor.</w:t>
            </w:r>
          </w:p>
        </w:tc>
      </w:tr>
      <w:tr w:rsidR="0001617E" w14:paraId="76F6C48C" w14:textId="77777777">
        <w:tc>
          <w:tcPr>
            <w:tcW w:w="2016" w:type="dxa"/>
            <w:shd w:val="clear" w:color="auto" w:fill="F2F2F2"/>
            <w:tcMar>
              <w:top w:w="80" w:type="dxa"/>
              <w:left w:w="100" w:type="dxa"/>
              <w:bottom w:w="80" w:type="dxa"/>
              <w:right w:w="100" w:type="dxa"/>
            </w:tcMar>
            <w:vAlign w:val="center"/>
          </w:tcPr>
          <w:p w14:paraId="002165B7" w14:textId="77777777" w:rsidR="0001617E" w:rsidRDefault="00B35299">
            <w:pPr>
              <w:spacing w:after="0" w:line="240" w:lineRule="auto"/>
            </w:pPr>
            <w:r>
              <w:rPr>
                <w:sz w:val="20"/>
              </w:rPr>
              <w:t>Reviews</w:t>
            </w:r>
          </w:p>
        </w:tc>
        <w:tc>
          <w:tcPr>
            <w:tcW w:w="3600" w:type="dxa"/>
            <w:shd w:val="clear" w:color="auto" w:fill="F2F2F2"/>
            <w:tcMar>
              <w:top w:w="80" w:type="dxa"/>
              <w:left w:w="100" w:type="dxa"/>
              <w:bottom w:w="80" w:type="dxa"/>
              <w:right w:w="100" w:type="dxa"/>
            </w:tcMar>
            <w:vAlign w:val="center"/>
          </w:tcPr>
          <w:p w14:paraId="1C47BB14" w14:textId="77777777" w:rsidR="0001617E" w:rsidRDefault="00B35299">
            <w:pPr>
              <w:spacing w:after="0" w:line="240" w:lineRule="auto"/>
            </w:pPr>
            <w:r>
              <w:rPr>
                <w:sz w:val="20"/>
              </w:rPr>
              <w:t>Review score and comment availability.</w:t>
            </w:r>
          </w:p>
        </w:tc>
        <w:tc>
          <w:tcPr>
            <w:tcW w:w="3744" w:type="dxa"/>
            <w:shd w:val="clear" w:color="auto" w:fill="F2F2F2"/>
            <w:tcMar>
              <w:top w:w="80" w:type="dxa"/>
              <w:left w:w="100" w:type="dxa"/>
              <w:bottom w:w="80" w:type="dxa"/>
              <w:right w:w="100" w:type="dxa"/>
            </w:tcMar>
            <w:vAlign w:val="center"/>
          </w:tcPr>
          <w:p w14:paraId="06E0BE72" w14:textId="77777777" w:rsidR="0001617E" w:rsidRDefault="00B35299">
            <w:pPr>
              <w:spacing w:after="0" w:line="240" w:lineRule="auto"/>
            </w:pPr>
            <w:r>
              <w:rPr>
                <w:sz w:val="20"/>
              </w:rPr>
              <w:t>Duplicate reviews averaged by order.</w:t>
            </w:r>
          </w:p>
        </w:tc>
      </w:tr>
      <w:tr w:rsidR="0001617E" w14:paraId="28DFB9CA" w14:textId="77777777">
        <w:tc>
          <w:tcPr>
            <w:tcW w:w="2016" w:type="dxa"/>
            <w:tcMar>
              <w:top w:w="80" w:type="dxa"/>
              <w:left w:w="100" w:type="dxa"/>
              <w:bottom w:w="80" w:type="dxa"/>
              <w:right w:w="100" w:type="dxa"/>
            </w:tcMar>
            <w:vAlign w:val="center"/>
          </w:tcPr>
          <w:p w14:paraId="73DF2458" w14:textId="77777777" w:rsidR="0001617E" w:rsidRDefault="00B35299">
            <w:pPr>
              <w:spacing w:after="0" w:line="240" w:lineRule="auto"/>
            </w:pPr>
            <w:r>
              <w:rPr>
                <w:sz w:val="20"/>
              </w:rPr>
              <w:t>Customers, sellers and geolocation</w:t>
            </w:r>
          </w:p>
        </w:tc>
        <w:tc>
          <w:tcPr>
            <w:tcW w:w="3600" w:type="dxa"/>
            <w:tcMar>
              <w:top w:w="80" w:type="dxa"/>
              <w:left w:w="100" w:type="dxa"/>
              <w:bottom w:w="80" w:type="dxa"/>
              <w:right w:w="100" w:type="dxa"/>
            </w:tcMar>
            <w:vAlign w:val="center"/>
          </w:tcPr>
          <w:p w14:paraId="52823CFA" w14:textId="77777777" w:rsidR="0001617E" w:rsidRDefault="00B35299">
            <w:pPr>
              <w:spacing w:after="0" w:line="240" w:lineRule="auto"/>
            </w:pPr>
            <w:r>
              <w:rPr>
                <w:sz w:val="20"/>
              </w:rPr>
              <w:t>Customer state, seller state and route context.</w:t>
            </w:r>
          </w:p>
        </w:tc>
        <w:tc>
          <w:tcPr>
            <w:tcW w:w="3744" w:type="dxa"/>
            <w:tcMar>
              <w:top w:w="80" w:type="dxa"/>
              <w:left w:w="100" w:type="dxa"/>
              <w:bottom w:w="80" w:type="dxa"/>
              <w:right w:w="100" w:type="dxa"/>
            </w:tcMar>
            <w:vAlign w:val="center"/>
          </w:tcPr>
          <w:p w14:paraId="696A2A25" w14:textId="77777777" w:rsidR="0001617E" w:rsidRDefault="00B35299">
            <w:pPr>
              <w:spacing w:after="0" w:line="240" w:lineRule="auto"/>
            </w:pPr>
            <w:r>
              <w:rPr>
                <w:sz w:val="20"/>
              </w:rPr>
              <w:t>Joined after grain-safe aggregation.</w:t>
            </w:r>
          </w:p>
        </w:tc>
      </w:tr>
    </w:tbl>
    <w:p w14:paraId="29E746E3" w14:textId="77777777" w:rsidR="0001617E" w:rsidRDefault="0001617E">
      <w:pPr>
        <w:spacing w:after="20"/>
      </w:pPr>
    </w:p>
    <w:p w14:paraId="28973767" w14:textId="77777777" w:rsidR="0001617E" w:rsidRDefault="00B35299">
      <w:pPr>
        <w:pStyle w:val="Heading2"/>
      </w:pPr>
      <w:r>
        <w:t>3.2 Cleaning and aggregation decisions</w:t>
      </w:r>
    </w:p>
    <w:p w14:paraId="4C352217" w14:textId="77777777" w:rsidR="0001617E" w:rsidRDefault="00B35299">
      <w:pPr>
        <w:ind w:left="403" w:hanging="259"/>
      </w:pPr>
      <w:r>
        <w:rPr>
          <w:b/>
        </w:rPr>
        <w:t xml:space="preserve">• </w:t>
      </w:r>
      <w:r>
        <w:t>Standardised identifiers, numeric fields and timestamps before any calculation.</w:t>
      </w:r>
    </w:p>
    <w:p w14:paraId="2D69A49F" w14:textId="77777777" w:rsidR="0001617E" w:rsidRDefault="00B35299">
      <w:pPr>
        <w:ind w:left="403" w:hanging="259"/>
      </w:pPr>
      <w:r>
        <w:rPr>
          <w:b/>
        </w:rPr>
        <w:lastRenderedPageBreak/>
        <w:t xml:space="preserve">• </w:t>
      </w:r>
      <w:r>
        <w:t>Excluded orders without item rows from fulfilment comparisons because seller and delivery measures cannot be meaningfully defined for them. This explains the difference between 99,441 raw orders and 98,666 master-order rows.</w:t>
      </w:r>
    </w:p>
    <w:p w14:paraId="48DD408D" w14:textId="77777777" w:rsidR="0001617E" w:rsidRDefault="00B35299">
      <w:pPr>
        <w:ind w:left="403" w:hanging="259"/>
      </w:pPr>
      <w:r>
        <w:rPr>
          <w:b/>
        </w:rPr>
        <w:t xml:space="preserve">• </w:t>
      </w:r>
      <w:r>
        <w:t>Averaged the 551 duplicated review records by order ID, preventing one order from receiving multiple votes in rating summaries.</w:t>
      </w:r>
    </w:p>
    <w:p w14:paraId="6B02446D" w14:textId="77777777" w:rsidR="0001617E" w:rsidRDefault="00B35299">
      <w:pPr>
        <w:ind w:left="403" w:hanging="259"/>
      </w:pPr>
      <w:r>
        <w:rPr>
          <w:b/>
        </w:rPr>
        <w:t xml:space="preserve">• </w:t>
      </w:r>
      <w:r>
        <w:t>Summed payment values and aggregated payment characteristics before joining, avoiding row multiplication from split payments.</w:t>
      </w:r>
    </w:p>
    <w:p w14:paraId="5107F651" w14:textId="77777777" w:rsidR="0001617E" w:rsidRDefault="00B35299">
      <w:pPr>
        <w:ind w:left="403" w:hanging="259"/>
      </w:pPr>
      <w:r>
        <w:rPr>
          <w:b/>
        </w:rPr>
        <w:t xml:space="preserve">• </w:t>
      </w:r>
      <w:r>
        <w:t>Retained unusually long deliveries after validating the underlying timestamps; these are business-relevant service failures, not automatic data errors.</w:t>
      </w:r>
    </w:p>
    <w:p w14:paraId="398170D8" w14:textId="77777777" w:rsidR="0001617E" w:rsidRDefault="00B35299">
      <w:pPr>
        <w:ind w:left="403" w:hanging="259"/>
      </w:pPr>
      <w:r>
        <w:rPr>
          <w:b/>
        </w:rPr>
        <w:t xml:space="preserve">• </w:t>
      </w:r>
      <w:r>
        <w:t>Flagged missing or logically impossible time intervals rather than interpreting them as operational performance.</w:t>
      </w:r>
    </w:p>
    <w:p w14:paraId="35D2EC21" w14:textId="77777777" w:rsidR="0001617E" w:rsidRDefault="00B35299">
      <w:pPr>
        <w:pStyle w:val="Heading2"/>
      </w:pPr>
      <w:r>
        <w:t>3.3 Derived variables and why they matter</w:t>
      </w:r>
    </w:p>
    <w:tbl>
      <w:tblPr>
        <w:tblStyle w:val="TableGrid"/>
        <w:tblW w:w="0" w:type="auto"/>
        <w:tblLook w:val="04A0" w:firstRow="1" w:lastRow="0" w:firstColumn="1" w:lastColumn="0" w:noHBand="0" w:noVBand="1"/>
      </w:tblPr>
      <w:tblGrid>
        <w:gridCol w:w="1799"/>
        <w:gridCol w:w="4027"/>
        <w:gridCol w:w="3524"/>
      </w:tblGrid>
      <w:tr w:rsidR="0001617E" w14:paraId="5866A803" w14:textId="77777777">
        <w:tc>
          <w:tcPr>
            <w:tcW w:w="1800" w:type="dxa"/>
            <w:shd w:val="clear" w:color="auto" w:fill="D9D9D9"/>
            <w:tcMar>
              <w:top w:w="80" w:type="dxa"/>
              <w:left w:w="100" w:type="dxa"/>
              <w:bottom w:w="80" w:type="dxa"/>
              <w:right w:w="100" w:type="dxa"/>
            </w:tcMar>
            <w:vAlign w:val="center"/>
          </w:tcPr>
          <w:p w14:paraId="77B989C6" w14:textId="77777777" w:rsidR="0001617E" w:rsidRDefault="00B35299">
            <w:pPr>
              <w:spacing w:after="0" w:line="240" w:lineRule="auto"/>
            </w:pPr>
            <w:r>
              <w:rPr>
                <w:b/>
                <w:sz w:val="20"/>
              </w:rPr>
              <w:t>Derived measure</w:t>
            </w:r>
          </w:p>
        </w:tc>
        <w:tc>
          <w:tcPr>
            <w:tcW w:w="4032" w:type="dxa"/>
            <w:shd w:val="clear" w:color="auto" w:fill="D9D9D9"/>
            <w:tcMar>
              <w:top w:w="80" w:type="dxa"/>
              <w:left w:w="100" w:type="dxa"/>
              <w:bottom w:w="80" w:type="dxa"/>
              <w:right w:w="100" w:type="dxa"/>
            </w:tcMar>
            <w:vAlign w:val="center"/>
          </w:tcPr>
          <w:p w14:paraId="23E75E54" w14:textId="77777777" w:rsidR="0001617E" w:rsidRDefault="00B35299">
            <w:pPr>
              <w:spacing w:after="0" w:line="240" w:lineRule="auto"/>
            </w:pPr>
            <w:r>
              <w:rPr>
                <w:b/>
                <w:sz w:val="20"/>
              </w:rPr>
              <w:t>Definition</w:t>
            </w:r>
          </w:p>
        </w:tc>
        <w:tc>
          <w:tcPr>
            <w:tcW w:w="3528" w:type="dxa"/>
            <w:shd w:val="clear" w:color="auto" w:fill="D9D9D9"/>
            <w:tcMar>
              <w:top w:w="80" w:type="dxa"/>
              <w:left w:w="100" w:type="dxa"/>
              <w:bottom w:w="80" w:type="dxa"/>
              <w:right w:w="100" w:type="dxa"/>
            </w:tcMar>
            <w:vAlign w:val="center"/>
          </w:tcPr>
          <w:p w14:paraId="7E1A777B" w14:textId="77777777" w:rsidR="0001617E" w:rsidRDefault="00B35299">
            <w:pPr>
              <w:spacing w:after="0" w:line="240" w:lineRule="auto"/>
            </w:pPr>
            <w:r>
              <w:rPr>
                <w:b/>
                <w:sz w:val="20"/>
              </w:rPr>
              <w:t>Decision supported</w:t>
            </w:r>
          </w:p>
        </w:tc>
      </w:tr>
      <w:tr w:rsidR="0001617E" w14:paraId="7148AE04" w14:textId="77777777">
        <w:tc>
          <w:tcPr>
            <w:tcW w:w="1800" w:type="dxa"/>
            <w:tcMar>
              <w:top w:w="80" w:type="dxa"/>
              <w:left w:w="100" w:type="dxa"/>
              <w:bottom w:w="80" w:type="dxa"/>
              <w:right w:w="100" w:type="dxa"/>
            </w:tcMar>
            <w:vAlign w:val="center"/>
          </w:tcPr>
          <w:p w14:paraId="75485E84" w14:textId="77777777" w:rsidR="0001617E" w:rsidRDefault="00B35299">
            <w:pPr>
              <w:spacing w:after="0" w:line="240" w:lineRule="auto"/>
            </w:pPr>
            <w:r>
              <w:rPr>
                <w:sz w:val="20"/>
              </w:rPr>
              <w:t>Delivery time</w:t>
            </w:r>
          </w:p>
        </w:tc>
        <w:tc>
          <w:tcPr>
            <w:tcW w:w="4032" w:type="dxa"/>
            <w:tcMar>
              <w:top w:w="80" w:type="dxa"/>
              <w:left w:w="100" w:type="dxa"/>
              <w:bottom w:w="80" w:type="dxa"/>
              <w:right w:w="100" w:type="dxa"/>
            </w:tcMar>
            <w:vAlign w:val="center"/>
          </w:tcPr>
          <w:p w14:paraId="745EEF94" w14:textId="77777777" w:rsidR="0001617E" w:rsidRDefault="00B35299">
            <w:pPr>
              <w:spacing w:after="0" w:line="240" w:lineRule="auto"/>
            </w:pPr>
            <w:r>
              <w:rPr>
                <w:sz w:val="20"/>
              </w:rPr>
              <w:t>Customer delivery date minus purchase timestamp.</w:t>
            </w:r>
          </w:p>
        </w:tc>
        <w:tc>
          <w:tcPr>
            <w:tcW w:w="3528" w:type="dxa"/>
            <w:tcMar>
              <w:top w:w="80" w:type="dxa"/>
              <w:left w:w="100" w:type="dxa"/>
              <w:bottom w:w="80" w:type="dxa"/>
              <w:right w:w="100" w:type="dxa"/>
            </w:tcMar>
            <w:vAlign w:val="center"/>
          </w:tcPr>
          <w:p w14:paraId="7919E3E5" w14:textId="77777777" w:rsidR="0001617E" w:rsidRDefault="00B35299">
            <w:pPr>
              <w:spacing w:after="0" w:line="240" w:lineRule="auto"/>
            </w:pPr>
            <w:r>
              <w:rPr>
                <w:sz w:val="20"/>
              </w:rPr>
              <w:t>Identifies the satisfaction threshold.</w:t>
            </w:r>
          </w:p>
        </w:tc>
      </w:tr>
      <w:tr w:rsidR="0001617E" w14:paraId="70EB245C" w14:textId="77777777">
        <w:tc>
          <w:tcPr>
            <w:tcW w:w="1800" w:type="dxa"/>
            <w:shd w:val="clear" w:color="auto" w:fill="F2F2F2"/>
            <w:tcMar>
              <w:top w:w="80" w:type="dxa"/>
              <w:left w:w="100" w:type="dxa"/>
              <w:bottom w:w="80" w:type="dxa"/>
              <w:right w:w="100" w:type="dxa"/>
            </w:tcMar>
            <w:vAlign w:val="center"/>
          </w:tcPr>
          <w:p w14:paraId="0C48C9F7" w14:textId="77777777" w:rsidR="0001617E" w:rsidRDefault="00B35299">
            <w:pPr>
              <w:spacing w:after="0" w:line="240" w:lineRule="auto"/>
            </w:pPr>
            <w:r>
              <w:rPr>
                <w:sz w:val="20"/>
              </w:rPr>
              <w:t>Late delivery</w:t>
            </w:r>
          </w:p>
        </w:tc>
        <w:tc>
          <w:tcPr>
            <w:tcW w:w="4032" w:type="dxa"/>
            <w:shd w:val="clear" w:color="auto" w:fill="F2F2F2"/>
            <w:tcMar>
              <w:top w:w="80" w:type="dxa"/>
              <w:left w:w="100" w:type="dxa"/>
              <w:bottom w:w="80" w:type="dxa"/>
              <w:right w:w="100" w:type="dxa"/>
            </w:tcMar>
            <w:vAlign w:val="center"/>
          </w:tcPr>
          <w:p w14:paraId="5F78BB9B" w14:textId="77777777" w:rsidR="0001617E" w:rsidRDefault="00B35299">
            <w:pPr>
              <w:spacing w:after="0" w:line="240" w:lineRule="auto"/>
            </w:pPr>
            <w:r>
              <w:rPr>
                <w:sz w:val="20"/>
              </w:rPr>
              <w:t>Actual delivery later than estimated delivery date.</w:t>
            </w:r>
          </w:p>
        </w:tc>
        <w:tc>
          <w:tcPr>
            <w:tcW w:w="3528" w:type="dxa"/>
            <w:shd w:val="clear" w:color="auto" w:fill="F2F2F2"/>
            <w:tcMar>
              <w:top w:w="80" w:type="dxa"/>
              <w:left w:w="100" w:type="dxa"/>
              <w:bottom w:w="80" w:type="dxa"/>
              <w:right w:w="100" w:type="dxa"/>
            </w:tcMar>
            <w:vAlign w:val="center"/>
          </w:tcPr>
          <w:p w14:paraId="35C20FF6" w14:textId="77777777" w:rsidR="0001617E" w:rsidRDefault="00B35299">
            <w:pPr>
              <w:spacing w:after="0" w:line="240" w:lineRule="auto"/>
            </w:pPr>
            <w:r>
              <w:rPr>
                <w:sz w:val="20"/>
              </w:rPr>
              <w:t>Measures promise reliability.</w:t>
            </w:r>
          </w:p>
        </w:tc>
      </w:tr>
      <w:tr w:rsidR="0001617E" w14:paraId="426B7830" w14:textId="77777777">
        <w:tc>
          <w:tcPr>
            <w:tcW w:w="1800" w:type="dxa"/>
            <w:tcMar>
              <w:top w:w="80" w:type="dxa"/>
              <w:left w:w="100" w:type="dxa"/>
              <w:bottom w:w="80" w:type="dxa"/>
              <w:right w:w="100" w:type="dxa"/>
            </w:tcMar>
            <w:vAlign w:val="center"/>
          </w:tcPr>
          <w:p w14:paraId="07DECF04" w14:textId="77777777" w:rsidR="0001617E" w:rsidRDefault="00B35299">
            <w:pPr>
              <w:spacing w:after="0" w:line="240" w:lineRule="auto"/>
            </w:pPr>
            <w:r>
              <w:rPr>
                <w:sz w:val="20"/>
              </w:rPr>
              <w:t>Seller handling</w:t>
            </w:r>
          </w:p>
        </w:tc>
        <w:tc>
          <w:tcPr>
            <w:tcW w:w="4032" w:type="dxa"/>
            <w:tcMar>
              <w:top w:w="80" w:type="dxa"/>
              <w:left w:w="100" w:type="dxa"/>
              <w:bottom w:w="80" w:type="dxa"/>
              <w:right w:w="100" w:type="dxa"/>
            </w:tcMar>
            <w:vAlign w:val="center"/>
          </w:tcPr>
          <w:p w14:paraId="09B88E05" w14:textId="77777777" w:rsidR="0001617E" w:rsidRDefault="00B35299">
            <w:pPr>
              <w:spacing w:after="0" w:line="240" w:lineRule="auto"/>
            </w:pPr>
            <w:r>
              <w:rPr>
                <w:sz w:val="20"/>
              </w:rPr>
              <w:t>Carrier handoff minus approval date.</w:t>
            </w:r>
          </w:p>
        </w:tc>
        <w:tc>
          <w:tcPr>
            <w:tcW w:w="3528" w:type="dxa"/>
            <w:tcMar>
              <w:top w:w="80" w:type="dxa"/>
              <w:left w:w="100" w:type="dxa"/>
              <w:bottom w:w="80" w:type="dxa"/>
              <w:right w:w="100" w:type="dxa"/>
            </w:tcMar>
            <w:vAlign w:val="center"/>
          </w:tcPr>
          <w:p w14:paraId="082D06D3" w14:textId="77777777" w:rsidR="0001617E" w:rsidRDefault="00B35299">
            <w:pPr>
              <w:spacing w:after="0" w:line="240" w:lineRule="auto"/>
            </w:pPr>
            <w:r>
              <w:rPr>
                <w:sz w:val="20"/>
              </w:rPr>
              <w:t>Separates merchant-stage delay.</w:t>
            </w:r>
          </w:p>
        </w:tc>
      </w:tr>
      <w:tr w:rsidR="0001617E" w14:paraId="08AC03AE" w14:textId="77777777">
        <w:tc>
          <w:tcPr>
            <w:tcW w:w="1800" w:type="dxa"/>
            <w:shd w:val="clear" w:color="auto" w:fill="F2F2F2"/>
            <w:tcMar>
              <w:top w:w="80" w:type="dxa"/>
              <w:left w:w="100" w:type="dxa"/>
              <w:bottom w:w="80" w:type="dxa"/>
              <w:right w:w="100" w:type="dxa"/>
            </w:tcMar>
            <w:vAlign w:val="center"/>
          </w:tcPr>
          <w:p w14:paraId="2FEE915F" w14:textId="77777777" w:rsidR="0001617E" w:rsidRDefault="00B35299">
            <w:pPr>
              <w:spacing w:after="0" w:line="240" w:lineRule="auto"/>
            </w:pPr>
            <w:r>
              <w:rPr>
                <w:sz w:val="20"/>
              </w:rPr>
              <w:t>Carrier transit</w:t>
            </w:r>
          </w:p>
        </w:tc>
        <w:tc>
          <w:tcPr>
            <w:tcW w:w="4032" w:type="dxa"/>
            <w:shd w:val="clear" w:color="auto" w:fill="F2F2F2"/>
            <w:tcMar>
              <w:top w:w="80" w:type="dxa"/>
              <w:left w:w="100" w:type="dxa"/>
              <w:bottom w:w="80" w:type="dxa"/>
              <w:right w:w="100" w:type="dxa"/>
            </w:tcMar>
            <w:vAlign w:val="center"/>
          </w:tcPr>
          <w:p w14:paraId="6E4BAB5F" w14:textId="77777777" w:rsidR="0001617E" w:rsidRDefault="00B35299">
            <w:pPr>
              <w:spacing w:after="0" w:line="240" w:lineRule="auto"/>
            </w:pPr>
            <w:r>
              <w:rPr>
                <w:sz w:val="20"/>
              </w:rPr>
              <w:t>Customer delivery minus carrier handoff.</w:t>
            </w:r>
          </w:p>
        </w:tc>
        <w:tc>
          <w:tcPr>
            <w:tcW w:w="3528" w:type="dxa"/>
            <w:shd w:val="clear" w:color="auto" w:fill="F2F2F2"/>
            <w:tcMar>
              <w:top w:w="80" w:type="dxa"/>
              <w:left w:w="100" w:type="dxa"/>
              <w:bottom w:w="80" w:type="dxa"/>
              <w:right w:w="100" w:type="dxa"/>
            </w:tcMar>
            <w:vAlign w:val="center"/>
          </w:tcPr>
          <w:p w14:paraId="67FA4EC0" w14:textId="77777777" w:rsidR="0001617E" w:rsidRDefault="00B35299">
            <w:pPr>
              <w:spacing w:after="0" w:line="240" w:lineRule="auto"/>
            </w:pPr>
            <w:r>
              <w:rPr>
                <w:sz w:val="20"/>
              </w:rPr>
              <w:t>Separates transport-stage delay.</w:t>
            </w:r>
          </w:p>
        </w:tc>
      </w:tr>
      <w:tr w:rsidR="0001617E" w14:paraId="6905B958" w14:textId="77777777">
        <w:tc>
          <w:tcPr>
            <w:tcW w:w="1800" w:type="dxa"/>
            <w:tcMar>
              <w:top w:w="80" w:type="dxa"/>
              <w:left w:w="100" w:type="dxa"/>
              <w:bottom w:w="80" w:type="dxa"/>
              <w:right w:w="100" w:type="dxa"/>
            </w:tcMar>
            <w:vAlign w:val="center"/>
          </w:tcPr>
          <w:p w14:paraId="4A15DB37" w14:textId="77777777" w:rsidR="0001617E" w:rsidRDefault="00B35299">
            <w:pPr>
              <w:spacing w:after="0" w:line="240" w:lineRule="auto"/>
            </w:pPr>
            <w:r>
              <w:rPr>
                <w:sz w:val="20"/>
              </w:rPr>
              <w:t>Distinct sellers</w:t>
            </w:r>
          </w:p>
        </w:tc>
        <w:tc>
          <w:tcPr>
            <w:tcW w:w="4032" w:type="dxa"/>
            <w:tcMar>
              <w:top w:w="80" w:type="dxa"/>
              <w:left w:w="100" w:type="dxa"/>
              <w:bottom w:w="80" w:type="dxa"/>
              <w:right w:w="100" w:type="dxa"/>
            </w:tcMar>
            <w:vAlign w:val="center"/>
          </w:tcPr>
          <w:p w14:paraId="43879EE1" w14:textId="77777777" w:rsidR="0001617E" w:rsidRDefault="00B35299">
            <w:pPr>
              <w:spacing w:after="0" w:line="240" w:lineRule="auto"/>
            </w:pPr>
            <w:r>
              <w:rPr>
                <w:sz w:val="20"/>
              </w:rPr>
              <w:t>Number of sellers represented in an order.</w:t>
            </w:r>
          </w:p>
        </w:tc>
        <w:tc>
          <w:tcPr>
            <w:tcW w:w="3528" w:type="dxa"/>
            <w:tcMar>
              <w:top w:w="80" w:type="dxa"/>
              <w:left w:w="100" w:type="dxa"/>
              <w:bottom w:w="80" w:type="dxa"/>
              <w:right w:w="100" w:type="dxa"/>
            </w:tcMar>
            <w:vAlign w:val="center"/>
          </w:tcPr>
          <w:p w14:paraId="44E6E5AB" w14:textId="77777777" w:rsidR="0001617E" w:rsidRDefault="00B35299">
            <w:pPr>
              <w:spacing w:after="0" w:line="240" w:lineRule="auto"/>
            </w:pPr>
            <w:r>
              <w:rPr>
                <w:sz w:val="20"/>
              </w:rPr>
              <w:t>Measures split-fulfilment complexity.</w:t>
            </w:r>
          </w:p>
        </w:tc>
      </w:tr>
      <w:tr w:rsidR="0001617E" w14:paraId="081F6262" w14:textId="77777777">
        <w:tc>
          <w:tcPr>
            <w:tcW w:w="1800" w:type="dxa"/>
            <w:shd w:val="clear" w:color="auto" w:fill="F2F2F2"/>
            <w:tcMar>
              <w:top w:w="80" w:type="dxa"/>
              <w:left w:w="100" w:type="dxa"/>
              <w:bottom w:w="80" w:type="dxa"/>
              <w:right w:w="100" w:type="dxa"/>
            </w:tcMar>
            <w:vAlign w:val="center"/>
          </w:tcPr>
          <w:p w14:paraId="1BA45836" w14:textId="77777777" w:rsidR="0001617E" w:rsidRDefault="00B35299">
            <w:pPr>
              <w:spacing w:after="0" w:line="240" w:lineRule="auto"/>
            </w:pPr>
            <w:r>
              <w:rPr>
                <w:sz w:val="20"/>
              </w:rPr>
              <w:t>Seller risk</w:t>
            </w:r>
          </w:p>
        </w:tc>
        <w:tc>
          <w:tcPr>
            <w:tcW w:w="4032" w:type="dxa"/>
            <w:shd w:val="clear" w:color="auto" w:fill="F2F2F2"/>
            <w:tcMar>
              <w:top w:w="80" w:type="dxa"/>
              <w:left w:w="100" w:type="dxa"/>
              <w:bottom w:w="80" w:type="dxa"/>
              <w:right w:w="100" w:type="dxa"/>
            </w:tcMar>
            <w:vAlign w:val="center"/>
          </w:tcPr>
          <w:p w14:paraId="0AD8D108" w14:textId="77777777" w:rsidR="0001617E" w:rsidRDefault="00B35299">
            <w:pPr>
              <w:spacing w:after="0" w:line="240" w:lineRule="auto"/>
            </w:pPr>
            <w:r>
              <w:rPr>
                <w:sz w:val="20"/>
              </w:rPr>
              <w:t>Seller-level order-value proxy, average score and late rate.</w:t>
            </w:r>
          </w:p>
        </w:tc>
        <w:tc>
          <w:tcPr>
            <w:tcW w:w="3528" w:type="dxa"/>
            <w:shd w:val="clear" w:color="auto" w:fill="F2F2F2"/>
            <w:tcMar>
              <w:top w:w="80" w:type="dxa"/>
              <w:left w:w="100" w:type="dxa"/>
              <w:bottom w:w="80" w:type="dxa"/>
              <w:right w:w="100" w:type="dxa"/>
            </w:tcMar>
            <w:vAlign w:val="center"/>
          </w:tcPr>
          <w:p w14:paraId="3AD7E956" w14:textId="77777777" w:rsidR="0001617E" w:rsidRDefault="00B35299">
            <w:pPr>
              <w:spacing w:after="0" w:line="240" w:lineRule="auto"/>
            </w:pPr>
            <w:r>
              <w:rPr>
                <w:sz w:val="20"/>
              </w:rPr>
              <w:t>Targets high-value remediation.</w:t>
            </w:r>
          </w:p>
        </w:tc>
      </w:tr>
    </w:tbl>
    <w:p w14:paraId="370E10C9" w14:textId="77777777" w:rsidR="0001617E" w:rsidRDefault="0001617E">
      <w:pPr>
        <w:spacing w:after="20"/>
      </w:pPr>
    </w:p>
    <w:p w14:paraId="31A6B7ED" w14:textId="77777777" w:rsidR="0001617E" w:rsidRDefault="00B35299">
      <w:pPr>
        <w:pStyle w:val="Heading1"/>
      </w:pPr>
      <w:r>
        <w:t>4 Findings and visual evidence</w:t>
      </w:r>
    </w:p>
    <w:p w14:paraId="63EACED2" w14:textId="77777777" w:rsidR="0001617E" w:rsidRDefault="00B35299">
      <w:pPr>
        <w:pStyle w:val="Heading2"/>
      </w:pPr>
      <w:r>
        <w:t>4.1 Delivery time is the dominant satisfaction signal</w:t>
      </w:r>
    </w:p>
    <w:p w14:paraId="420D3252" w14:textId="77777777" w:rsidR="0001617E" w:rsidRDefault="00B35299">
      <w:r>
        <w:t>Delivery duration has a clear non-linear relationship with satisfaction. Ratings remain above four stars through 15 days, worsen after 16 days, and collapse in the 25+ day group. The business implication is to prevent the extreme tail, not to spend resources shaving small increments from already fast deliveries.</w:t>
      </w:r>
    </w:p>
    <w:p w14:paraId="0F503A13" w14:textId="77777777" w:rsidR="0001617E" w:rsidRDefault="00B35299">
      <w:pPr>
        <w:jc w:val="center"/>
      </w:pPr>
      <w:r>
        <w:rPr>
          <w:noProof/>
        </w:rPr>
        <w:lastRenderedPageBreak/>
        <w:drawing>
          <wp:inline distT="0" distB="0" distL="0" distR="0" wp14:anchorId="5A261E1F" wp14:editId="035E66E7">
            <wp:extent cx="5440680" cy="3627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png"/>
                    <pic:cNvPicPr/>
                  </pic:nvPicPr>
                  <pic:blipFill>
                    <a:blip r:embed="rId9"/>
                    <a:stretch>
                      <a:fillRect/>
                    </a:stretch>
                  </pic:blipFill>
                  <pic:spPr>
                    <a:xfrm>
                      <a:off x="0" y="0"/>
                      <a:ext cx="5440680" cy="3627120"/>
                    </a:xfrm>
                    <a:prstGeom prst="rect">
                      <a:avLst/>
                    </a:prstGeom>
                  </pic:spPr>
                </pic:pic>
              </a:graphicData>
            </a:graphic>
          </wp:inline>
        </w:drawing>
      </w:r>
    </w:p>
    <w:p w14:paraId="13D0ACEB" w14:textId="77777777" w:rsidR="0001617E" w:rsidRDefault="00B35299">
      <w:pPr>
        <w:spacing w:after="80"/>
        <w:jc w:val="center"/>
      </w:pPr>
      <w:r>
        <w:rPr>
          <w:i/>
          <w:sz w:val="20"/>
        </w:rPr>
        <w:t>Figure 1. Average review score and one-star share by delivery-time bucket.</w:t>
      </w:r>
    </w:p>
    <w:p w14:paraId="478667D2" w14:textId="77777777" w:rsidR="0001617E" w:rsidRDefault="00B35299">
      <w:r>
        <w:t>Orders delivered in 25+ days average 2.61 stars and have a 43.6% one-star share, compared with high ratings in the 0-15 day bands.</w:t>
      </w:r>
    </w:p>
    <w:p w14:paraId="0A49C2D4" w14:textId="77777777" w:rsidR="0001617E" w:rsidRDefault="00B35299">
      <w:pPr>
        <w:jc w:val="center"/>
      </w:pPr>
      <w:r>
        <w:rPr>
          <w:noProof/>
        </w:rPr>
        <w:lastRenderedPageBreak/>
        <w:drawing>
          <wp:inline distT="0" distB="0" distL="0" distR="0" wp14:anchorId="579E6503" wp14:editId="72960DA9">
            <wp:extent cx="5440680" cy="4352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png"/>
                    <pic:cNvPicPr/>
                  </pic:nvPicPr>
                  <pic:blipFill>
                    <a:blip r:embed="rId10"/>
                    <a:stretch>
                      <a:fillRect/>
                    </a:stretch>
                  </pic:blipFill>
                  <pic:spPr>
                    <a:xfrm>
                      <a:off x="0" y="0"/>
                      <a:ext cx="5440680" cy="4352544"/>
                    </a:xfrm>
                    <a:prstGeom prst="rect">
                      <a:avLst/>
                    </a:prstGeom>
                  </pic:spPr>
                </pic:pic>
              </a:graphicData>
            </a:graphic>
          </wp:inline>
        </w:drawing>
      </w:r>
    </w:p>
    <w:p w14:paraId="4AC3E2D5" w14:textId="77777777" w:rsidR="0001617E" w:rsidRDefault="00B35299">
      <w:pPr>
        <w:spacing w:after="80"/>
        <w:jc w:val="center"/>
      </w:pPr>
      <w:r>
        <w:rPr>
          <w:i/>
          <w:sz w:val="20"/>
        </w:rPr>
        <w:t>Figure 2. Late delivery versus review score.</w:t>
      </w:r>
    </w:p>
    <w:p w14:paraId="57E1D879" w14:textId="77777777" w:rsidR="0001617E" w:rsidRDefault="00B35299">
      <w:r>
        <w:t>On-time orders average 4.23 stars; late orders average 2.27. The 1.96-star gap makes promise reliability a central management KPI.</w:t>
      </w:r>
    </w:p>
    <w:p w14:paraId="0E3A84A9" w14:textId="77777777" w:rsidR="0001617E" w:rsidRDefault="00B35299">
      <w:pPr>
        <w:pStyle w:val="Heading2"/>
      </w:pPr>
      <w:r>
        <w:t>4.2 Carrier transit is the primary operational bottleneck</w:t>
      </w:r>
    </w:p>
    <w:p w14:paraId="75FFEDAE" w14:textId="77777777" w:rsidR="0001617E" w:rsidRDefault="00B35299">
      <w:r>
        <w:t>Decomposing the fulfilment journey avoids blaming sellers for delays that occur after carrier handoff. Carrier transit shows a stronger negative association with review score than seller handling. Its average duration is 8.9 days, compared with 2.3 days for seller handling, and satisfaction degrades more sharply as transit length increases.</w:t>
      </w:r>
    </w:p>
    <w:p w14:paraId="764E2571" w14:textId="77777777" w:rsidR="0001617E" w:rsidRDefault="00B35299">
      <w:pPr>
        <w:jc w:val="center"/>
      </w:pPr>
      <w:r>
        <w:rPr>
          <w:noProof/>
        </w:rPr>
        <w:lastRenderedPageBreak/>
        <w:drawing>
          <wp:inline distT="0" distB="0" distL="0" distR="0" wp14:anchorId="019709FA" wp14:editId="1A667FC8">
            <wp:extent cx="5440680" cy="2418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png"/>
                    <pic:cNvPicPr/>
                  </pic:nvPicPr>
                  <pic:blipFill>
                    <a:blip r:embed="rId11"/>
                    <a:stretch>
                      <a:fillRect/>
                    </a:stretch>
                  </pic:blipFill>
                  <pic:spPr>
                    <a:xfrm>
                      <a:off x="0" y="0"/>
                      <a:ext cx="5440680" cy="2418080"/>
                    </a:xfrm>
                    <a:prstGeom prst="rect">
                      <a:avLst/>
                    </a:prstGeom>
                  </pic:spPr>
                </pic:pic>
              </a:graphicData>
            </a:graphic>
          </wp:inline>
        </w:drawing>
      </w:r>
    </w:p>
    <w:p w14:paraId="2EFF5C5C" w14:textId="77777777" w:rsidR="0001617E" w:rsidRDefault="00B35299">
      <w:pPr>
        <w:spacing w:after="80"/>
        <w:jc w:val="center"/>
      </w:pPr>
      <w:r>
        <w:rPr>
          <w:i/>
          <w:sz w:val="20"/>
        </w:rPr>
        <w:t>Figure 3. Seller handling and carrier transit delay versus review score.</w:t>
      </w:r>
    </w:p>
    <w:p w14:paraId="1586F617" w14:textId="77777777" w:rsidR="0001617E" w:rsidRDefault="00B35299">
      <w:r>
        <w:t>The sharper carrier-transit decline assigns the first operational owner to carrier routing, handoffs and exception management.</w:t>
      </w:r>
    </w:p>
    <w:p w14:paraId="759B7A76" w14:textId="77777777" w:rsidR="0001617E" w:rsidRDefault="00B35299">
      <w:pPr>
        <w:pStyle w:val="Heading2"/>
      </w:pPr>
      <w:r>
        <w:t>4.3 Split fulfilment creates a separate complexity penalty</w:t>
      </w:r>
    </w:p>
    <w:p w14:paraId="68B60437" w14:textId="77777777" w:rsidR="0001617E" w:rsidRDefault="00B35299">
      <w:r>
        <w:t>Order size alone is not the main issue. When an order is supplied by more than one seller, customers may receive several packages and experience fragmented tracking. One-seller orders average 4.12 stars, while two-seller orders drop to 2.88 stars; three and four-plus seller orders are lower still.</w:t>
      </w:r>
    </w:p>
    <w:p w14:paraId="29CC9BDB" w14:textId="77777777" w:rsidR="0001617E" w:rsidRDefault="00B35299">
      <w:pPr>
        <w:jc w:val="center"/>
      </w:pPr>
      <w:r>
        <w:rPr>
          <w:noProof/>
        </w:rPr>
        <w:drawing>
          <wp:inline distT="0" distB="0" distL="0" distR="0" wp14:anchorId="6940EBD4" wp14:editId="7AA416FD">
            <wp:extent cx="5440680" cy="3627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png"/>
                    <pic:cNvPicPr/>
                  </pic:nvPicPr>
                  <pic:blipFill>
                    <a:blip r:embed="rId12"/>
                    <a:stretch>
                      <a:fillRect/>
                    </a:stretch>
                  </pic:blipFill>
                  <pic:spPr>
                    <a:xfrm>
                      <a:off x="0" y="0"/>
                      <a:ext cx="5440680" cy="3627120"/>
                    </a:xfrm>
                    <a:prstGeom prst="rect">
                      <a:avLst/>
                    </a:prstGeom>
                  </pic:spPr>
                </pic:pic>
              </a:graphicData>
            </a:graphic>
          </wp:inline>
        </w:drawing>
      </w:r>
    </w:p>
    <w:p w14:paraId="2983ED49" w14:textId="77777777" w:rsidR="0001617E" w:rsidRDefault="00B35299">
      <w:pPr>
        <w:spacing w:after="80"/>
        <w:jc w:val="center"/>
      </w:pPr>
      <w:r>
        <w:rPr>
          <w:i/>
          <w:sz w:val="20"/>
        </w:rPr>
        <w:t>Figure 4. Average review score by distinct sellers in an order.</w:t>
      </w:r>
    </w:p>
    <w:p w14:paraId="4532E35C" w14:textId="77777777" w:rsidR="0001617E" w:rsidRDefault="00B35299">
      <w:r>
        <w:lastRenderedPageBreak/>
        <w:t>The steep drop after the first seller supports checkout disclosure and split-package tracking rather than a generic restriction on multi-item baskets.</w:t>
      </w:r>
    </w:p>
    <w:p w14:paraId="4C491218" w14:textId="77777777" w:rsidR="0001617E" w:rsidRDefault="00B35299">
      <w:pPr>
        <w:pStyle w:val="Heading2"/>
      </w:pPr>
      <w:r>
        <w:t>4.4 Regional routes and commercial concentration define where to act</w:t>
      </w:r>
    </w:p>
    <w:p w14:paraId="2A47FC1C" w14:textId="77777777" w:rsidR="0001617E" w:rsidRDefault="00B35299">
      <w:r>
        <w:t>Distance is associated with longer delivery time, and the dashboard shows that Northern and Northeastern states experience the longest delivery durations and higher late-delivery rates. Regional SLAs should therefore reflect route realities. At seller level, revenue is concentrated: the top 1% of sellers account for 26.1% of order value and the top 10% account for 67.5%. A small number of high-value, low-scoring sellers can therefore create material satisfaction and commercial risk.</w:t>
      </w:r>
    </w:p>
    <w:p w14:paraId="269F8C66" w14:textId="77777777" w:rsidR="0001617E" w:rsidRDefault="00B35299">
      <w:pPr>
        <w:jc w:val="center"/>
      </w:pPr>
      <w:r>
        <w:rPr>
          <w:noProof/>
        </w:rPr>
        <w:drawing>
          <wp:inline distT="0" distB="0" distL="0" distR="0" wp14:anchorId="0412F0E2" wp14:editId="65AFC313">
            <wp:extent cx="544068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7.png"/>
                    <pic:cNvPicPr/>
                  </pic:nvPicPr>
                  <pic:blipFill>
                    <a:blip r:embed="rId13"/>
                    <a:stretch>
                      <a:fillRect/>
                    </a:stretch>
                  </pic:blipFill>
                  <pic:spPr>
                    <a:xfrm>
                      <a:off x="0" y="0"/>
                      <a:ext cx="5440680" cy="3108960"/>
                    </a:xfrm>
                    <a:prstGeom prst="rect">
                      <a:avLst/>
                    </a:prstGeom>
                  </pic:spPr>
                </pic:pic>
              </a:graphicData>
            </a:graphic>
          </wp:inline>
        </w:drawing>
      </w:r>
    </w:p>
    <w:p w14:paraId="51D9F0CE" w14:textId="77777777" w:rsidR="0001617E" w:rsidRDefault="00B35299">
      <w:pPr>
        <w:spacing w:after="80"/>
        <w:jc w:val="center"/>
      </w:pPr>
      <w:r>
        <w:rPr>
          <w:i/>
          <w:sz w:val="20"/>
        </w:rPr>
        <w:t>Figure 5. Distance, delivery time and review score.</w:t>
      </w:r>
    </w:p>
    <w:p w14:paraId="30F8012E" w14:textId="77777777" w:rsidR="0001617E" w:rsidRDefault="00B35299">
      <w:r>
        <w:t>Distance matters mainly because it lengthens the delivery journey; it is not itself the direct management lever.</w:t>
      </w:r>
    </w:p>
    <w:p w14:paraId="3551FC3B" w14:textId="77777777" w:rsidR="0001617E" w:rsidRDefault="00B35299">
      <w:pPr>
        <w:jc w:val="center"/>
      </w:pPr>
      <w:r>
        <w:rPr>
          <w:noProof/>
        </w:rPr>
        <w:lastRenderedPageBreak/>
        <w:drawing>
          <wp:inline distT="0" distB="0" distL="0" distR="0" wp14:anchorId="22DB99DA" wp14:editId="5DAA13E4">
            <wp:extent cx="5440680" cy="362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6.png"/>
                    <pic:cNvPicPr/>
                  </pic:nvPicPr>
                  <pic:blipFill>
                    <a:blip r:embed="rId14"/>
                    <a:stretch>
                      <a:fillRect/>
                    </a:stretch>
                  </pic:blipFill>
                  <pic:spPr>
                    <a:xfrm>
                      <a:off x="0" y="0"/>
                      <a:ext cx="5440680" cy="3627120"/>
                    </a:xfrm>
                    <a:prstGeom prst="rect">
                      <a:avLst/>
                    </a:prstGeom>
                  </pic:spPr>
                </pic:pic>
              </a:graphicData>
            </a:graphic>
          </wp:inline>
        </w:drawing>
      </w:r>
    </w:p>
    <w:p w14:paraId="254637F4" w14:textId="77777777" w:rsidR="0001617E" w:rsidRDefault="00B35299">
      <w:pPr>
        <w:spacing w:after="80"/>
        <w:jc w:val="center"/>
      </w:pPr>
      <w:r>
        <w:rPr>
          <w:i/>
          <w:sz w:val="20"/>
        </w:rPr>
        <w:t>Figure 6. Cumulative seller revenue concentration.</w:t>
      </w:r>
    </w:p>
    <w:p w14:paraId="11DD6149" w14:textId="77777777" w:rsidR="0001617E" w:rsidRDefault="00B35299">
      <w:r>
        <w:t>Commercial concentration supports targeted support for high-value at-risk sellers rather than blanket seller bans.</w:t>
      </w:r>
    </w:p>
    <w:p w14:paraId="74E9F898" w14:textId="77777777" w:rsidR="0001617E" w:rsidRDefault="00B35299">
      <w:pPr>
        <w:pStyle w:val="Heading2"/>
      </w:pPr>
      <w:r>
        <w:t>4.5 Alternative explanations were examined, but do not overturn the conclusion</w:t>
      </w:r>
    </w:p>
    <w:p w14:paraId="4EF2DF92" w14:textId="77777777" w:rsidR="0001617E" w:rsidRDefault="00B35299">
      <w:r>
        <w:t>Product category, price, freight, payment type, instalments and same-state delivery were examined to avoid assuming that logistics was the answer. Some categories have lower ratings, and same-state orders are faster and slightly better rated, but these differences are materially smaller than the late-delivery and 25+ day effects. Category evidence is therefore useful for monitoring but not the first operating priority.</w:t>
      </w:r>
    </w:p>
    <w:p w14:paraId="5677C3B9" w14:textId="77777777" w:rsidR="0001617E" w:rsidRDefault="00B35299">
      <w:pPr>
        <w:jc w:val="center"/>
      </w:pPr>
      <w:r>
        <w:rPr>
          <w:noProof/>
        </w:rPr>
        <w:lastRenderedPageBreak/>
        <w:drawing>
          <wp:inline distT="0" distB="0" distL="0" distR="0" wp14:anchorId="60C9E78B" wp14:editId="3CC4B7E8">
            <wp:extent cx="5440680" cy="388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png"/>
                    <pic:cNvPicPr/>
                  </pic:nvPicPr>
                  <pic:blipFill>
                    <a:blip r:embed="rId15"/>
                    <a:stretch>
                      <a:fillRect/>
                    </a:stretch>
                  </pic:blipFill>
                  <pic:spPr>
                    <a:xfrm>
                      <a:off x="0" y="0"/>
                      <a:ext cx="5440680" cy="3886200"/>
                    </a:xfrm>
                    <a:prstGeom prst="rect">
                      <a:avLst/>
                    </a:prstGeom>
                  </pic:spPr>
                </pic:pic>
              </a:graphicData>
            </a:graphic>
          </wp:inline>
        </w:drawing>
      </w:r>
    </w:p>
    <w:p w14:paraId="4B9C6853" w14:textId="77777777" w:rsidR="0001617E" w:rsidRDefault="00B35299">
      <w:pPr>
        <w:spacing w:after="80"/>
        <w:jc w:val="center"/>
      </w:pPr>
      <w:r>
        <w:rPr>
          <w:i/>
          <w:sz w:val="20"/>
        </w:rPr>
        <w:t>Figure 7. Best and worst product categories by average review score.</w:t>
      </w:r>
    </w:p>
    <w:p w14:paraId="4A5B0301" w14:textId="77777777" w:rsidR="0001617E" w:rsidRDefault="00B35299">
      <w:r>
        <w:t>Category differences exist, but they are secondary to the large delivery and lateness gaps.</w:t>
      </w:r>
    </w:p>
    <w:p w14:paraId="208F28D0" w14:textId="77777777" w:rsidR="0001617E" w:rsidRDefault="00B35299">
      <w:pPr>
        <w:pStyle w:val="Heading1"/>
      </w:pPr>
      <w:r>
        <w:t>5 Dashboard design and chart selection</w:t>
      </w:r>
    </w:p>
    <w:p w14:paraId="2F1D792C" w14:textId="77777777" w:rsidR="0001617E" w:rsidRDefault="00B35299">
      <w:r>
        <w:t>The dashboard was designed for management action, not for displaying every available variable. Each visual answers one decision question and connects to a named operational response. The published dashboard is available in the appendix.</w:t>
      </w:r>
    </w:p>
    <w:tbl>
      <w:tblPr>
        <w:tblStyle w:val="TableGrid"/>
        <w:tblW w:w="0" w:type="auto"/>
        <w:tblLook w:val="04A0" w:firstRow="1" w:lastRow="0" w:firstColumn="1" w:lastColumn="0" w:noHBand="0" w:noVBand="1"/>
      </w:tblPr>
      <w:tblGrid>
        <w:gridCol w:w="2086"/>
        <w:gridCol w:w="3883"/>
        <w:gridCol w:w="3381"/>
      </w:tblGrid>
      <w:tr w:rsidR="0001617E" w14:paraId="06160B2A" w14:textId="77777777">
        <w:tc>
          <w:tcPr>
            <w:tcW w:w="2088" w:type="dxa"/>
            <w:shd w:val="clear" w:color="auto" w:fill="D9D9D9"/>
            <w:tcMar>
              <w:top w:w="80" w:type="dxa"/>
              <w:left w:w="100" w:type="dxa"/>
              <w:bottom w:w="80" w:type="dxa"/>
              <w:right w:w="100" w:type="dxa"/>
            </w:tcMar>
            <w:vAlign w:val="center"/>
          </w:tcPr>
          <w:p w14:paraId="18BE5D03" w14:textId="77777777" w:rsidR="0001617E" w:rsidRDefault="00B35299">
            <w:pPr>
              <w:spacing w:after="0" w:line="240" w:lineRule="auto"/>
            </w:pPr>
            <w:r>
              <w:rPr>
                <w:b/>
                <w:sz w:val="20"/>
              </w:rPr>
              <w:t>Dashboard visual</w:t>
            </w:r>
          </w:p>
        </w:tc>
        <w:tc>
          <w:tcPr>
            <w:tcW w:w="3888" w:type="dxa"/>
            <w:shd w:val="clear" w:color="auto" w:fill="D9D9D9"/>
            <w:tcMar>
              <w:top w:w="80" w:type="dxa"/>
              <w:left w:w="100" w:type="dxa"/>
              <w:bottom w:w="80" w:type="dxa"/>
              <w:right w:w="100" w:type="dxa"/>
            </w:tcMar>
            <w:vAlign w:val="center"/>
          </w:tcPr>
          <w:p w14:paraId="5A02EF44" w14:textId="77777777" w:rsidR="0001617E" w:rsidRDefault="00B35299">
            <w:pPr>
              <w:spacing w:after="0" w:line="240" w:lineRule="auto"/>
            </w:pPr>
            <w:r>
              <w:rPr>
                <w:b/>
                <w:sz w:val="20"/>
              </w:rPr>
              <w:t>Why this chart type</w:t>
            </w:r>
          </w:p>
        </w:tc>
        <w:tc>
          <w:tcPr>
            <w:tcW w:w="3384" w:type="dxa"/>
            <w:shd w:val="clear" w:color="auto" w:fill="D9D9D9"/>
            <w:tcMar>
              <w:top w:w="80" w:type="dxa"/>
              <w:left w:w="100" w:type="dxa"/>
              <w:bottom w:w="80" w:type="dxa"/>
              <w:right w:w="100" w:type="dxa"/>
            </w:tcMar>
            <w:vAlign w:val="center"/>
          </w:tcPr>
          <w:p w14:paraId="3DA1DFDE" w14:textId="77777777" w:rsidR="0001617E" w:rsidRDefault="00B35299">
            <w:pPr>
              <w:spacing w:after="0" w:line="240" w:lineRule="auto"/>
            </w:pPr>
            <w:r>
              <w:rPr>
                <w:b/>
                <w:sz w:val="20"/>
              </w:rPr>
              <w:t>Decision it supports</w:t>
            </w:r>
          </w:p>
        </w:tc>
      </w:tr>
      <w:tr w:rsidR="0001617E" w14:paraId="6EC43CCA" w14:textId="77777777">
        <w:tc>
          <w:tcPr>
            <w:tcW w:w="2088" w:type="dxa"/>
            <w:tcMar>
              <w:top w:w="80" w:type="dxa"/>
              <w:left w:w="100" w:type="dxa"/>
              <w:bottom w:w="80" w:type="dxa"/>
              <w:right w:w="100" w:type="dxa"/>
            </w:tcMar>
            <w:vAlign w:val="center"/>
          </w:tcPr>
          <w:p w14:paraId="16B6F0A0" w14:textId="77777777" w:rsidR="0001617E" w:rsidRDefault="00B35299">
            <w:pPr>
              <w:spacing w:after="0" w:line="240" w:lineRule="auto"/>
            </w:pPr>
            <w:r>
              <w:rPr>
                <w:sz w:val="20"/>
              </w:rPr>
              <w:t>Satisfaction cliff</w:t>
            </w:r>
          </w:p>
        </w:tc>
        <w:tc>
          <w:tcPr>
            <w:tcW w:w="3888" w:type="dxa"/>
            <w:tcMar>
              <w:top w:w="80" w:type="dxa"/>
              <w:left w:w="100" w:type="dxa"/>
              <w:bottom w:w="80" w:type="dxa"/>
              <w:right w:w="100" w:type="dxa"/>
            </w:tcMar>
            <w:vAlign w:val="center"/>
          </w:tcPr>
          <w:p w14:paraId="0339DD9B" w14:textId="77777777" w:rsidR="0001617E" w:rsidRDefault="00B35299">
            <w:pPr>
              <w:spacing w:after="0" w:line="240" w:lineRule="auto"/>
            </w:pPr>
            <w:r>
              <w:rPr>
                <w:sz w:val="20"/>
              </w:rPr>
              <w:t>Grouped bars show rating and one-star share by delivery band.</w:t>
            </w:r>
          </w:p>
        </w:tc>
        <w:tc>
          <w:tcPr>
            <w:tcW w:w="3384" w:type="dxa"/>
            <w:tcMar>
              <w:top w:w="80" w:type="dxa"/>
              <w:left w:w="100" w:type="dxa"/>
              <w:bottom w:w="80" w:type="dxa"/>
              <w:right w:w="100" w:type="dxa"/>
            </w:tcMar>
            <w:vAlign w:val="center"/>
          </w:tcPr>
          <w:p w14:paraId="5DF72E9E" w14:textId="77777777" w:rsidR="0001617E" w:rsidRDefault="00B35299">
            <w:pPr>
              <w:spacing w:after="0" w:line="240" w:lineRule="auto"/>
            </w:pPr>
            <w:r>
              <w:rPr>
                <w:sz w:val="20"/>
              </w:rPr>
              <w:t>Prioritise the 25+ day tail.</w:t>
            </w:r>
          </w:p>
        </w:tc>
      </w:tr>
      <w:tr w:rsidR="0001617E" w14:paraId="3C56445F" w14:textId="77777777">
        <w:tc>
          <w:tcPr>
            <w:tcW w:w="2088" w:type="dxa"/>
            <w:shd w:val="clear" w:color="auto" w:fill="F2F2F2"/>
            <w:tcMar>
              <w:top w:w="80" w:type="dxa"/>
              <w:left w:w="100" w:type="dxa"/>
              <w:bottom w:w="80" w:type="dxa"/>
              <w:right w:w="100" w:type="dxa"/>
            </w:tcMar>
            <w:vAlign w:val="center"/>
          </w:tcPr>
          <w:p w14:paraId="795CF69C" w14:textId="77777777" w:rsidR="0001617E" w:rsidRDefault="00B35299">
            <w:pPr>
              <w:spacing w:after="0" w:line="240" w:lineRule="auto"/>
            </w:pPr>
            <w:r>
              <w:rPr>
                <w:sz w:val="20"/>
              </w:rPr>
              <w:t>Seller versus carrier</w:t>
            </w:r>
          </w:p>
        </w:tc>
        <w:tc>
          <w:tcPr>
            <w:tcW w:w="3888" w:type="dxa"/>
            <w:shd w:val="clear" w:color="auto" w:fill="F2F2F2"/>
            <w:tcMar>
              <w:top w:w="80" w:type="dxa"/>
              <w:left w:w="100" w:type="dxa"/>
              <w:bottom w:w="80" w:type="dxa"/>
              <w:right w:w="100" w:type="dxa"/>
            </w:tcMar>
            <w:vAlign w:val="center"/>
          </w:tcPr>
          <w:p w14:paraId="7E6DA7CB" w14:textId="77777777" w:rsidR="0001617E" w:rsidRDefault="00B35299">
            <w:pPr>
              <w:spacing w:after="0" w:line="240" w:lineRule="auto"/>
            </w:pPr>
            <w:r>
              <w:rPr>
                <w:sz w:val="20"/>
              </w:rPr>
              <w:t>Grouped bars compare two fulfilment stages across delay bands.</w:t>
            </w:r>
          </w:p>
        </w:tc>
        <w:tc>
          <w:tcPr>
            <w:tcW w:w="3384" w:type="dxa"/>
            <w:shd w:val="clear" w:color="auto" w:fill="F2F2F2"/>
            <w:tcMar>
              <w:top w:w="80" w:type="dxa"/>
              <w:left w:w="100" w:type="dxa"/>
              <w:bottom w:w="80" w:type="dxa"/>
              <w:right w:w="100" w:type="dxa"/>
            </w:tcMar>
            <w:vAlign w:val="center"/>
          </w:tcPr>
          <w:p w14:paraId="4FCB10F4" w14:textId="77777777" w:rsidR="0001617E" w:rsidRDefault="00B35299">
            <w:pPr>
              <w:spacing w:after="0" w:line="240" w:lineRule="auto"/>
            </w:pPr>
            <w:r>
              <w:rPr>
                <w:sz w:val="20"/>
              </w:rPr>
              <w:t>Assign ownership to carrier operations.</w:t>
            </w:r>
          </w:p>
        </w:tc>
      </w:tr>
      <w:tr w:rsidR="0001617E" w14:paraId="141096D4" w14:textId="77777777">
        <w:tc>
          <w:tcPr>
            <w:tcW w:w="2088" w:type="dxa"/>
            <w:tcMar>
              <w:top w:w="80" w:type="dxa"/>
              <w:left w:w="100" w:type="dxa"/>
              <w:bottom w:w="80" w:type="dxa"/>
              <w:right w:w="100" w:type="dxa"/>
            </w:tcMar>
            <w:vAlign w:val="center"/>
          </w:tcPr>
          <w:p w14:paraId="5489C149" w14:textId="77777777" w:rsidR="0001617E" w:rsidRDefault="00B35299">
            <w:pPr>
              <w:spacing w:after="0" w:line="240" w:lineRule="auto"/>
            </w:pPr>
            <w:r>
              <w:rPr>
                <w:sz w:val="20"/>
              </w:rPr>
              <w:t>Seller risk quadrant</w:t>
            </w:r>
          </w:p>
        </w:tc>
        <w:tc>
          <w:tcPr>
            <w:tcW w:w="3888" w:type="dxa"/>
            <w:tcMar>
              <w:top w:w="80" w:type="dxa"/>
              <w:left w:w="100" w:type="dxa"/>
              <w:bottom w:w="80" w:type="dxa"/>
              <w:right w:w="100" w:type="dxa"/>
            </w:tcMar>
            <w:vAlign w:val="center"/>
          </w:tcPr>
          <w:p w14:paraId="43C8E004" w14:textId="77777777" w:rsidR="0001617E" w:rsidRDefault="00B35299">
            <w:pPr>
              <w:spacing w:after="0" w:line="240" w:lineRule="auto"/>
            </w:pPr>
            <w:r>
              <w:rPr>
                <w:sz w:val="20"/>
              </w:rPr>
              <w:t>Scatter plot reveals revenue-score trade-offs and outliers.</w:t>
            </w:r>
          </w:p>
        </w:tc>
        <w:tc>
          <w:tcPr>
            <w:tcW w:w="3384" w:type="dxa"/>
            <w:tcMar>
              <w:top w:w="80" w:type="dxa"/>
              <w:left w:w="100" w:type="dxa"/>
              <w:bottom w:w="80" w:type="dxa"/>
              <w:right w:w="100" w:type="dxa"/>
            </w:tcMar>
            <w:vAlign w:val="center"/>
          </w:tcPr>
          <w:p w14:paraId="0C46D2C5" w14:textId="77777777" w:rsidR="0001617E" w:rsidRDefault="00B35299">
            <w:pPr>
              <w:spacing w:after="0" w:line="240" w:lineRule="auto"/>
            </w:pPr>
            <w:r>
              <w:rPr>
                <w:sz w:val="20"/>
              </w:rPr>
              <w:t>Target high-value low-score sellers.</w:t>
            </w:r>
          </w:p>
        </w:tc>
      </w:tr>
      <w:tr w:rsidR="0001617E" w14:paraId="6B46D117" w14:textId="77777777">
        <w:tc>
          <w:tcPr>
            <w:tcW w:w="2088" w:type="dxa"/>
            <w:shd w:val="clear" w:color="auto" w:fill="F2F2F2"/>
            <w:tcMar>
              <w:top w:w="80" w:type="dxa"/>
              <w:left w:w="100" w:type="dxa"/>
              <w:bottom w:w="80" w:type="dxa"/>
              <w:right w:w="100" w:type="dxa"/>
            </w:tcMar>
            <w:vAlign w:val="center"/>
          </w:tcPr>
          <w:p w14:paraId="5B76EC86" w14:textId="77777777" w:rsidR="0001617E" w:rsidRDefault="00B35299">
            <w:pPr>
              <w:spacing w:after="0" w:line="240" w:lineRule="auto"/>
            </w:pPr>
            <w:r>
              <w:rPr>
                <w:sz w:val="20"/>
              </w:rPr>
              <w:t>Logistics complexity</w:t>
            </w:r>
          </w:p>
        </w:tc>
        <w:tc>
          <w:tcPr>
            <w:tcW w:w="3888" w:type="dxa"/>
            <w:shd w:val="clear" w:color="auto" w:fill="F2F2F2"/>
            <w:tcMar>
              <w:top w:w="80" w:type="dxa"/>
              <w:left w:w="100" w:type="dxa"/>
              <w:bottom w:w="80" w:type="dxa"/>
              <w:right w:w="100" w:type="dxa"/>
            </w:tcMar>
            <w:vAlign w:val="center"/>
          </w:tcPr>
          <w:p w14:paraId="7C5CC2A4" w14:textId="77777777" w:rsidR="0001617E" w:rsidRDefault="00B35299">
            <w:pPr>
              <w:spacing w:after="0" w:line="240" w:lineRule="auto"/>
            </w:pPr>
            <w:r>
              <w:rPr>
                <w:sz w:val="20"/>
              </w:rPr>
              <w:t>Bar chart makes the seller-count penalty immediately visible.</w:t>
            </w:r>
          </w:p>
        </w:tc>
        <w:tc>
          <w:tcPr>
            <w:tcW w:w="3384" w:type="dxa"/>
            <w:shd w:val="clear" w:color="auto" w:fill="F2F2F2"/>
            <w:tcMar>
              <w:top w:w="80" w:type="dxa"/>
              <w:left w:w="100" w:type="dxa"/>
              <w:bottom w:w="80" w:type="dxa"/>
              <w:right w:w="100" w:type="dxa"/>
            </w:tcMar>
            <w:vAlign w:val="center"/>
          </w:tcPr>
          <w:p w14:paraId="0DA41859" w14:textId="77777777" w:rsidR="0001617E" w:rsidRDefault="00B35299">
            <w:pPr>
              <w:spacing w:after="0" w:line="240" w:lineRule="auto"/>
            </w:pPr>
            <w:r>
              <w:rPr>
                <w:sz w:val="20"/>
              </w:rPr>
              <w:t>Improve split-order communication.</w:t>
            </w:r>
          </w:p>
        </w:tc>
      </w:tr>
      <w:tr w:rsidR="0001617E" w14:paraId="5B2B44C0" w14:textId="77777777">
        <w:tc>
          <w:tcPr>
            <w:tcW w:w="2088" w:type="dxa"/>
            <w:tcMar>
              <w:top w:w="80" w:type="dxa"/>
              <w:left w:w="100" w:type="dxa"/>
              <w:bottom w:w="80" w:type="dxa"/>
              <w:right w:w="100" w:type="dxa"/>
            </w:tcMar>
            <w:vAlign w:val="center"/>
          </w:tcPr>
          <w:p w14:paraId="16D0597E" w14:textId="77777777" w:rsidR="0001617E" w:rsidRDefault="00B35299">
            <w:pPr>
              <w:spacing w:after="0" w:line="240" w:lineRule="auto"/>
            </w:pPr>
            <w:r>
              <w:rPr>
                <w:sz w:val="20"/>
              </w:rPr>
              <w:t>Regional performance</w:t>
            </w:r>
          </w:p>
        </w:tc>
        <w:tc>
          <w:tcPr>
            <w:tcW w:w="3888" w:type="dxa"/>
            <w:tcMar>
              <w:top w:w="80" w:type="dxa"/>
              <w:left w:w="100" w:type="dxa"/>
              <w:bottom w:w="80" w:type="dxa"/>
              <w:right w:w="100" w:type="dxa"/>
            </w:tcMar>
            <w:vAlign w:val="center"/>
          </w:tcPr>
          <w:p w14:paraId="5205ED3F" w14:textId="77777777" w:rsidR="0001617E" w:rsidRDefault="00B35299">
            <w:pPr>
              <w:spacing w:after="0" w:line="240" w:lineRule="auto"/>
            </w:pPr>
            <w:r>
              <w:rPr>
                <w:sz w:val="20"/>
              </w:rPr>
              <w:t>Sorted dual-metric view compares delivery time and late rate by state.</w:t>
            </w:r>
          </w:p>
        </w:tc>
        <w:tc>
          <w:tcPr>
            <w:tcW w:w="3384" w:type="dxa"/>
            <w:tcMar>
              <w:top w:w="80" w:type="dxa"/>
              <w:left w:w="100" w:type="dxa"/>
              <w:bottom w:w="80" w:type="dxa"/>
              <w:right w:w="100" w:type="dxa"/>
            </w:tcMar>
            <w:vAlign w:val="center"/>
          </w:tcPr>
          <w:p w14:paraId="486B65C0" w14:textId="77777777" w:rsidR="0001617E" w:rsidRDefault="00B35299">
            <w:pPr>
              <w:spacing w:after="0" w:line="240" w:lineRule="auto"/>
            </w:pPr>
            <w:r>
              <w:rPr>
                <w:sz w:val="20"/>
              </w:rPr>
              <w:t>Set route-specific SLA policy.</w:t>
            </w:r>
          </w:p>
        </w:tc>
      </w:tr>
      <w:tr w:rsidR="0001617E" w14:paraId="6B38EEAC" w14:textId="77777777">
        <w:tc>
          <w:tcPr>
            <w:tcW w:w="2088" w:type="dxa"/>
            <w:shd w:val="clear" w:color="auto" w:fill="F2F2F2"/>
            <w:tcMar>
              <w:top w:w="80" w:type="dxa"/>
              <w:left w:w="100" w:type="dxa"/>
              <w:bottom w:w="80" w:type="dxa"/>
              <w:right w:w="100" w:type="dxa"/>
            </w:tcMar>
            <w:vAlign w:val="center"/>
          </w:tcPr>
          <w:p w14:paraId="25F956F6" w14:textId="77777777" w:rsidR="0001617E" w:rsidRDefault="00B35299">
            <w:pPr>
              <w:spacing w:after="0" w:line="240" w:lineRule="auto"/>
            </w:pPr>
            <w:r>
              <w:rPr>
                <w:sz w:val="20"/>
              </w:rPr>
              <w:t>Complaint themes</w:t>
            </w:r>
          </w:p>
        </w:tc>
        <w:tc>
          <w:tcPr>
            <w:tcW w:w="3888" w:type="dxa"/>
            <w:shd w:val="clear" w:color="auto" w:fill="F2F2F2"/>
            <w:tcMar>
              <w:top w:w="80" w:type="dxa"/>
              <w:left w:w="100" w:type="dxa"/>
              <w:bottom w:w="80" w:type="dxa"/>
              <w:right w:w="100" w:type="dxa"/>
            </w:tcMar>
            <w:vAlign w:val="center"/>
          </w:tcPr>
          <w:p w14:paraId="6989F3B5" w14:textId="77777777" w:rsidR="0001617E" w:rsidRDefault="00B35299">
            <w:pPr>
              <w:spacing w:after="0" w:line="240" w:lineRule="auto"/>
            </w:pPr>
            <w:r>
              <w:rPr>
                <w:sz w:val="20"/>
              </w:rPr>
              <w:t>Treemap summarises tagged review-comment themes.</w:t>
            </w:r>
          </w:p>
        </w:tc>
        <w:tc>
          <w:tcPr>
            <w:tcW w:w="3384" w:type="dxa"/>
            <w:shd w:val="clear" w:color="auto" w:fill="F2F2F2"/>
            <w:tcMar>
              <w:top w:w="80" w:type="dxa"/>
              <w:left w:w="100" w:type="dxa"/>
              <w:bottom w:w="80" w:type="dxa"/>
              <w:right w:w="100" w:type="dxa"/>
            </w:tcMar>
            <w:vAlign w:val="center"/>
          </w:tcPr>
          <w:p w14:paraId="6C574683" w14:textId="77777777" w:rsidR="0001617E" w:rsidRDefault="00B35299">
            <w:pPr>
              <w:spacing w:after="0" w:line="240" w:lineRule="auto"/>
            </w:pPr>
            <w:r>
              <w:rPr>
                <w:sz w:val="20"/>
              </w:rPr>
              <w:t>Use qualitative context for service recovery.</w:t>
            </w:r>
          </w:p>
        </w:tc>
      </w:tr>
    </w:tbl>
    <w:p w14:paraId="022929A9" w14:textId="77777777" w:rsidR="0001617E" w:rsidRDefault="0001617E">
      <w:pPr>
        <w:spacing w:after="20"/>
      </w:pPr>
    </w:p>
    <w:p w14:paraId="002FDE8A" w14:textId="77777777" w:rsidR="0001617E" w:rsidRDefault="00B35299">
      <w:pPr>
        <w:pStyle w:val="Heading1"/>
      </w:pPr>
      <w:r>
        <w:lastRenderedPageBreak/>
        <w:t>6 Management implications and recommendations</w:t>
      </w:r>
    </w:p>
    <w:p w14:paraId="4778F2B5" w14:textId="77777777" w:rsidR="0001617E" w:rsidRDefault="00B35299">
      <w:pPr>
        <w:pStyle w:val="Heading2"/>
      </w:pPr>
      <w:r>
        <w:t>6.1 Prioritised action plan</w:t>
      </w:r>
    </w:p>
    <w:tbl>
      <w:tblPr>
        <w:tblStyle w:val="TableGrid"/>
        <w:tblW w:w="0" w:type="auto"/>
        <w:tblLook w:val="04A0" w:firstRow="1" w:lastRow="0" w:firstColumn="1" w:lastColumn="0" w:noHBand="0" w:noVBand="1"/>
      </w:tblPr>
      <w:tblGrid>
        <w:gridCol w:w="878"/>
        <w:gridCol w:w="2872"/>
        <w:gridCol w:w="3086"/>
        <w:gridCol w:w="2514"/>
      </w:tblGrid>
      <w:tr w:rsidR="0001617E" w14:paraId="59258825" w14:textId="77777777">
        <w:tc>
          <w:tcPr>
            <w:tcW w:w="864" w:type="dxa"/>
            <w:shd w:val="clear" w:color="auto" w:fill="D9D9D9"/>
            <w:tcMar>
              <w:top w:w="80" w:type="dxa"/>
              <w:left w:w="100" w:type="dxa"/>
              <w:bottom w:w="80" w:type="dxa"/>
              <w:right w:w="100" w:type="dxa"/>
            </w:tcMar>
            <w:vAlign w:val="center"/>
          </w:tcPr>
          <w:p w14:paraId="0603D86D" w14:textId="77777777" w:rsidR="0001617E" w:rsidRDefault="00B35299">
            <w:pPr>
              <w:spacing w:after="0" w:line="240" w:lineRule="auto"/>
            </w:pPr>
            <w:r>
              <w:rPr>
                <w:b/>
                <w:sz w:val="20"/>
              </w:rPr>
              <w:t>Priority</w:t>
            </w:r>
          </w:p>
        </w:tc>
        <w:tc>
          <w:tcPr>
            <w:tcW w:w="2880" w:type="dxa"/>
            <w:shd w:val="clear" w:color="auto" w:fill="D9D9D9"/>
            <w:tcMar>
              <w:top w:w="80" w:type="dxa"/>
              <w:left w:w="100" w:type="dxa"/>
              <w:bottom w:w="80" w:type="dxa"/>
              <w:right w:w="100" w:type="dxa"/>
            </w:tcMar>
            <w:vAlign w:val="center"/>
          </w:tcPr>
          <w:p w14:paraId="5C928C89" w14:textId="77777777" w:rsidR="0001617E" w:rsidRDefault="00B35299">
            <w:pPr>
              <w:spacing w:after="0" w:line="240" w:lineRule="auto"/>
            </w:pPr>
            <w:r>
              <w:rPr>
                <w:b/>
                <w:sz w:val="20"/>
              </w:rPr>
              <w:t>Action</w:t>
            </w:r>
          </w:p>
        </w:tc>
        <w:tc>
          <w:tcPr>
            <w:tcW w:w="3096" w:type="dxa"/>
            <w:shd w:val="clear" w:color="auto" w:fill="D9D9D9"/>
            <w:tcMar>
              <w:top w:w="80" w:type="dxa"/>
              <w:left w:w="100" w:type="dxa"/>
              <w:bottom w:w="80" w:type="dxa"/>
              <w:right w:w="100" w:type="dxa"/>
            </w:tcMar>
            <w:vAlign w:val="center"/>
          </w:tcPr>
          <w:p w14:paraId="7D2653C9" w14:textId="77777777" w:rsidR="0001617E" w:rsidRDefault="00B35299">
            <w:pPr>
              <w:spacing w:after="0" w:line="240" w:lineRule="auto"/>
            </w:pPr>
            <w:r>
              <w:rPr>
                <w:b/>
                <w:sz w:val="20"/>
              </w:rPr>
              <w:t>Evidence</w:t>
            </w:r>
          </w:p>
        </w:tc>
        <w:tc>
          <w:tcPr>
            <w:tcW w:w="2520" w:type="dxa"/>
            <w:shd w:val="clear" w:color="auto" w:fill="D9D9D9"/>
            <w:tcMar>
              <w:top w:w="80" w:type="dxa"/>
              <w:left w:w="100" w:type="dxa"/>
              <w:bottom w:w="80" w:type="dxa"/>
              <w:right w:w="100" w:type="dxa"/>
            </w:tcMar>
            <w:vAlign w:val="center"/>
          </w:tcPr>
          <w:p w14:paraId="42693510" w14:textId="77777777" w:rsidR="0001617E" w:rsidRDefault="00B35299">
            <w:pPr>
              <w:spacing w:after="0" w:line="240" w:lineRule="auto"/>
            </w:pPr>
            <w:r>
              <w:rPr>
                <w:b/>
                <w:sz w:val="20"/>
              </w:rPr>
              <w:t>Owner and KPI</w:t>
            </w:r>
          </w:p>
        </w:tc>
      </w:tr>
      <w:tr w:rsidR="0001617E" w14:paraId="1002D642" w14:textId="77777777">
        <w:tc>
          <w:tcPr>
            <w:tcW w:w="864" w:type="dxa"/>
            <w:tcMar>
              <w:top w:w="80" w:type="dxa"/>
              <w:left w:w="100" w:type="dxa"/>
              <w:bottom w:w="80" w:type="dxa"/>
              <w:right w:w="100" w:type="dxa"/>
            </w:tcMar>
            <w:vAlign w:val="center"/>
          </w:tcPr>
          <w:p w14:paraId="0FE4CB69" w14:textId="77777777" w:rsidR="0001617E" w:rsidRDefault="00B35299">
            <w:pPr>
              <w:spacing w:after="0" w:line="240" w:lineRule="auto"/>
            </w:pPr>
            <w:r>
              <w:rPr>
                <w:sz w:val="20"/>
              </w:rPr>
              <w:t>1</w:t>
            </w:r>
          </w:p>
        </w:tc>
        <w:tc>
          <w:tcPr>
            <w:tcW w:w="2880" w:type="dxa"/>
            <w:tcMar>
              <w:top w:w="80" w:type="dxa"/>
              <w:left w:w="100" w:type="dxa"/>
              <w:bottom w:w="80" w:type="dxa"/>
              <w:right w:w="100" w:type="dxa"/>
            </w:tcMar>
            <w:vAlign w:val="center"/>
          </w:tcPr>
          <w:p w14:paraId="575C380F" w14:textId="77777777" w:rsidR="0001617E" w:rsidRDefault="00B35299">
            <w:pPr>
              <w:spacing w:after="0" w:line="240" w:lineRule="auto"/>
            </w:pPr>
            <w:r>
              <w:rPr>
                <w:sz w:val="20"/>
              </w:rPr>
              <w:t>Trigger carrier exceptions at day 16 and prevent orders reaching 25+ days.</w:t>
            </w:r>
          </w:p>
        </w:tc>
        <w:tc>
          <w:tcPr>
            <w:tcW w:w="3096" w:type="dxa"/>
            <w:tcMar>
              <w:top w:w="80" w:type="dxa"/>
              <w:left w:w="100" w:type="dxa"/>
              <w:bottom w:w="80" w:type="dxa"/>
              <w:right w:w="100" w:type="dxa"/>
            </w:tcMar>
            <w:vAlign w:val="center"/>
          </w:tcPr>
          <w:p w14:paraId="07DF8B24" w14:textId="77777777" w:rsidR="0001617E" w:rsidRDefault="00B35299">
            <w:pPr>
              <w:spacing w:after="0" w:line="240" w:lineRule="auto"/>
            </w:pPr>
            <w:r>
              <w:rPr>
                <w:sz w:val="20"/>
              </w:rPr>
              <w:t>Ratings collapse to 2.61 stars in the 25+ day band.</w:t>
            </w:r>
          </w:p>
        </w:tc>
        <w:tc>
          <w:tcPr>
            <w:tcW w:w="2520" w:type="dxa"/>
            <w:tcMar>
              <w:top w:w="80" w:type="dxa"/>
              <w:left w:w="100" w:type="dxa"/>
              <w:bottom w:w="80" w:type="dxa"/>
              <w:right w:w="100" w:type="dxa"/>
            </w:tcMar>
            <w:vAlign w:val="center"/>
          </w:tcPr>
          <w:p w14:paraId="25E9A8F0" w14:textId="77777777" w:rsidR="0001617E" w:rsidRDefault="00B35299">
            <w:pPr>
              <w:spacing w:after="0" w:line="240" w:lineRule="auto"/>
            </w:pPr>
            <w:r>
              <w:rPr>
                <w:sz w:val="20"/>
              </w:rPr>
              <w:t>Carrier operations; 25+ day share and late rate.</w:t>
            </w:r>
          </w:p>
        </w:tc>
      </w:tr>
      <w:tr w:rsidR="0001617E" w14:paraId="1A5A58F3" w14:textId="77777777">
        <w:tc>
          <w:tcPr>
            <w:tcW w:w="864" w:type="dxa"/>
            <w:shd w:val="clear" w:color="auto" w:fill="F2F2F2"/>
            <w:tcMar>
              <w:top w:w="80" w:type="dxa"/>
              <w:left w:w="100" w:type="dxa"/>
              <w:bottom w:w="80" w:type="dxa"/>
              <w:right w:w="100" w:type="dxa"/>
            </w:tcMar>
            <w:vAlign w:val="center"/>
          </w:tcPr>
          <w:p w14:paraId="57E25800" w14:textId="77777777" w:rsidR="0001617E" w:rsidRDefault="00B35299">
            <w:pPr>
              <w:spacing w:after="0" w:line="240" w:lineRule="auto"/>
            </w:pPr>
            <w:r>
              <w:rPr>
                <w:sz w:val="20"/>
              </w:rPr>
              <w:t>2</w:t>
            </w:r>
          </w:p>
        </w:tc>
        <w:tc>
          <w:tcPr>
            <w:tcW w:w="2880" w:type="dxa"/>
            <w:shd w:val="clear" w:color="auto" w:fill="F2F2F2"/>
            <w:tcMar>
              <w:top w:w="80" w:type="dxa"/>
              <w:left w:w="100" w:type="dxa"/>
              <w:bottom w:w="80" w:type="dxa"/>
              <w:right w:w="100" w:type="dxa"/>
            </w:tcMar>
            <w:vAlign w:val="center"/>
          </w:tcPr>
          <w:p w14:paraId="2156D06B" w14:textId="77777777" w:rsidR="0001617E" w:rsidRDefault="00B35299">
            <w:pPr>
              <w:spacing w:after="0" w:line="240" w:lineRule="auto"/>
            </w:pPr>
            <w:r>
              <w:rPr>
                <w:sz w:val="20"/>
              </w:rPr>
              <w:t>Use regional service promises and carrier SLAs for long-distance routes.</w:t>
            </w:r>
          </w:p>
        </w:tc>
        <w:tc>
          <w:tcPr>
            <w:tcW w:w="3096" w:type="dxa"/>
            <w:shd w:val="clear" w:color="auto" w:fill="F2F2F2"/>
            <w:tcMar>
              <w:top w:w="80" w:type="dxa"/>
              <w:left w:w="100" w:type="dxa"/>
              <w:bottom w:w="80" w:type="dxa"/>
              <w:right w:w="100" w:type="dxa"/>
            </w:tcMar>
            <w:vAlign w:val="center"/>
          </w:tcPr>
          <w:p w14:paraId="1A86593D" w14:textId="77777777" w:rsidR="0001617E" w:rsidRDefault="00B35299">
            <w:pPr>
              <w:spacing w:after="0" w:line="240" w:lineRule="auto"/>
            </w:pPr>
            <w:r>
              <w:rPr>
                <w:sz w:val="20"/>
              </w:rPr>
              <w:t>Long delivery and high late rates cluster in remote regions.</w:t>
            </w:r>
          </w:p>
        </w:tc>
        <w:tc>
          <w:tcPr>
            <w:tcW w:w="2520" w:type="dxa"/>
            <w:shd w:val="clear" w:color="auto" w:fill="F2F2F2"/>
            <w:tcMar>
              <w:top w:w="80" w:type="dxa"/>
              <w:left w:w="100" w:type="dxa"/>
              <w:bottom w:w="80" w:type="dxa"/>
              <w:right w:w="100" w:type="dxa"/>
            </w:tcMar>
            <w:vAlign w:val="center"/>
          </w:tcPr>
          <w:p w14:paraId="2F1A2DC3" w14:textId="77777777" w:rsidR="0001617E" w:rsidRDefault="00B35299">
            <w:pPr>
              <w:spacing w:after="0" w:line="240" w:lineRule="auto"/>
            </w:pPr>
            <w:r>
              <w:rPr>
                <w:sz w:val="20"/>
              </w:rPr>
              <w:t>Logistics planning; state-level delivery days and late rate.</w:t>
            </w:r>
          </w:p>
        </w:tc>
      </w:tr>
      <w:tr w:rsidR="0001617E" w14:paraId="548C167B" w14:textId="77777777">
        <w:tc>
          <w:tcPr>
            <w:tcW w:w="864" w:type="dxa"/>
            <w:tcMar>
              <w:top w:w="80" w:type="dxa"/>
              <w:left w:w="100" w:type="dxa"/>
              <w:bottom w:w="80" w:type="dxa"/>
              <w:right w:w="100" w:type="dxa"/>
            </w:tcMar>
            <w:vAlign w:val="center"/>
          </w:tcPr>
          <w:p w14:paraId="17132438" w14:textId="77777777" w:rsidR="0001617E" w:rsidRDefault="00B35299">
            <w:pPr>
              <w:spacing w:after="0" w:line="240" w:lineRule="auto"/>
            </w:pPr>
            <w:r>
              <w:rPr>
                <w:sz w:val="20"/>
              </w:rPr>
              <w:t>3</w:t>
            </w:r>
          </w:p>
        </w:tc>
        <w:tc>
          <w:tcPr>
            <w:tcW w:w="2880" w:type="dxa"/>
            <w:tcMar>
              <w:top w:w="80" w:type="dxa"/>
              <w:left w:w="100" w:type="dxa"/>
              <w:bottom w:w="80" w:type="dxa"/>
              <w:right w:w="100" w:type="dxa"/>
            </w:tcMar>
            <w:vAlign w:val="center"/>
          </w:tcPr>
          <w:p w14:paraId="546125D3" w14:textId="77777777" w:rsidR="0001617E" w:rsidRDefault="00B35299">
            <w:pPr>
              <w:spacing w:after="0" w:line="240" w:lineRule="auto"/>
            </w:pPr>
            <w:r>
              <w:rPr>
                <w:sz w:val="20"/>
              </w:rPr>
              <w:t>Show split-delivery expectations and tracking at checkout.</w:t>
            </w:r>
          </w:p>
        </w:tc>
        <w:tc>
          <w:tcPr>
            <w:tcW w:w="3096" w:type="dxa"/>
            <w:tcMar>
              <w:top w:w="80" w:type="dxa"/>
              <w:left w:w="100" w:type="dxa"/>
              <w:bottom w:w="80" w:type="dxa"/>
              <w:right w:w="100" w:type="dxa"/>
            </w:tcMar>
            <w:vAlign w:val="center"/>
          </w:tcPr>
          <w:p w14:paraId="2DF4F34F" w14:textId="77777777" w:rsidR="0001617E" w:rsidRDefault="00B35299">
            <w:pPr>
              <w:spacing w:after="0" w:line="240" w:lineRule="auto"/>
            </w:pPr>
            <w:r>
              <w:rPr>
                <w:sz w:val="20"/>
              </w:rPr>
              <w:t>Two-seller orders average 2.88 versus 4.12 for one seller.</w:t>
            </w:r>
          </w:p>
        </w:tc>
        <w:tc>
          <w:tcPr>
            <w:tcW w:w="2520" w:type="dxa"/>
            <w:tcMar>
              <w:top w:w="80" w:type="dxa"/>
              <w:left w:w="100" w:type="dxa"/>
              <w:bottom w:w="80" w:type="dxa"/>
              <w:right w:w="100" w:type="dxa"/>
            </w:tcMar>
            <w:vAlign w:val="center"/>
          </w:tcPr>
          <w:p w14:paraId="2926E781" w14:textId="77777777" w:rsidR="0001617E" w:rsidRDefault="00B35299">
            <w:pPr>
              <w:spacing w:after="0" w:line="240" w:lineRule="auto"/>
            </w:pPr>
            <w:r>
              <w:rPr>
                <w:sz w:val="20"/>
              </w:rPr>
              <w:t>Marketplace product; multi-seller rating gap.</w:t>
            </w:r>
          </w:p>
        </w:tc>
      </w:tr>
      <w:tr w:rsidR="0001617E" w14:paraId="091AB3AD" w14:textId="77777777">
        <w:tc>
          <w:tcPr>
            <w:tcW w:w="864" w:type="dxa"/>
            <w:shd w:val="clear" w:color="auto" w:fill="F2F2F2"/>
            <w:tcMar>
              <w:top w:w="80" w:type="dxa"/>
              <w:left w:w="100" w:type="dxa"/>
              <w:bottom w:w="80" w:type="dxa"/>
              <w:right w:w="100" w:type="dxa"/>
            </w:tcMar>
            <w:vAlign w:val="center"/>
          </w:tcPr>
          <w:p w14:paraId="1D4745A0" w14:textId="77777777" w:rsidR="0001617E" w:rsidRDefault="00B35299">
            <w:pPr>
              <w:spacing w:after="0" w:line="240" w:lineRule="auto"/>
            </w:pPr>
            <w:r>
              <w:rPr>
                <w:sz w:val="20"/>
              </w:rPr>
              <w:t>4</w:t>
            </w:r>
          </w:p>
        </w:tc>
        <w:tc>
          <w:tcPr>
            <w:tcW w:w="2880" w:type="dxa"/>
            <w:shd w:val="clear" w:color="auto" w:fill="F2F2F2"/>
            <w:tcMar>
              <w:top w:w="80" w:type="dxa"/>
              <w:left w:w="100" w:type="dxa"/>
              <w:bottom w:w="80" w:type="dxa"/>
              <w:right w:w="100" w:type="dxa"/>
            </w:tcMar>
            <w:vAlign w:val="center"/>
          </w:tcPr>
          <w:p w14:paraId="5246D5E7" w14:textId="77777777" w:rsidR="0001617E" w:rsidRDefault="00B35299">
            <w:pPr>
              <w:spacing w:after="0" w:line="240" w:lineRule="auto"/>
            </w:pPr>
            <w:r>
              <w:rPr>
                <w:sz w:val="20"/>
              </w:rPr>
              <w:t>Give high-value at-risk sellers dedicated logistics support and review monitoring.</w:t>
            </w:r>
          </w:p>
        </w:tc>
        <w:tc>
          <w:tcPr>
            <w:tcW w:w="3096" w:type="dxa"/>
            <w:shd w:val="clear" w:color="auto" w:fill="F2F2F2"/>
            <w:tcMar>
              <w:top w:w="80" w:type="dxa"/>
              <w:left w:w="100" w:type="dxa"/>
              <w:bottom w:w="80" w:type="dxa"/>
              <w:right w:w="100" w:type="dxa"/>
            </w:tcMar>
            <w:vAlign w:val="center"/>
          </w:tcPr>
          <w:p w14:paraId="0288E367" w14:textId="77777777" w:rsidR="0001617E" w:rsidRDefault="00B35299">
            <w:pPr>
              <w:spacing w:after="0" w:line="240" w:lineRule="auto"/>
            </w:pPr>
            <w:r>
              <w:rPr>
                <w:sz w:val="20"/>
              </w:rPr>
              <w:t>Top 10% sellers account for 67.5% of order value.</w:t>
            </w:r>
          </w:p>
        </w:tc>
        <w:tc>
          <w:tcPr>
            <w:tcW w:w="2520" w:type="dxa"/>
            <w:shd w:val="clear" w:color="auto" w:fill="F2F2F2"/>
            <w:tcMar>
              <w:top w:w="80" w:type="dxa"/>
              <w:left w:w="100" w:type="dxa"/>
              <w:bottom w:w="80" w:type="dxa"/>
              <w:right w:w="100" w:type="dxa"/>
            </w:tcMar>
            <w:vAlign w:val="center"/>
          </w:tcPr>
          <w:p w14:paraId="588889C8" w14:textId="77777777" w:rsidR="0001617E" w:rsidRDefault="00B35299">
            <w:pPr>
              <w:spacing w:after="0" w:line="240" w:lineRule="auto"/>
            </w:pPr>
            <w:r>
              <w:rPr>
                <w:sz w:val="20"/>
              </w:rPr>
              <w:t>Merchant partnerships; seller late rate and score.</w:t>
            </w:r>
          </w:p>
        </w:tc>
      </w:tr>
      <w:tr w:rsidR="0001617E" w14:paraId="52A204AE" w14:textId="77777777">
        <w:tc>
          <w:tcPr>
            <w:tcW w:w="864" w:type="dxa"/>
            <w:tcMar>
              <w:top w:w="80" w:type="dxa"/>
              <w:left w:w="100" w:type="dxa"/>
              <w:bottom w:w="80" w:type="dxa"/>
              <w:right w:w="100" w:type="dxa"/>
            </w:tcMar>
            <w:vAlign w:val="center"/>
          </w:tcPr>
          <w:p w14:paraId="606B9B2F" w14:textId="77777777" w:rsidR="0001617E" w:rsidRDefault="00B35299">
            <w:pPr>
              <w:spacing w:after="0" w:line="240" w:lineRule="auto"/>
            </w:pPr>
            <w:r>
              <w:rPr>
                <w:sz w:val="20"/>
              </w:rPr>
              <w:t>5</w:t>
            </w:r>
          </w:p>
        </w:tc>
        <w:tc>
          <w:tcPr>
            <w:tcW w:w="2880" w:type="dxa"/>
            <w:tcMar>
              <w:top w:w="80" w:type="dxa"/>
              <w:left w:w="100" w:type="dxa"/>
              <w:bottom w:w="80" w:type="dxa"/>
              <w:right w:w="100" w:type="dxa"/>
            </w:tcMar>
            <w:vAlign w:val="center"/>
          </w:tcPr>
          <w:p w14:paraId="1B2D41C7" w14:textId="77777777" w:rsidR="0001617E" w:rsidRDefault="00B35299">
            <w:pPr>
              <w:spacing w:after="0" w:line="240" w:lineRule="auto"/>
            </w:pPr>
            <w:r>
              <w:rPr>
                <w:sz w:val="20"/>
              </w:rPr>
              <w:t>Use category and complaint themes for diagnosis after fulfilment actions are underway.</w:t>
            </w:r>
          </w:p>
        </w:tc>
        <w:tc>
          <w:tcPr>
            <w:tcW w:w="3096" w:type="dxa"/>
            <w:tcMar>
              <w:top w:w="80" w:type="dxa"/>
              <w:left w:w="100" w:type="dxa"/>
              <w:bottom w:w="80" w:type="dxa"/>
              <w:right w:w="100" w:type="dxa"/>
            </w:tcMar>
            <w:vAlign w:val="center"/>
          </w:tcPr>
          <w:p w14:paraId="324131C1" w14:textId="77777777" w:rsidR="0001617E" w:rsidRDefault="00B35299">
            <w:pPr>
              <w:spacing w:after="0" w:line="240" w:lineRule="auto"/>
            </w:pPr>
            <w:r>
              <w:rPr>
                <w:sz w:val="20"/>
              </w:rPr>
              <w:t>Secondary patterns do not explain the main satisfaction cliff.</w:t>
            </w:r>
          </w:p>
        </w:tc>
        <w:tc>
          <w:tcPr>
            <w:tcW w:w="2520" w:type="dxa"/>
            <w:tcMar>
              <w:top w:w="80" w:type="dxa"/>
              <w:left w:w="100" w:type="dxa"/>
              <w:bottom w:w="80" w:type="dxa"/>
              <w:right w:w="100" w:type="dxa"/>
            </w:tcMar>
            <w:vAlign w:val="center"/>
          </w:tcPr>
          <w:p w14:paraId="0A1E9760" w14:textId="77777777" w:rsidR="0001617E" w:rsidRDefault="00B35299">
            <w:pPr>
              <w:spacing w:after="0" w:line="240" w:lineRule="auto"/>
            </w:pPr>
            <w:r>
              <w:rPr>
                <w:sz w:val="20"/>
              </w:rPr>
              <w:t>Customer experience; issue-theme trend.</w:t>
            </w:r>
          </w:p>
        </w:tc>
      </w:tr>
    </w:tbl>
    <w:p w14:paraId="2C9A7A01" w14:textId="77777777" w:rsidR="0001617E" w:rsidRDefault="0001617E">
      <w:pPr>
        <w:spacing w:after="20"/>
      </w:pPr>
    </w:p>
    <w:p w14:paraId="3D473654" w14:textId="77777777" w:rsidR="0001617E" w:rsidRDefault="00B35299">
      <w:pPr>
        <w:pStyle w:val="Heading2"/>
      </w:pPr>
      <w:r>
        <w:t>6.2 Recommended operating cadence</w:t>
      </w:r>
    </w:p>
    <w:p w14:paraId="6FFC16AB" w14:textId="77777777" w:rsidR="0001617E" w:rsidRDefault="00B35299">
      <w:pPr>
        <w:ind w:left="403" w:hanging="259"/>
      </w:pPr>
      <w:r>
        <w:rPr>
          <w:b/>
        </w:rPr>
        <w:t xml:space="preserve">• </w:t>
      </w:r>
      <w:r>
        <w:t>Daily: flag carrier-transit exceptions approaching day 16 and trigger proactive customer communication.</w:t>
      </w:r>
    </w:p>
    <w:p w14:paraId="34FE9C60" w14:textId="77777777" w:rsidR="0001617E" w:rsidRDefault="00B35299">
      <w:pPr>
        <w:ind w:left="403" w:hanging="259"/>
      </w:pPr>
      <w:r>
        <w:rPr>
          <w:b/>
        </w:rPr>
        <w:t xml:space="preserve">• </w:t>
      </w:r>
      <w:r>
        <w:t>Weekly: review late rate, 25+ day share, split-order rating gap and regional SLA performance.</w:t>
      </w:r>
    </w:p>
    <w:p w14:paraId="26C1EB43" w14:textId="77777777" w:rsidR="0001617E" w:rsidRDefault="00B35299">
      <w:pPr>
        <w:ind w:left="403" w:hanging="259"/>
      </w:pPr>
      <w:r>
        <w:rPr>
          <w:b/>
        </w:rPr>
        <w:t xml:space="preserve">• </w:t>
      </w:r>
      <w:r>
        <w:t>Monthly: review the high-value seller risk quadrant and agree joint carrier-seller remediation actions.</w:t>
      </w:r>
    </w:p>
    <w:p w14:paraId="786B41C1" w14:textId="77777777" w:rsidR="0001617E" w:rsidRDefault="00B35299">
      <w:pPr>
        <w:ind w:left="403" w:hanging="259"/>
      </w:pPr>
      <w:r>
        <w:rPr>
          <w:b/>
        </w:rPr>
        <w:t xml:space="preserve">• </w:t>
      </w:r>
      <w:r>
        <w:t>Quarterly: evaluate whether interventions improve satisfaction while maintaining seller growth and order volume.</w:t>
      </w:r>
    </w:p>
    <w:p w14:paraId="45C66FD7" w14:textId="77777777" w:rsidR="0001617E" w:rsidRDefault="00B35299">
      <w:pPr>
        <w:pStyle w:val="Heading2"/>
      </w:pPr>
      <w:r>
        <w:t>6.3 Leadership decisions</w:t>
      </w:r>
    </w:p>
    <w:p w14:paraId="68BD6624" w14:textId="77777777" w:rsidR="0001617E" w:rsidRDefault="00B35299">
      <w:r>
        <w:t>Leadership should treat delivery reliability as a growth guardrail, not as a back-office logistics metric. The commercial objective is not simply to reduce average delivery time; it is to stop the small but damaging tail of orders that cross into the 25+ day experience. That tail produces disproportionately low ratings and visible complaint risk, so it should be managed as an exception portfolio with clear executive ownership.</w:t>
      </w:r>
    </w:p>
    <w:p w14:paraId="45046784" w14:textId="77777777" w:rsidR="0001617E" w:rsidRDefault="00B35299">
      <w:pPr>
        <w:ind w:left="403" w:hanging="259"/>
      </w:pPr>
      <w:r>
        <w:rPr>
          <w:b/>
        </w:rPr>
        <w:t xml:space="preserve">• </w:t>
      </w:r>
      <w:r>
        <w:t>Set one executive outcome: reduce the 25+ day share and late-delivery rate while holding seller growth and order volume steady. This prevents operational improvement from being pursued at the expense of marketplace expansion.</w:t>
      </w:r>
    </w:p>
    <w:p w14:paraId="55041722" w14:textId="77777777" w:rsidR="0001617E" w:rsidRDefault="00B35299">
      <w:pPr>
        <w:ind w:left="403" w:hanging="259"/>
      </w:pPr>
      <w:r>
        <w:rPr>
          <w:b/>
        </w:rPr>
        <w:t xml:space="preserve">• </w:t>
      </w:r>
      <w:r>
        <w:t>Make carrier performance a commercial governance issue. Route-level SLAs, escalation thresholds and carrier scorecards should be reviewed with the same discipline as seller performance because carrier transit is the strongest satisfaction bottleneck.</w:t>
      </w:r>
    </w:p>
    <w:p w14:paraId="18F84793" w14:textId="77777777" w:rsidR="0001617E" w:rsidRDefault="00B35299">
      <w:pPr>
        <w:ind w:left="403" w:hanging="259"/>
      </w:pPr>
      <w:r>
        <w:rPr>
          <w:b/>
        </w:rPr>
        <w:lastRenderedPageBreak/>
        <w:t xml:space="preserve">• </w:t>
      </w:r>
      <w:r>
        <w:t>Avoid blanket seller penalties. The top 10% of sellers represent 67.5% of order value, so indiscriminate removal of low-scoring sellers risks revenue. Use the risk quadrant to concentrate account management and logistics support where both satisfaction and commercial exposure are high.</w:t>
      </w:r>
    </w:p>
    <w:p w14:paraId="07DE8C2D" w14:textId="77777777" w:rsidR="0001617E" w:rsidRDefault="00B35299">
      <w:pPr>
        <w:ind w:left="403" w:hanging="259"/>
      </w:pPr>
      <w:r>
        <w:rPr>
          <w:b/>
        </w:rPr>
        <w:t xml:space="preserve">• </w:t>
      </w:r>
      <w:r>
        <w:t>Design for customer expectation, not only physical speed. For multi-seller carts, accurate split-package dates, proactive notifications and parcel-level tracking can reduce perceived failure even where multiple deliveries remain necessary.</w:t>
      </w:r>
    </w:p>
    <w:p w14:paraId="7FB44F8B" w14:textId="77777777" w:rsidR="0001617E" w:rsidRDefault="00B35299">
      <w:pPr>
        <w:ind w:left="403" w:hanging="259"/>
      </w:pPr>
      <w:r>
        <w:rPr>
          <w:b/>
        </w:rPr>
        <w:t xml:space="preserve">• </w:t>
      </w:r>
      <w:r>
        <w:t>Fund a fulfilment control tower. A recurring view of transit exceptions, regional SLA gaps, high-value seller risk and complaint themes will let leadership see emerging risk before it becomes a review-score problem.</w:t>
      </w:r>
    </w:p>
    <w:p w14:paraId="435C865A" w14:textId="77777777" w:rsidR="0001617E" w:rsidRDefault="00B35299">
      <w:pPr>
        <w:pStyle w:val="Heading2"/>
      </w:pPr>
      <w:r>
        <w:t>6.4 Leadership scorecard and decision gates</w:t>
      </w:r>
    </w:p>
    <w:p w14:paraId="4F9AF21A" w14:textId="77777777" w:rsidR="0001617E" w:rsidRDefault="00B35299">
      <w:r>
        <w:t>Leadership should not use average delivery time alone as the success measure. An average can improve while a small set of customers still experience the 25+ day service failure that causes the most damage. The scorecard should therefore combine customer outcome, operational reliability and commercial protection. Each monthly review should decide whether to scale an intervention, redesign it, or stop it based on these measures.</w:t>
      </w:r>
    </w:p>
    <w:tbl>
      <w:tblPr>
        <w:tblStyle w:val="TableGrid"/>
        <w:tblW w:w="0" w:type="auto"/>
        <w:tblLook w:val="04A0" w:firstRow="1" w:lastRow="0" w:firstColumn="1" w:lastColumn="0" w:noHBand="0" w:noVBand="1"/>
      </w:tblPr>
      <w:tblGrid>
        <w:gridCol w:w="2088"/>
        <w:gridCol w:w="4104"/>
        <w:gridCol w:w="3096"/>
      </w:tblGrid>
      <w:tr w:rsidR="0001617E" w14:paraId="4BC72CC6" w14:textId="77777777">
        <w:tc>
          <w:tcPr>
            <w:tcW w:w="2088" w:type="dxa"/>
            <w:shd w:val="clear" w:color="auto" w:fill="D9D9D9"/>
            <w:tcMar>
              <w:top w:w="80" w:type="dxa"/>
              <w:left w:w="100" w:type="dxa"/>
              <w:bottom w:w="80" w:type="dxa"/>
              <w:right w:w="100" w:type="dxa"/>
            </w:tcMar>
            <w:vAlign w:val="center"/>
          </w:tcPr>
          <w:p w14:paraId="0646AD42" w14:textId="77777777" w:rsidR="0001617E" w:rsidRDefault="00B35299">
            <w:pPr>
              <w:spacing w:after="0" w:line="240" w:lineRule="auto"/>
            </w:pPr>
            <w:r>
              <w:rPr>
                <w:b/>
                <w:sz w:val="20"/>
              </w:rPr>
              <w:t>Leadership measure</w:t>
            </w:r>
          </w:p>
        </w:tc>
        <w:tc>
          <w:tcPr>
            <w:tcW w:w="4104" w:type="dxa"/>
            <w:shd w:val="clear" w:color="auto" w:fill="D9D9D9"/>
            <w:tcMar>
              <w:top w:w="80" w:type="dxa"/>
              <w:left w:w="100" w:type="dxa"/>
              <w:bottom w:w="80" w:type="dxa"/>
              <w:right w:w="100" w:type="dxa"/>
            </w:tcMar>
            <w:vAlign w:val="center"/>
          </w:tcPr>
          <w:p w14:paraId="60718056" w14:textId="77777777" w:rsidR="0001617E" w:rsidRDefault="00B35299">
            <w:pPr>
              <w:spacing w:after="0" w:line="240" w:lineRule="auto"/>
            </w:pPr>
            <w:r>
              <w:rPr>
                <w:b/>
                <w:sz w:val="20"/>
              </w:rPr>
              <w:t>Why it matters</w:t>
            </w:r>
          </w:p>
        </w:tc>
        <w:tc>
          <w:tcPr>
            <w:tcW w:w="3096" w:type="dxa"/>
            <w:shd w:val="clear" w:color="auto" w:fill="D9D9D9"/>
            <w:tcMar>
              <w:top w:w="80" w:type="dxa"/>
              <w:left w:w="100" w:type="dxa"/>
              <w:bottom w:w="80" w:type="dxa"/>
              <w:right w:w="100" w:type="dxa"/>
            </w:tcMar>
            <w:vAlign w:val="center"/>
          </w:tcPr>
          <w:p w14:paraId="7D554864" w14:textId="77777777" w:rsidR="0001617E" w:rsidRDefault="00B35299">
            <w:pPr>
              <w:spacing w:after="0" w:line="240" w:lineRule="auto"/>
            </w:pPr>
            <w:r>
              <w:rPr>
                <w:b/>
                <w:sz w:val="20"/>
              </w:rPr>
              <w:t>Decision gate</w:t>
            </w:r>
          </w:p>
        </w:tc>
      </w:tr>
      <w:tr w:rsidR="0001617E" w14:paraId="0F04B486" w14:textId="77777777">
        <w:tc>
          <w:tcPr>
            <w:tcW w:w="2088" w:type="dxa"/>
            <w:tcMar>
              <w:top w:w="80" w:type="dxa"/>
              <w:left w:w="100" w:type="dxa"/>
              <w:bottom w:w="80" w:type="dxa"/>
              <w:right w:w="100" w:type="dxa"/>
            </w:tcMar>
            <w:vAlign w:val="center"/>
          </w:tcPr>
          <w:p w14:paraId="330D78EE" w14:textId="77777777" w:rsidR="0001617E" w:rsidRDefault="00B35299">
            <w:pPr>
              <w:spacing w:after="0" w:line="240" w:lineRule="auto"/>
            </w:pPr>
            <w:r>
              <w:rPr>
                <w:sz w:val="20"/>
              </w:rPr>
              <w:t>25+ day delivery share</w:t>
            </w:r>
          </w:p>
        </w:tc>
        <w:tc>
          <w:tcPr>
            <w:tcW w:w="4104" w:type="dxa"/>
            <w:tcMar>
              <w:top w:w="80" w:type="dxa"/>
              <w:left w:w="100" w:type="dxa"/>
              <w:bottom w:w="80" w:type="dxa"/>
              <w:right w:w="100" w:type="dxa"/>
            </w:tcMar>
            <w:vAlign w:val="center"/>
          </w:tcPr>
          <w:p w14:paraId="26E50380" w14:textId="77777777" w:rsidR="0001617E" w:rsidRDefault="00B35299">
            <w:pPr>
              <w:spacing w:after="0" w:line="240" w:lineRule="auto"/>
            </w:pPr>
            <w:r>
              <w:rPr>
                <w:sz w:val="20"/>
              </w:rPr>
              <w:t>Directly monitors the satisfaction cliff, where average rating falls to 2.61.</w:t>
            </w:r>
          </w:p>
        </w:tc>
        <w:tc>
          <w:tcPr>
            <w:tcW w:w="3096" w:type="dxa"/>
            <w:tcMar>
              <w:top w:w="80" w:type="dxa"/>
              <w:left w:w="100" w:type="dxa"/>
              <w:bottom w:w="80" w:type="dxa"/>
              <w:right w:w="100" w:type="dxa"/>
            </w:tcMar>
            <w:vAlign w:val="center"/>
          </w:tcPr>
          <w:p w14:paraId="3AC41274" w14:textId="77777777" w:rsidR="0001617E" w:rsidRDefault="00B35299">
            <w:pPr>
              <w:spacing w:after="0" w:line="240" w:lineRule="auto"/>
            </w:pPr>
            <w:r>
              <w:rPr>
                <w:sz w:val="20"/>
              </w:rPr>
              <w:t>Escalate routes or carriers that do not reduce the tail after intervention.</w:t>
            </w:r>
          </w:p>
        </w:tc>
      </w:tr>
      <w:tr w:rsidR="0001617E" w14:paraId="0B5DE8A5" w14:textId="77777777">
        <w:tc>
          <w:tcPr>
            <w:tcW w:w="2088" w:type="dxa"/>
            <w:shd w:val="clear" w:color="auto" w:fill="F2F2F2"/>
            <w:tcMar>
              <w:top w:w="80" w:type="dxa"/>
              <w:left w:w="100" w:type="dxa"/>
              <w:bottom w:w="80" w:type="dxa"/>
              <w:right w:w="100" w:type="dxa"/>
            </w:tcMar>
            <w:vAlign w:val="center"/>
          </w:tcPr>
          <w:p w14:paraId="428E3DFD" w14:textId="77777777" w:rsidR="0001617E" w:rsidRDefault="00B35299">
            <w:pPr>
              <w:spacing w:after="0" w:line="240" w:lineRule="auto"/>
            </w:pPr>
            <w:r>
              <w:rPr>
                <w:sz w:val="20"/>
              </w:rPr>
              <w:t>Late-delivery rate</w:t>
            </w:r>
          </w:p>
        </w:tc>
        <w:tc>
          <w:tcPr>
            <w:tcW w:w="4104" w:type="dxa"/>
            <w:shd w:val="clear" w:color="auto" w:fill="F2F2F2"/>
            <w:tcMar>
              <w:top w:w="80" w:type="dxa"/>
              <w:left w:w="100" w:type="dxa"/>
              <w:bottom w:w="80" w:type="dxa"/>
              <w:right w:w="100" w:type="dxa"/>
            </w:tcMar>
            <w:vAlign w:val="center"/>
          </w:tcPr>
          <w:p w14:paraId="65ECED6C" w14:textId="77777777" w:rsidR="0001617E" w:rsidRDefault="00B35299">
            <w:pPr>
              <w:spacing w:after="0" w:line="240" w:lineRule="auto"/>
            </w:pPr>
            <w:r>
              <w:rPr>
                <w:sz w:val="20"/>
              </w:rPr>
              <w:t>Measures whether the platform keeps its customer promise.</w:t>
            </w:r>
          </w:p>
        </w:tc>
        <w:tc>
          <w:tcPr>
            <w:tcW w:w="3096" w:type="dxa"/>
            <w:shd w:val="clear" w:color="auto" w:fill="F2F2F2"/>
            <w:tcMar>
              <w:top w:w="80" w:type="dxa"/>
              <w:left w:w="100" w:type="dxa"/>
              <w:bottom w:w="80" w:type="dxa"/>
              <w:right w:w="100" w:type="dxa"/>
            </w:tcMar>
            <w:vAlign w:val="center"/>
          </w:tcPr>
          <w:p w14:paraId="4D5D3242" w14:textId="77777777" w:rsidR="0001617E" w:rsidRDefault="00B35299">
            <w:pPr>
              <w:spacing w:after="0" w:line="240" w:lineRule="auto"/>
            </w:pPr>
            <w:r>
              <w:rPr>
                <w:sz w:val="20"/>
              </w:rPr>
              <w:t>Hold carrier and route owners accountable to agreed SLA targets.</w:t>
            </w:r>
          </w:p>
        </w:tc>
      </w:tr>
      <w:tr w:rsidR="0001617E" w14:paraId="73CCE862" w14:textId="77777777">
        <w:tc>
          <w:tcPr>
            <w:tcW w:w="2088" w:type="dxa"/>
            <w:tcMar>
              <w:top w:w="80" w:type="dxa"/>
              <w:left w:w="100" w:type="dxa"/>
              <w:bottom w:w="80" w:type="dxa"/>
              <w:right w:w="100" w:type="dxa"/>
            </w:tcMar>
            <w:vAlign w:val="center"/>
          </w:tcPr>
          <w:p w14:paraId="2CB2AD2D" w14:textId="77777777" w:rsidR="0001617E" w:rsidRDefault="00B35299">
            <w:pPr>
              <w:spacing w:after="0" w:line="240" w:lineRule="auto"/>
            </w:pPr>
            <w:r>
              <w:rPr>
                <w:sz w:val="20"/>
              </w:rPr>
              <w:t>On-time versus late rating gap</w:t>
            </w:r>
          </w:p>
        </w:tc>
        <w:tc>
          <w:tcPr>
            <w:tcW w:w="4104" w:type="dxa"/>
            <w:tcMar>
              <w:top w:w="80" w:type="dxa"/>
              <w:left w:w="100" w:type="dxa"/>
              <w:bottom w:w="80" w:type="dxa"/>
              <w:right w:w="100" w:type="dxa"/>
            </w:tcMar>
            <w:vAlign w:val="center"/>
          </w:tcPr>
          <w:p w14:paraId="5DAA69C4" w14:textId="77777777" w:rsidR="0001617E" w:rsidRDefault="00B35299">
            <w:pPr>
              <w:spacing w:after="0" w:line="240" w:lineRule="auto"/>
            </w:pPr>
            <w:r>
              <w:rPr>
                <w:sz w:val="20"/>
              </w:rPr>
              <w:t>Confirms whether reliability is still translating into customer experience.</w:t>
            </w:r>
          </w:p>
        </w:tc>
        <w:tc>
          <w:tcPr>
            <w:tcW w:w="3096" w:type="dxa"/>
            <w:tcMar>
              <w:top w:w="80" w:type="dxa"/>
              <w:left w:w="100" w:type="dxa"/>
              <w:bottom w:w="80" w:type="dxa"/>
              <w:right w:w="100" w:type="dxa"/>
            </w:tcMar>
            <w:vAlign w:val="center"/>
          </w:tcPr>
          <w:p w14:paraId="6DA87CE9" w14:textId="77777777" w:rsidR="0001617E" w:rsidRDefault="00B35299">
            <w:pPr>
              <w:spacing w:after="0" w:line="240" w:lineRule="auto"/>
            </w:pPr>
            <w:r>
              <w:rPr>
                <w:sz w:val="20"/>
              </w:rPr>
              <w:t>Investigate if the gap persists after service recovery changes.</w:t>
            </w:r>
          </w:p>
        </w:tc>
      </w:tr>
      <w:tr w:rsidR="0001617E" w14:paraId="3737D0F0" w14:textId="77777777">
        <w:tc>
          <w:tcPr>
            <w:tcW w:w="2088" w:type="dxa"/>
            <w:shd w:val="clear" w:color="auto" w:fill="F2F2F2"/>
            <w:tcMar>
              <w:top w:w="80" w:type="dxa"/>
              <w:left w:w="100" w:type="dxa"/>
              <w:bottom w:w="80" w:type="dxa"/>
              <w:right w:w="100" w:type="dxa"/>
            </w:tcMar>
            <w:vAlign w:val="center"/>
          </w:tcPr>
          <w:p w14:paraId="16FBED9E" w14:textId="77777777" w:rsidR="0001617E" w:rsidRDefault="00B35299">
            <w:pPr>
              <w:spacing w:after="0" w:line="240" w:lineRule="auto"/>
            </w:pPr>
            <w:r>
              <w:rPr>
                <w:sz w:val="20"/>
              </w:rPr>
              <w:t>Multi-seller rating gap</w:t>
            </w:r>
          </w:p>
        </w:tc>
        <w:tc>
          <w:tcPr>
            <w:tcW w:w="4104" w:type="dxa"/>
            <w:shd w:val="clear" w:color="auto" w:fill="F2F2F2"/>
            <w:tcMar>
              <w:top w:w="80" w:type="dxa"/>
              <w:left w:w="100" w:type="dxa"/>
              <w:bottom w:w="80" w:type="dxa"/>
              <w:right w:w="100" w:type="dxa"/>
            </w:tcMar>
            <w:vAlign w:val="center"/>
          </w:tcPr>
          <w:p w14:paraId="59D77D2B" w14:textId="77777777" w:rsidR="0001617E" w:rsidRDefault="00B35299">
            <w:pPr>
              <w:spacing w:after="0" w:line="240" w:lineRule="auto"/>
            </w:pPr>
            <w:r>
              <w:rPr>
                <w:sz w:val="20"/>
              </w:rPr>
              <w:t>Shows whether checkout communication reduces split-fulfilment friction.</w:t>
            </w:r>
          </w:p>
        </w:tc>
        <w:tc>
          <w:tcPr>
            <w:tcW w:w="3096" w:type="dxa"/>
            <w:shd w:val="clear" w:color="auto" w:fill="F2F2F2"/>
            <w:tcMar>
              <w:top w:w="80" w:type="dxa"/>
              <w:left w:w="100" w:type="dxa"/>
              <w:bottom w:w="80" w:type="dxa"/>
              <w:right w:w="100" w:type="dxa"/>
            </w:tcMar>
            <w:vAlign w:val="center"/>
          </w:tcPr>
          <w:p w14:paraId="3AE9D25B" w14:textId="77777777" w:rsidR="0001617E" w:rsidRDefault="00B35299">
            <w:pPr>
              <w:spacing w:after="0" w:line="240" w:lineRule="auto"/>
            </w:pPr>
            <w:r>
              <w:rPr>
                <w:sz w:val="20"/>
              </w:rPr>
              <w:t>Scale parcel-level tracking if the gap narrows without lower conversion.</w:t>
            </w:r>
          </w:p>
        </w:tc>
      </w:tr>
      <w:tr w:rsidR="0001617E" w14:paraId="7DD7D5DC" w14:textId="77777777">
        <w:tc>
          <w:tcPr>
            <w:tcW w:w="2088" w:type="dxa"/>
            <w:tcMar>
              <w:top w:w="80" w:type="dxa"/>
              <w:left w:w="100" w:type="dxa"/>
              <w:bottom w:w="80" w:type="dxa"/>
              <w:right w:w="100" w:type="dxa"/>
            </w:tcMar>
            <w:vAlign w:val="center"/>
          </w:tcPr>
          <w:p w14:paraId="735765E5" w14:textId="77777777" w:rsidR="0001617E" w:rsidRDefault="00B35299">
            <w:pPr>
              <w:spacing w:after="0" w:line="240" w:lineRule="auto"/>
            </w:pPr>
            <w:r>
              <w:rPr>
                <w:sz w:val="20"/>
              </w:rPr>
              <w:t>Seller growth and order volume</w:t>
            </w:r>
          </w:p>
        </w:tc>
        <w:tc>
          <w:tcPr>
            <w:tcW w:w="4104" w:type="dxa"/>
            <w:tcMar>
              <w:top w:w="80" w:type="dxa"/>
              <w:left w:w="100" w:type="dxa"/>
              <w:bottom w:w="80" w:type="dxa"/>
              <w:right w:w="100" w:type="dxa"/>
            </w:tcMar>
            <w:vAlign w:val="center"/>
          </w:tcPr>
          <w:p w14:paraId="7AECF2CE" w14:textId="77777777" w:rsidR="0001617E" w:rsidRDefault="00B35299">
            <w:pPr>
              <w:spacing w:after="0" w:line="240" w:lineRule="auto"/>
            </w:pPr>
            <w:r>
              <w:rPr>
                <w:sz w:val="20"/>
              </w:rPr>
              <w:t>Prevents quality actions from harming marketplace expansion.</w:t>
            </w:r>
          </w:p>
        </w:tc>
        <w:tc>
          <w:tcPr>
            <w:tcW w:w="3096" w:type="dxa"/>
            <w:tcMar>
              <w:top w:w="80" w:type="dxa"/>
              <w:left w:w="100" w:type="dxa"/>
              <w:bottom w:w="80" w:type="dxa"/>
              <w:right w:w="100" w:type="dxa"/>
            </w:tcMar>
            <w:vAlign w:val="center"/>
          </w:tcPr>
          <w:p w14:paraId="6F2BC956" w14:textId="77777777" w:rsidR="0001617E" w:rsidRDefault="00B35299">
            <w:pPr>
              <w:spacing w:after="0" w:line="240" w:lineRule="auto"/>
            </w:pPr>
            <w:r>
              <w:rPr>
                <w:sz w:val="20"/>
              </w:rPr>
              <w:t>Do not deploy blanket seller restrictions if growth is put at risk.</w:t>
            </w:r>
          </w:p>
        </w:tc>
      </w:tr>
      <w:tr w:rsidR="0001617E" w14:paraId="3921085A" w14:textId="77777777">
        <w:tc>
          <w:tcPr>
            <w:tcW w:w="2088" w:type="dxa"/>
            <w:shd w:val="clear" w:color="auto" w:fill="F2F2F2"/>
            <w:tcMar>
              <w:top w:w="80" w:type="dxa"/>
              <w:left w:w="100" w:type="dxa"/>
              <w:bottom w:w="80" w:type="dxa"/>
              <w:right w:w="100" w:type="dxa"/>
            </w:tcMar>
            <w:vAlign w:val="center"/>
          </w:tcPr>
          <w:p w14:paraId="5C344F3B" w14:textId="77777777" w:rsidR="0001617E" w:rsidRDefault="00B35299">
            <w:pPr>
              <w:spacing w:after="0" w:line="240" w:lineRule="auto"/>
            </w:pPr>
            <w:r>
              <w:rPr>
                <w:sz w:val="20"/>
              </w:rPr>
              <w:t>High-value seller risk count</w:t>
            </w:r>
          </w:p>
        </w:tc>
        <w:tc>
          <w:tcPr>
            <w:tcW w:w="4104" w:type="dxa"/>
            <w:shd w:val="clear" w:color="auto" w:fill="F2F2F2"/>
            <w:tcMar>
              <w:top w:w="80" w:type="dxa"/>
              <w:left w:w="100" w:type="dxa"/>
              <w:bottom w:w="80" w:type="dxa"/>
              <w:right w:w="100" w:type="dxa"/>
            </w:tcMar>
            <w:vAlign w:val="center"/>
          </w:tcPr>
          <w:p w14:paraId="5DD08371" w14:textId="77777777" w:rsidR="0001617E" w:rsidRDefault="00B35299">
            <w:pPr>
              <w:spacing w:after="0" w:line="240" w:lineRule="auto"/>
            </w:pPr>
            <w:r>
              <w:rPr>
                <w:sz w:val="20"/>
              </w:rPr>
              <w:t>Tracks the number of commercially material sellers below the platform score benchmark.</w:t>
            </w:r>
          </w:p>
        </w:tc>
        <w:tc>
          <w:tcPr>
            <w:tcW w:w="3096" w:type="dxa"/>
            <w:shd w:val="clear" w:color="auto" w:fill="F2F2F2"/>
            <w:tcMar>
              <w:top w:w="80" w:type="dxa"/>
              <w:left w:w="100" w:type="dxa"/>
              <w:bottom w:w="80" w:type="dxa"/>
              <w:right w:w="100" w:type="dxa"/>
            </w:tcMar>
            <w:vAlign w:val="center"/>
          </w:tcPr>
          <w:p w14:paraId="234F6D4E" w14:textId="77777777" w:rsidR="0001617E" w:rsidRDefault="00B35299">
            <w:pPr>
              <w:spacing w:after="0" w:line="240" w:lineRule="auto"/>
            </w:pPr>
            <w:r>
              <w:rPr>
                <w:sz w:val="20"/>
              </w:rPr>
              <w:t>Target account and logistics support before punitive action.</w:t>
            </w:r>
          </w:p>
        </w:tc>
      </w:tr>
    </w:tbl>
    <w:p w14:paraId="434A3551" w14:textId="77777777" w:rsidR="0001617E" w:rsidRDefault="0001617E">
      <w:pPr>
        <w:spacing w:after="20"/>
      </w:pPr>
    </w:p>
    <w:p w14:paraId="10EC4F5A" w14:textId="77777777" w:rsidR="0001617E" w:rsidRDefault="00B35299">
      <w:pPr>
        <w:pStyle w:val="Heading2"/>
      </w:pPr>
      <w:r>
        <w:t>6.5 Recommended 90 day leadership roadmap</w:t>
      </w:r>
    </w:p>
    <w:tbl>
      <w:tblPr>
        <w:tblStyle w:val="TableGrid"/>
        <w:tblW w:w="0" w:type="auto"/>
        <w:tblLook w:val="04A0" w:firstRow="1" w:lastRow="0" w:firstColumn="1" w:lastColumn="0" w:noHBand="0" w:noVBand="1"/>
      </w:tblPr>
      <w:tblGrid>
        <w:gridCol w:w="1656"/>
        <w:gridCol w:w="5112"/>
        <w:gridCol w:w="2520"/>
      </w:tblGrid>
      <w:tr w:rsidR="0001617E" w14:paraId="30005059" w14:textId="77777777">
        <w:tc>
          <w:tcPr>
            <w:tcW w:w="1656" w:type="dxa"/>
            <w:shd w:val="clear" w:color="auto" w:fill="D9D9D9"/>
            <w:tcMar>
              <w:top w:w="80" w:type="dxa"/>
              <w:left w:w="100" w:type="dxa"/>
              <w:bottom w:w="80" w:type="dxa"/>
              <w:right w:w="100" w:type="dxa"/>
            </w:tcMar>
            <w:vAlign w:val="center"/>
          </w:tcPr>
          <w:p w14:paraId="54ACEAE3" w14:textId="77777777" w:rsidR="0001617E" w:rsidRDefault="00B35299">
            <w:pPr>
              <w:spacing w:after="0" w:line="240" w:lineRule="auto"/>
            </w:pPr>
            <w:r>
              <w:rPr>
                <w:b/>
                <w:sz w:val="20"/>
              </w:rPr>
              <w:t>Timing</w:t>
            </w:r>
          </w:p>
        </w:tc>
        <w:tc>
          <w:tcPr>
            <w:tcW w:w="5112" w:type="dxa"/>
            <w:shd w:val="clear" w:color="auto" w:fill="D9D9D9"/>
            <w:tcMar>
              <w:top w:w="80" w:type="dxa"/>
              <w:left w:w="100" w:type="dxa"/>
              <w:bottom w:w="80" w:type="dxa"/>
              <w:right w:w="100" w:type="dxa"/>
            </w:tcMar>
            <w:vAlign w:val="center"/>
          </w:tcPr>
          <w:p w14:paraId="08BBF357" w14:textId="77777777" w:rsidR="0001617E" w:rsidRDefault="00B35299">
            <w:pPr>
              <w:spacing w:after="0" w:line="240" w:lineRule="auto"/>
            </w:pPr>
            <w:r>
              <w:rPr>
                <w:b/>
                <w:sz w:val="20"/>
              </w:rPr>
              <w:t>Leadership commitment</w:t>
            </w:r>
          </w:p>
        </w:tc>
        <w:tc>
          <w:tcPr>
            <w:tcW w:w="2520" w:type="dxa"/>
            <w:shd w:val="clear" w:color="auto" w:fill="D9D9D9"/>
            <w:tcMar>
              <w:top w:w="80" w:type="dxa"/>
              <w:left w:w="100" w:type="dxa"/>
              <w:bottom w:w="80" w:type="dxa"/>
              <w:right w:w="100" w:type="dxa"/>
            </w:tcMar>
            <w:vAlign w:val="center"/>
          </w:tcPr>
          <w:p w14:paraId="2D730129" w14:textId="77777777" w:rsidR="0001617E" w:rsidRDefault="00B35299">
            <w:pPr>
              <w:spacing w:after="0" w:line="240" w:lineRule="auto"/>
            </w:pPr>
            <w:r>
              <w:rPr>
                <w:b/>
                <w:sz w:val="20"/>
              </w:rPr>
              <w:t>Expected learning</w:t>
            </w:r>
          </w:p>
        </w:tc>
      </w:tr>
      <w:tr w:rsidR="0001617E" w14:paraId="7B87F717" w14:textId="77777777">
        <w:tc>
          <w:tcPr>
            <w:tcW w:w="1656" w:type="dxa"/>
            <w:tcMar>
              <w:top w:w="80" w:type="dxa"/>
              <w:left w:w="100" w:type="dxa"/>
              <w:bottom w:w="80" w:type="dxa"/>
              <w:right w:w="100" w:type="dxa"/>
            </w:tcMar>
            <w:vAlign w:val="center"/>
          </w:tcPr>
          <w:p w14:paraId="171720A1" w14:textId="77777777" w:rsidR="0001617E" w:rsidRDefault="00B35299">
            <w:pPr>
              <w:spacing w:after="0" w:line="240" w:lineRule="auto"/>
            </w:pPr>
            <w:r>
              <w:rPr>
                <w:sz w:val="20"/>
              </w:rPr>
              <w:t>Days 0 to 30</w:t>
            </w:r>
          </w:p>
        </w:tc>
        <w:tc>
          <w:tcPr>
            <w:tcW w:w="5112" w:type="dxa"/>
            <w:tcMar>
              <w:top w:w="80" w:type="dxa"/>
              <w:left w:w="100" w:type="dxa"/>
              <w:bottom w:w="80" w:type="dxa"/>
              <w:right w:w="100" w:type="dxa"/>
            </w:tcMar>
            <w:vAlign w:val="center"/>
          </w:tcPr>
          <w:p w14:paraId="6D4B801A" w14:textId="77777777" w:rsidR="0001617E" w:rsidRDefault="00B35299">
            <w:pPr>
              <w:spacing w:after="0" w:line="240" w:lineRule="auto"/>
            </w:pPr>
            <w:r>
              <w:rPr>
                <w:sz w:val="20"/>
              </w:rPr>
              <w:t>Nominate a fulfilment owner, publish the route and carrier scorecard, and activate day-16 exception alerts.</w:t>
            </w:r>
          </w:p>
        </w:tc>
        <w:tc>
          <w:tcPr>
            <w:tcW w:w="2520" w:type="dxa"/>
            <w:tcMar>
              <w:top w:w="80" w:type="dxa"/>
              <w:left w:w="100" w:type="dxa"/>
              <w:bottom w:w="80" w:type="dxa"/>
              <w:right w:w="100" w:type="dxa"/>
            </w:tcMar>
            <w:vAlign w:val="center"/>
          </w:tcPr>
          <w:p w14:paraId="047E4775" w14:textId="77777777" w:rsidR="0001617E" w:rsidRDefault="00B35299">
            <w:pPr>
              <w:spacing w:after="0" w:line="240" w:lineRule="auto"/>
            </w:pPr>
            <w:r>
              <w:rPr>
                <w:sz w:val="20"/>
              </w:rPr>
              <w:t>Which carriers and routes generate the avoidable long-tail orders.</w:t>
            </w:r>
          </w:p>
        </w:tc>
      </w:tr>
      <w:tr w:rsidR="0001617E" w14:paraId="796B782B" w14:textId="77777777">
        <w:tc>
          <w:tcPr>
            <w:tcW w:w="1656" w:type="dxa"/>
            <w:shd w:val="clear" w:color="auto" w:fill="F2F2F2"/>
            <w:tcMar>
              <w:top w:w="80" w:type="dxa"/>
              <w:left w:w="100" w:type="dxa"/>
              <w:bottom w:w="80" w:type="dxa"/>
              <w:right w:w="100" w:type="dxa"/>
            </w:tcMar>
            <w:vAlign w:val="center"/>
          </w:tcPr>
          <w:p w14:paraId="2A1F3846" w14:textId="77777777" w:rsidR="0001617E" w:rsidRDefault="00B35299">
            <w:pPr>
              <w:spacing w:after="0" w:line="240" w:lineRule="auto"/>
            </w:pPr>
            <w:r>
              <w:rPr>
                <w:sz w:val="20"/>
              </w:rPr>
              <w:t>Days 31 to 60</w:t>
            </w:r>
          </w:p>
        </w:tc>
        <w:tc>
          <w:tcPr>
            <w:tcW w:w="5112" w:type="dxa"/>
            <w:shd w:val="clear" w:color="auto" w:fill="F2F2F2"/>
            <w:tcMar>
              <w:top w:w="80" w:type="dxa"/>
              <w:left w:w="100" w:type="dxa"/>
              <w:bottom w:w="80" w:type="dxa"/>
              <w:right w:w="100" w:type="dxa"/>
            </w:tcMar>
            <w:vAlign w:val="center"/>
          </w:tcPr>
          <w:p w14:paraId="0ABEA648" w14:textId="77777777" w:rsidR="0001617E" w:rsidRDefault="00B35299">
            <w:pPr>
              <w:spacing w:after="0" w:line="240" w:lineRule="auto"/>
            </w:pPr>
            <w:r>
              <w:rPr>
                <w:sz w:val="20"/>
              </w:rPr>
              <w:t>Pilot regional SLA messages, proactive delay communication and parcel-level tracking for multi-seller orders.</w:t>
            </w:r>
          </w:p>
        </w:tc>
        <w:tc>
          <w:tcPr>
            <w:tcW w:w="2520" w:type="dxa"/>
            <w:shd w:val="clear" w:color="auto" w:fill="F2F2F2"/>
            <w:tcMar>
              <w:top w:w="80" w:type="dxa"/>
              <w:left w:w="100" w:type="dxa"/>
              <w:bottom w:w="80" w:type="dxa"/>
              <w:right w:w="100" w:type="dxa"/>
            </w:tcMar>
            <w:vAlign w:val="center"/>
          </w:tcPr>
          <w:p w14:paraId="4EFDCB42" w14:textId="77777777" w:rsidR="0001617E" w:rsidRDefault="00B35299">
            <w:pPr>
              <w:spacing w:after="0" w:line="240" w:lineRule="auto"/>
            </w:pPr>
            <w:r>
              <w:rPr>
                <w:sz w:val="20"/>
              </w:rPr>
              <w:t>Whether better expectation-setting narrows the review-score gap.</w:t>
            </w:r>
          </w:p>
        </w:tc>
      </w:tr>
      <w:tr w:rsidR="0001617E" w14:paraId="7FF92372" w14:textId="77777777">
        <w:tc>
          <w:tcPr>
            <w:tcW w:w="1656" w:type="dxa"/>
            <w:tcMar>
              <w:top w:w="80" w:type="dxa"/>
              <w:left w:w="100" w:type="dxa"/>
              <w:bottom w:w="80" w:type="dxa"/>
              <w:right w:w="100" w:type="dxa"/>
            </w:tcMar>
            <w:vAlign w:val="center"/>
          </w:tcPr>
          <w:p w14:paraId="2AEDF79E" w14:textId="77777777" w:rsidR="0001617E" w:rsidRDefault="00B35299">
            <w:pPr>
              <w:spacing w:after="0" w:line="240" w:lineRule="auto"/>
            </w:pPr>
            <w:r>
              <w:rPr>
                <w:sz w:val="20"/>
              </w:rPr>
              <w:lastRenderedPageBreak/>
              <w:t>Days 61 to 90</w:t>
            </w:r>
          </w:p>
        </w:tc>
        <w:tc>
          <w:tcPr>
            <w:tcW w:w="5112" w:type="dxa"/>
            <w:tcMar>
              <w:top w:w="80" w:type="dxa"/>
              <w:left w:w="100" w:type="dxa"/>
              <w:bottom w:w="80" w:type="dxa"/>
              <w:right w:w="100" w:type="dxa"/>
            </w:tcMar>
            <w:vAlign w:val="center"/>
          </w:tcPr>
          <w:p w14:paraId="064134C1" w14:textId="77777777" w:rsidR="0001617E" w:rsidRDefault="00B35299">
            <w:pPr>
              <w:spacing w:after="0" w:line="240" w:lineRule="auto"/>
            </w:pPr>
            <w:r>
              <w:rPr>
                <w:sz w:val="20"/>
              </w:rPr>
              <w:t>Review the seller risk quadrant with merchant partnerships and scale the best-performing carrier and checkout interventions.</w:t>
            </w:r>
          </w:p>
        </w:tc>
        <w:tc>
          <w:tcPr>
            <w:tcW w:w="2520" w:type="dxa"/>
            <w:tcMar>
              <w:top w:w="80" w:type="dxa"/>
              <w:left w:w="100" w:type="dxa"/>
              <w:bottom w:w="80" w:type="dxa"/>
              <w:right w:w="100" w:type="dxa"/>
            </w:tcMar>
            <w:vAlign w:val="center"/>
          </w:tcPr>
          <w:p w14:paraId="0E91871D" w14:textId="77777777" w:rsidR="0001617E" w:rsidRDefault="00B35299">
            <w:pPr>
              <w:spacing w:after="0" w:line="240" w:lineRule="auto"/>
            </w:pPr>
            <w:r>
              <w:rPr>
                <w:sz w:val="20"/>
              </w:rPr>
              <w:t>Which actions improve satisfaction without slowing seller and order growth.</w:t>
            </w:r>
          </w:p>
        </w:tc>
      </w:tr>
    </w:tbl>
    <w:p w14:paraId="13D1CA4C" w14:textId="77777777" w:rsidR="0001617E" w:rsidRDefault="0001617E">
      <w:pPr>
        <w:spacing w:after="20"/>
      </w:pPr>
    </w:p>
    <w:p w14:paraId="724A7F14" w14:textId="77777777" w:rsidR="0001617E" w:rsidRDefault="00B35299">
      <w:pPr>
        <w:pStyle w:val="Heading1"/>
      </w:pPr>
      <w:r>
        <w:t>7 Constraints and next steps</w:t>
      </w:r>
    </w:p>
    <w:p w14:paraId="2EFA0852" w14:textId="77777777" w:rsidR="0001617E" w:rsidRDefault="00B35299">
      <w:r>
        <w:t>This report is descriptive. Timing associations identify where to investigate and intervene, but do not prove that every low score was caused by the measured delay. Payment value is recorded at order level, so seller-level revenue is an analytical allocation proxy in multi-seller orders. Review comments are self-selected and any tagged complaint themes should be documented with the exact Portuguese keyword and classification rules. Future work should test interventions with before-after or controlled comparisons, add carrier-level identifiers where available, and monitor results over time.</w:t>
      </w:r>
    </w:p>
    <w:p w14:paraId="491DF48D" w14:textId="77777777" w:rsidR="0001617E" w:rsidRDefault="00B35299">
      <w:r>
        <w:br w:type="page"/>
      </w:r>
    </w:p>
    <w:p w14:paraId="1D3B98FF" w14:textId="77777777" w:rsidR="0001617E" w:rsidRDefault="00B35299">
      <w:pPr>
        <w:pStyle w:val="Heading1"/>
      </w:pPr>
      <w:r>
        <w:lastRenderedPageBreak/>
        <w:t>Technical appendix</w:t>
      </w:r>
    </w:p>
    <w:p w14:paraId="126924F6" w14:textId="77777777" w:rsidR="0001617E" w:rsidRDefault="00B35299">
      <w:pPr>
        <w:pStyle w:val="Heading2"/>
      </w:pPr>
      <w:r>
        <w:t>A Data preparation pseudocode</w:t>
      </w:r>
    </w:p>
    <w:p w14:paraId="66BBBF4A" w14:textId="77777777" w:rsidR="0001617E" w:rsidRDefault="00B35299">
      <w:pPr>
        <w:spacing w:after="20" w:line="240" w:lineRule="auto"/>
        <w:ind w:left="504"/>
      </w:pPr>
      <w:r>
        <w:rPr>
          <w:rFonts w:ascii="Courier New" w:hAnsi="Courier New"/>
          <w:sz w:val="18"/>
        </w:rPr>
        <w:t>LOAD orders, order_items, payments, reviews, customers, sellers, products and geography tables</w:t>
      </w:r>
    </w:p>
    <w:p w14:paraId="4BA6767D" w14:textId="77777777" w:rsidR="0001617E" w:rsidRDefault="00B35299">
      <w:pPr>
        <w:spacing w:after="20" w:line="240" w:lineRule="auto"/>
        <w:ind w:left="504"/>
      </w:pPr>
      <w:r>
        <w:rPr>
          <w:rFonts w:ascii="Courier New" w:hAnsi="Courier New"/>
          <w:sz w:val="18"/>
        </w:rPr>
        <w:t>STANDARDISE identifiers, numeric fields and timestamps; set one row per order_id as the target grain</w:t>
      </w:r>
    </w:p>
    <w:p w14:paraId="4C1C75DF" w14:textId="77777777" w:rsidR="0001617E" w:rsidRDefault="00B35299">
      <w:pPr>
        <w:spacing w:after="20" w:line="240" w:lineRule="auto"/>
        <w:ind w:left="504"/>
      </w:pPr>
      <w:r>
        <w:rPr>
          <w:rFonts w:ascii="Courier New" w:hAnsi="Courier New"/>
          <w:sz w:val="18"/>
        </w:rPr>
        <w:t>AGGREGATE items by order_id: n_items, n_sellers, price, freight and category descriptors</w:t>
      </w:r>
    </w:p>
    <w:p w14:paraId="7AE2CB64" w14:textId="77777777" w:rsidR="0001617E" w:rsidRDefault="00B35299">
      <w:pPr>
        <w:spacing w:after="20" w:line="240" w:lineRule="auto"/>
        <w:ind w:left="504"/>
      </w:pPr>
      <w:r>
        <w:rPr>
          <w:rFonts w:ascii="Courier New" w:hAnsi="Courier New"/>
          <w:sz w:val="18"/>
        </w:rPr>
        <w:t>AGGREGATE payments by order_id: total payment, payment method and maximum instalments</w:t>
      </w:r>
    </w:p>
    <w:p w14:paraId="69A1C44B" w14:textId="77777777" w:rsidR="0001617E" w:rsidRDefault="00B35299">
      <w:pPr>
        <w:spacing w:after="20" w:line="240" w:lineRule="auto"/>
        <w:ind w:left="504"/>
      </w:pPr>
      <w:r>
        <w:rPr>
          <w:rFonts w:ascii="Courier New" w:hAnsi="Courier New"/>
          <w:sz w:val="18"/>
        </w:rPr>
        <w:t>AGGREGATE reviews by order_id: mean review score and comment-availability indicator</w:t>
      </w:r>
    </w:p>
    <w:p w14:paraId="7DF472F2" w14:textId="77777777" w:rsidR="0001617E" w:rsidRDefault="00B35299">
      <w:pPr>
        <w:spacing w:after="20" w:line="240" w:lineRule="auto"/>
        <w:ind w:left="504"/>
      </w:pPr>
      <w:r>
        <w:rPr>
          <w:rFonts w:ascii="Courier New" w:hAnsi="Courier New"/>
          <w:sz w:val="18"/>
        </w:rPr>
        <w:t>JOIN aggregates to delivered orders; attach customer, seller, product and geographic attributes</w:t>
      </w:r>
    </w:p>
    <w:p w14:paraId="25EA97DD" w14:textId="77777777" w:rsidR="0001617E" w:rsidRDefault="00B35299">
      <w:pPr>
        <w:spacing w:after="20" w:line="240" w:lineRule="auto"/>
        <w:ind w:left="504"/>
      </w:pPr>
      <w:r>
        <w:rPr>
          <w:rFonts w:ascii="Courier New" w:hAnsi="Courier New"/>
          <w:sz w:val="18"/>
        </w:rPr>
        <w:t>DERIVE delivery time, late flag, seller handling, carrier transit, seller-count and delay buckets</w:t>
      </w:r>
    </w:p>
    <w:p w14:paraId="33D0CD22" w14:textId="77777777" w:rsidR="0001617E" w:rsidRDefault="00B35299">
      <w:pPr>
        <w:spacing w:after="20" w:line="240" w:lineRule="auto"/>
        <w:ind w:left="504"/>
      </w:pPr>
      <w:r>
        <w:rPr>
          <w:rFonts w:ascii="Courier New" w:hAnsi="Courier New"/>
          <w:sz w:val="18"/>
        </w:rPr>
        <w:t>VALIDATE duplicates, null rates, negative intervals, timestamp order and extreme delivery durations</w:t>
      </w:r>
    </w:p>
    <w:p w14:paraId="6C5A4EA4" w14:textId="77777777" w:rsidR="0001617E" w:rsidRDefault="00B35299">
      <w:pPr>
        <w:spacing w:after="20" w:line="240" w:lineRule="auto"/>
        <w:ind w:left="504"/>
      </w:pPr>
      <w:r>
        <w:rPr>
          <w:rFonts w:ascii="Courier New" w:hAnsi="Courier New"/>
          <w:sz w:val="18"/>
        </w:rPr>
        <w:t>GROUP BY required segment for charts; calculate average score, order count and late-delivery rate</w:t>
      </w:r>
    </w:p>
    <w:p w14:paraId="5F87D9BF" w14:textId="77777777" w:rsidR="0001617E" w:rsidRDefault="00B35299">
      <w:pPr>
        <w:spacing w:after="20" w:line="240" w:lineRule="auto"/>
        <w:ind w:left="504"/>
      </w:pPr>
      <w:r>
        <w:rPr>
          <w:rFonts w:ascii="Courier New" w:hAnsi="Courier New"/>
          <w:sz w:val="18"/>
        </w:rPr>
        <w:t>PUBLISH grouped results to the dashboard and retain metric definitions beside each visual</w:t>
      </w:r>
    </w:p>
    <w:p w14:paraId="79B94B13" w14:textId="77777777" w:rsidR="0001617E" w:rsidRDefault="00B35299">
      <w:pPr>
        <w:pStyle w:val="Heading2"/>
      </w:pPr>
      <w:r>
        <w:t>B Metric definitions</w:t>
      </w:r>
    </w:p>
    <w:tbl>
      <w:tblPr>
        <w:tblStyle w:val="TableGrid"/>
        <w:tblW w:w="0" w:type="auto"/>
        <w:tblLook w:val="04A0" w:firstRow="1" w:lastRow="0" w:firstColumn="1" w:lastColumn="0" w:noHBand="0" w:noVBand="1"/>
      </w:tblPr>
      <w:tblGrid>
        <w:gridCol w:w="3164"/>
        <w:gridCol w:w="6186"/>
      </w:tblGrid>
      <w:tr w:rsidR="0001617E" w14:paraId="2331EA38" w14:textId="77777777">
        <w:tc>
          <w:tcPr>
            <w:tcW w:w="3168" w:type="dxa"/>
            <w:shd w:val="clear" w:color="auto" w:fill="D9D9D9"/>
            <w:tcMar>
              <w:top w:w="80" w:type="dxa"/>
              <w:left w:w="100" w:type="dxa"/>
              <w:bottom w:w="80" w:type="dxa"/>
              <w:right w:w="100" w:type="dxa"/>
            </w:tcMar>
            <w:vAlign w:val="center"/>
          </w:tcPr>
          <w:p w14:paraId="54821E2C" w14:textId="77777777" w:rsidR="0001617E" w:rsidRDefault="00B35299">
            <w:pPr>
              <w:spacing w:after="0" w:line="240" w:lineRule="auto"/>
            </w:pPr>
            <w:r>
              <w:rPr>
                <w:b/>
                <w:sz w:val="20"/>
              </w:rPr>
              <w:t>Metric</w:t>
            </w:r>
          </w:p>
        </w:tc>
        <w:tc>
          <w:tcPr>
            <w:tcW w:w="6192" w:type="dxa"/>
            <w:shd w:val="clear" w:color="auto" w:fill="D9D9D9"/>
            <w:tcMar>
              <w:top w:w="80" w:type="dxa"/>
              <w:left w:w="100" w:type="dxa"/>
              <w:bottom w:w="80" w:type="dxa"/>
              <w:right w:w="100" w:type="dxa"/>
            </w:tcMar>
            <w:vAlign w:val="center"/>
          </w:tcPr>
          <w:p w14:paraId="1ECC6B02" w14:textId="77777777" w:rsidR="0001617E" w:rsidRDefault="00B35299">
            <w:pPr>
              <w:spacing w:after="0" w:line="240" w:lineRule="auto"/>
            </w:pPr>
            <w:r>
              <w:rPr>
                <w:b/>
                <w:sz w:val="20"/>
              </w:rPr>
              <w:t>Formula or rule</w:t>
            </w:r>
          </w:p>
        </w:tc>
      </w:tr>
      <w:tr w:rsidR="0001617E" w14:paraId="4935456C" w14:textId="77777777">
        <w:tc>
          <w:tcPr>
            <w:tcW w:w="3168" w:type="dxa"/>
            <w:tcMar>
              <w:top w:w="80" w:type="dxa"/>
              <w:left w:w="100" w:type="dxa"/>
              <w:bottom w:w="80" w:type="dxa"/>
              <w:right w:w="100" w:type="dxa"/>
            </w:tcMar>
            <w:vAlign w:val="center"/>
          </w:tcPr>
          <w:p w14:paraId="4CF32C8D" w14:textId="77777777" w:rsidR="0001617E" w:rsidRDefault="00B35299">
            <w:pPr>
              <w:spacing w:after="0" w:line="240" w:lineRule="auto"/>
            </w:pPr>
            <w:r>
              <w:rPr>
                <w:sz w:val="20"/>
              </w:rPr>
              <w:t>Average review score</w:t>
            </w:r>
          </w:p>
        </w:tc>
        <w:tc>
          <w:tcPr>
            <w:tcW w:w="6192" w:type="dxa"/>
            <w:tcMar>
              <w:top w:w="80" w:type="dxa"/>
              <w:left w:w="100" w:type="dxa"/>
              <w:bottom w:w="80" w:type="dxa"/>
              <w:right w:w="100" w:type="dxa"/>
            </w:tcMar>
            <w:vAlign w:val="center"/>
          </w:tcPr>
          <w:p w14:paraId="2800FEA2" w14:textId="77777777" w:rsidR="0001617E" w:rsidRDefault="00B35299">
            <w:pPr>
              <w:spacing w:after="0" w:line="240" w:lineRule="auto"/>
            </w:pPr>
            <w:r>
              <w:rPr>
                <w:sz w:val="20"/>
              </w:rPr>
              <w:t>Mean review score at the aggregated order level.</w:t>
            </w:r>
          </w:p>
        </w:tc>
      </w:tr>
      <w:tr w:rsidR="0001617E" w14:paraId="33FA6B08" w14:textId="77777777">
        <w:tc>
          <w:tcPr>
            <w:tcW w:w="3168" w:type="dxa"/>
            <w:shd w:val="clear" w:color="auto" w:fill="F2F2F2"/>
            <w:tcMar>
              <w:top w:w="80" w:type="dxa"/>
              <w:left w:w="100" w:type="dxa"/>
              <w:bottom w:w="80" w:type="dxa"/>
              <w:right w:w="100" w:type="dxa"/>
            </w:tcMar>
            <w:vAlign w:val="center"/>
          </w:tcPr>
          <w:p w14:paraId="1BB51F65" w14:textId="77777777" w:rsidR="0001617E" w:rsidRDefault="00B35299">
            <w:pPr>
              <w:spacing w:after="0" w:line="240" w:lineRule="auto"/>
            </w:pPr>
            <w:r>
              <w:rPr>
                <w:sz w:val="20"/>
              </w:rPr>
              <w:t>Delivery time</w:t>
            </w:r>
          </w:p>
        </w:tc>
        <w:tc>
          <w:tcPr>
            <w:tcW w:w="6192" w:type="dxa"/>
            <w:shd w:val="clear" w:color="auto" w:fill="F2F2F2"/>
            <w:tcMar>
              <w:top w:w="80" w:type="dxa"/>
              <w:left w:w="100" w:type="dxa"/>
              <w:bottom w:w="80" w:type="dxa"/>
              <w:right w:w="100" w:type="dxa"/>
            </w:tcMar>
            <w:vAlign w:val="center"/>
          </w:tcPr>
          <w:p w14:paraId="0E823365" w14:textId="77777777" w:rsidR="0001617E" w:rsidRDefault="00B35299">
            <w:pPr>
              <w:spacing w:after="0" w:line="240" w:lineRule="auto"/>
            </w:pPr>
            <w:r>
              <w:rPr>
                <w:sz w:val="20"/>
              </w:rPr>
              <w:t>delivered_customer_date minus purchase_timestamp in days.</w:t>
            </w:r>
          </w:p>
        </w:tc>
      </w:tr>
      <w:tr w:rsidR="0001617E" w14:paraId="23719AF4" w14:textId="77777777">
        <w:tc>
          <w:tcPr>
            <w:tcW w:w="3168" w:type="dxa"/>
            <w:tcMar>
              <w:top w:w="80" w:type="dxa"/>
              <w:left w:w="100" w:type="dxa"/>
              <w:bottom w:w="80" w:type="dxa"/>
              <w:right w:w="100" w:type="dxa"/>
            </w:tcMar>
            <w:vAlign w:val="center"/>
          </w:tcPr>
          <w:p w14:paraId="28E8D45F" w14:textId="77777777" w:rsidR="0001617E" w:rsidRDefault="00B35299">
            <w:pPr>
              <w:spacing w:after="0" w:line="240" w:lineRule="auto"/>
            </w:pPr>
            <w:r>
              <w:rPr>
                <w:sz w:val="20"/>
              </w:rPr>
              <w:t>Late delivery</w:t>
            </w:r>
          </w:p>
        </w:tc>
        <w:tc>
          <w:tcPr>
            <w:tcW w:w="6192" w:type="dxa"/>
            <w:tcMar>
              <w:top w:w="80" w:type="dxa"/>
              <w:left w:w="100" w:type="dxa"/>
              <w:bottom w:w="80" w:type="dxa"/>
              <w:right w:w="100" w:type="dxa"/>
            </w:tcMar>
            <w:vAlign w:val="center"/>
          </w:tcPr>
          <w:p w14:paraId="0727F869" w14:textId="77777777" w:rsidR="0001617E" w:rsidRDefault="00B35299">
            <w:pPr>
              <w:spacing w:after="0" w:line="240" w:lineRule="auto"/>
            </w:pPr>
            <w:r>
              <w:rPr>
                <w:sz w:val="20"/>
              </w:rPr>
              <w:t>delivered_customer_date later than estimated_delivery_date.</w:t>
            </w:r>
          </w:p>
        </w:tc>
      </w:tr>
      <w:tr w:rsidR="0001617E" w14:paraId="484EEE05" w14:textId="77777777">
        <w:tc>
          <w:tcPr>
            <w:tcW w:w="3168" w:type="dxa"/>
            <w:shd w:val="clear" w:color="auto" w:fill="F2F2F2"/>
            <w:tcMar>
              <w:top w:w="80" w:type="dxa"/>
              <w:left w:w="100" w:type="dxa"/>
              <w:bottom w:w="80" w:type="dxa"/>
              <w:right w:w="100" w:type="dxa"/>
            </w:tcMar>
            <w:vAlign w:val="center"/>
          </w:tcPr>
          <w:p w14:paraId="58524F11" w14:textId="77777777" w:rsidR="0001617E" w:rsidRDefault="00B35299">
            <w:pPr>
              <w:spacing w:after="0" w:line="240" w:lineRule="auto"/>
            </w:pPr>
            <w:r>
              <w:rPr>
                <w:sz w:val="20"/>
              </w:rPr>
              <w:t>Seller handling</w:t>
            </w:r>
          </w:p>
        </w:tc>
        <w:tc>
          <w:tcPr>
            <w:tcW w:w="6192" w:type="dxa"/>
            <w:shd w:val="clear" w:color="auto" w:fill="F2F2F2"/>
            <w:tcMar>
              <w:top w:w="80" w:type="dxa"/>
              <w:left w:w="100" w:type="dxa"/>
              <w:bottom w:w="80" w:type="dxa"/>
              <w:right w:w="100" w:type="dxa"/>
            </w:tcMar>
            <w:vAlign w:val="center"/>
          </w:tcPr>
          <w:p w14:paraId="68B02381" w14:textId="77777777" w:rsidR="0001617E" w:rsidRDefault="00B35299">
            <w:pPr>
              <w:spacing w:after="0" w:line="240" w:lineRule="auto"/>
            </w:pPr>
            <w:r>
              <w:rPr>
                <w:sz w:val="20"/>
              </w:rPr>
              <w:t>carrier_handoff_date minus approved_date.</w:t>
            </w:r>
          </w:p>
        </w:tc>
      </w:tr>
      <w:tr w:rsidR="0001617E" w14:paraId="149F1EA0" w14:textId="77777777">
        <w:tc>
          <w:tcPr>
            <w:tcW w:w="3168" w:type="dxa"/>
            <w:tcMar>
              <w:top w:w="80" w:type="dxa"/>
              <w:left w:w="100" w:type="dxa"/>
              <w:bottom w:w="80" w:type="dxa"/>
              <w:right w:w="100" w:type="dxa"/>
            </w:tcMar>
            <w:vAlign w:val="center"/>
          </w:tcPr>
          <w:p w14:paraId="170E0DB6" w14:textId="77777777" w:rsidR="0001617E" w:rsidRDefault="00B35299">
            <w:pPr>
              <w:spacing w:after="0" w:line="240" w:lineRule="auto"/>
            </w:pPr>
            <w:r>
              <w:rPr>
                <w:sz w:val="20"/>
              </w:rPr>
              <w:t>Carrier transit</w:t>
            </w:r>
          </w:p>
        </w:tc>
        <w:tc>
          <w:tcPr>
            <w:tcW w:w="6192" w:type="dxa"/>
            <w:tcMar>
              <w:top w:w="80" w:type="dxa"/>
              <w:left w:w="100" w:type="dxa"/>
              <w:bottom w:w="80" w:type="dxa"/>
              <w:right w:w="100" w:type="dxa"/>
            </w:tcMar>
            <w:vAlign w:val="center"/>
          </w:tcPr>
          <w:p w14:paraId="1130B512" w14:textId="77777777" w:rsidR="0001617E" w:rsidRDefault="00B35299">
            <w:pPr>
              <w:spacing w:after="0" w:line="240" w:lineRule="auto"/>
            </w:pPr>
            <w:r>
              <w:rPr>
                <w:sz w:val="20"/>
              </w:rPr>
              <w:t>delivered_customer_date minus carrier_handoff_date.</w:t>
            </w:r>
          </w:p>
        </w:tc>
      </w:tr>
      <w:tr w:rsidR="0001617E" w14:paraId="7AAD07F7" w14:textId="77777777">
        <w:tc>
          <w:tcPr>
            <w:tcW w:w="3168" w:type="dxa"/>
            <w:shd w:val="clear" w:color="auto" w:fill="F2F2F2"/>
            <w:tcMar>
              <w:top w:w="80" w:type="dxa"/>
              <w:left w:w="100" w:type="dxa"/>
              <w:bottom w:w="80" w:type="dxa"/>
              <w:right w:w="100" w:type="dxa"/>
            </w:tcMar>
            <w:vAlign w:val="center"/>
          </w:tcPr>
          <w:p w14:paraId="3766A49C" w14:textId="77777777" w:rsidR="0001617E" w:rsidRDefault="00B35299">
            <w:pPr>
              <w:spacing w:after="0" w:line="240" w:lineRule="auto"/>
            </w:pPr>
            <w:r>
              <w:rPr>
                <w:sz w:val="20"/>
              </w:rPr>
              <w:t>Late-delivery rate</w:t>
            </w:r>
          </w:p>
        </w:tc>
        <w:tc>
          <w:tcPr>
            <w:tcW w:w="6192" w:type="dxa"/>
            <w:shd w:val="clear" w:color="auto" w:fill="F2F2F2"/>
            <w:tcMar>
              <w:top w:w="80" w:type="dxa"/>
              <w:left w:w="100" w:type="dxa"/>
              <w:bottom w:w="80" w:type="dxa"/>
              <w:right w:w="100" w:type="dxa"/>
            </w:tcMar>
            <w:vAlign w:val="center"/>
          </w:tcPr>
          <w:p w14:paraId="77C5CF42" w14:textId="77777777" w:rsidR="0001617E" w:rsidRDefault="00B35299">
            <w:pPr>
              <w:spacing w:after="0" w:line="240" w:lineRule="auto"/>
            </w:pPr>
            <w:r>
              <w:rPr>
                <w:sz w:val="20"/>
              </w:rPr>
              <w:t>late delivered orders divided by delivered orders in the segment.</w:t>
            </w:r>
          </w:p>
        </w:tc>
      </w:tr>
    </w:tbl>
    <w:p w14:paraId="5B178BA2" w14:textId="77777777" w:rsidR="0001617E" w:rsidRDefault="0001617E">
      <w:pPr>
        <w:spacing w:after="20"/>
      </w:pPr>
    </w:p>
    <w:p w14:paraId="3154BE43" w14:textId="77777777" w:rsidR="0001617E" w:rsidRDefault="00B35299">
      <w:pPr>
        <w:pStyle w:val="Heading2"/>
      </w:pPr>
      <w:r>
        <w:t>C Project artefacts</w:t>
      </w:r>
    </w:p>
    <w:p w14:paraId="1B13E636" w14:textId="77777777" w:rsidR="0001617E" w:rsidRDefault="00B35299">
      <w:r>
        <w:t xml:space="preserve">Interactive executive dashboard: </w:t>
      </w:r>
      <w:hyperlink r:id="rId16">
        <w:r>
          <w:rPr>
            <w:color w:val="0563C1"/>
            <w:u w:val="single"/>
          </w:rPr>
          <w:t>https://dvd-project-fawn.vercel.app</w:t>
        </w:r>
      </w:hyperlink>
    </w:p>
    <w:p w14:paraId="65735F3C" w14:textId="77777777" w:rsidR="0001617E" w:rsidRDefault="00B35299">
      <w:r>
        <w:t>The dashboard is the interactive companion artefact for the fulfilment and customer-satisfaction analysis presented in this report.</w:t>
      </w:r>
    </w:p>
    <w:p w14:paraId="161974CA" w14:textId="77777777" w:rsidR="0001617E" w:rsidRDefault="00B35299">
      <w:pPr>
        <w:pStyle w:val="Heading2"/>
      </w:pPr>
      <w:r>
        <w:t>D Tools and project artefact management</w:t>
      </w:r>
    </w:p>
    <w:tbl>
      <w:tblPr>
        <w:tblStyle w:val="TableGrid"/>
        <w:tblW w:w="0" w:type="auto"/>
        <w:tblLook w:val="04A0" w:firstRow="1" w:lastRow="0" w:firstColumn="1" w:lastColumn="0" w:noHBand="0" w:noVBand="1"/>
      </w:tblPr>
      <w:tblGrid>
        <w:gridCol w:w="1942"/>
        <w:gridCol w:w="4315"/>
        <w:gridCol w:w="3093"/>
      </w:tblGrid>
      <w:tr w:rsidR="0001617E" w14:paraId="55A47E8D" w14:textId="77777777">
        <w:tc>
          <w:tcPr>
            <w:tcW w:w="1944" w:type="dxa"/>
            <w:shd w:val="clear" w:color="auto" w:fill="D9D9D9"/>
            <w:tcMar>
              <w:top w:w="80" w:type="dxa"/>
              <w:left w:w="100" w:type="dxa"/>
              <w:bottom w:w="80" w:type="dxa"/>
              <w:right w:w="100" w:type="dxa"/>
            </w:tcMar>
            <w:vAlign w:val="center"/>
          </w:tcPr>
          <w:p w14:paraId="69A223C0" w14:textId="77777777" w:rsidR="0001617E" w:rsidRDefault="00B35299">
            <w:pPr>
              <w:spacing w:after="0" w:line="240" w:lineRule="auto"/>
            </w:pPr>
            <w:r>
              <w:rPr>
                <w:b/>
                <w:sz w:val="20"/>
              </w:rPr>
              <w:t>Tool or platform</w:t>
            </w:r>
          </w:p>
        </w:tc>
        <w:tc>
          <w:tcPr>
            <w:tcW w:w="4320" w:type="dxa"/>
            <w:shd w:val="clear" w:color="auto" w:fill="D9D9D9"/>
            <w:tcMar>
              <w:top w:w="80" w:type="dxa"/>
              <w:left w:w="100" w:type="dxa"/>
              <w:bottom w:w="80" w:type="dxa"/>
              <w:right w:w="100" w:type="dxa"/>
            </w:tcMar>
            <w:vAlign w:val="center"/>
          </w:tcPr>
          <w:p w14:paraId="0C4269B3" w14:textId="77777777" w:rsidR="0001617E" w:rsidRDefault="00B35299">
            <w:pPr>
              <w:spacing w:after="0" w:line="240" w:lineRule="auto"/>
            </w:pPr>
            <w:r>
              <w:rPr>
                <w:b/>
                <w:sz w:val="20"/>
              </w:rPr>
              <w:t>Use in the project</w:t>
            </w:r>
          </w:p>
        </w:tc>
        <w:tc>
          <w:tcPr>
            <w:tcW w:w="3096" w:type="dxa"/>
            <w:shd w:val="clear" w:color="auto" w:fill="D9D9D9"/>
            <w:tcMar>
              <w:top w:w="80" w:type="dxa"/>
              <w:left w:w="100" w:type="dxa"/>
              <w:bottom w:w="80" w:type="dxa"/>
              <w:right w:w="100" w:type="dxa"/>
            </w:tcMar>
            <w:vAlign w:val="center"/>
          </w:tcPr>
          <w:p w14:paraId="6ADDAF8C" w14:textId="77777777" w:rsidR="0001617E" w:rsidRDefault="00B35299">
            <w:pPr>
              <w:spacing w:after="0" w:line="240" w:lineRule="auto"/>
            </w:pPr>
            <w:r>
              <w:rPr>
                <w:b/>
                <w:sz w:val="20"/>
              </w:rPr>
              <w:t>Submission role</w:t>
            </w:r>
          </w:p>
        </w:tc>
      </w:tr>
      <w:tr w:rsidR="0001617E" w14:paraId="2EC69461" w14:textId="77777777">
        <w:tc>
          <w:tcPr>
            <w:tcW w:w="1944" w:type="dxa"/>
            <w:tcMar>
              <w:top w:w="80" w:type="dxa"/>
              <w:left w:w="100" w:type="dxa"/>
              <w:bottom w:w="80" w:type="dxa"/>
              <w:right w:w="100" w:type="dxa"/>
            </w:tcMar>
            <w:vAlign w:val="center"/>
          </w:tcPr>
          <w:p w14:paraId="2297C842" w14:textId="77777777" w:rsidR="0001617E" w:rsidRDefault="00B35299">
            <w:pPr>
              <w:spacing w:after="0" w:line="240" w:lineRule="auto"/>
            </w:pPr>
            <w:r>
              <w:rPr>
                <w:sz w:val="20"/>
              </w:rPr>
              <w:t>Python scripts</w:t>
            </w:r>
          </w:p>
        </w:tc>
        <w:tc>
          <w:tcPr>
            <w:tcW w:w="4320" w:type="dxa"/>
            <w:tcMar>
              <w:top w:w="80" w:type="dxa"/>
              <w:left w:w="100" w:type="dxa"/>
              <w:bottom w:w="80" w:type="dxa"/>
              <w:right w:w="100" w:type="dxa"/>
            </w:tcMar>
            <w:vAlign w:val="center"/>
          </w:tcPr>
          <w:p w14:paraId="33EA4812" w14:textId="77777777" w:rsidR="0001617E" w:rsidRDefault="00B35299">
            <w:pPr>
              <w:spacing w:after="0" w:line="240" w:lineRule="auto"/>
            </w:pPr>
            <w:r>
              <w:rPr>
                <w:sz w:val="20"/>
              </w:rPr>
              <w:t>Repeatable extraction, cleaning, aggregation, feature engineering, checks and chart-ready datasets.</w:t>
            </w:r>
          </w:p>
        </w:tc>
        <w:tc>
          <w:tcPr>
            <w:tcW w:w="3096" w:type="dxa"/>
            <w:tcMar>
              <w:top w:w="80" w:type="dxa"/>
              <w:left w:w="100" w:type="dxa"/>
              <w:bottom w:w="80" w:type="dxa"/>
              <w:right w:w="100" w:type="dxa"/>
            </w:tcMar>
            <w:vAlign w:val="center"/>
          </w:tcPr>
          <w:p w14:paraId="3DDBA7F1" w14:textId="77777777" w:rsidR="0001617E" w:rsidRDefault="00B35299">
            <w:pPr>
              <w:spacing w:after="0" w:line="240" w:lineRule="auto"/>
            </w:pPr>
            <w:r>
              <w:rPr>
                <w:sz w:val="20"/>
              </w:rPr>
              <w:t>Provides the reproducible analytical pipeline.</w:t>
            </w:r>
          </w:p>
        </w:tc>
      </w:tr>
      <w:tr w:rsidR="0001617E" w14:paraId="42D7CC56" w14:textId="77777777">
        <w:tc>
          <w:tcPr>
            <w:tcW w:w="1944" w:type="dxa"/>
            <w:shd w:val="clear" w:color="auto" w:fill="F2F2F2"/>
            <w:tcMar>
              <w:top w:w="80" w:type="dxa"/>
              <w:left w:w="100" w:type="dxa"/>
              <w:bottom w:w="80" w:type="dxa"/>
              <w:right w:w="100" w:type="dxa"/>
            </w:tcMar>
            <w:vAlign w:val="center"/>
          </w:tcPr>
          <w:p w14:paraId="13372030" w14:textId="77777777" w:rsidR="0001617E" w:rsidRDefault="00B35299">
            <w:pPr>
              <w:spacing w:after="0" w:line="240" w:lineRule="auto"/>
            </w:pPr>
            <w:r>
              <w:rPr>
                <w:sz w:val="20"/>
              </w:rPr>
              <w:t>Kaggle notebooks</w:t>
            </w:r>
          </w:p>
        </w:tc>
        <w:tc>
          <w:tcPr>
            <w:tcW w:w="4320" w:type="dxa"/>
            <w:shd w:val="clear" w:color="auto" w:fill="F2F2F2"/>
            <w:tcMar>
              <w:top w:w="80" w:type="dxa"/>
              <w:left w:w="100" w:type="dxa"/>
              <w:bottom w:w="80" w:type="dxa"/>
              <w:right w:w="100" w:type="dxa"/>
            </w:tcMar>
            <w:vAlign w:val="center"/>
          </w:tcPr>
          <w:p w14:paraId="44DA87D6" w14:textId="77777777" w:rsidR="0001617E" w:rsidRDefault="00B35299">
            <w:pPr>
              <w:spacing w:after="0" w:line="240" w:lineRule="auto"/>
            </w:pPr>
            <w:r>
              <w:rPr>
                <w:sz w:val="20"/>
              </w:rPr>
              <w:t>Interactive exploratory data analysis, visual testing and documentation of findings.</w:t>
            </w:r>
          </w:p>
        </w:tc>
        <w:tc>
          <w:tcPr>
            <w:tcW w:w="3096" w:type="dxa"/>
            <w:shd w:val="clear" w:color="auto" w:fill="F2F2F2"/>
            <w:tcMar>
              <w:top w:w="80" w:type="dxa"/>
              <w:left w:w="100" w:type="dxa"/>
              <w:bottom w:w="80" w:type="dxa"/>
              <w:right w:w="100" w:type="dxa"/>
            </w:tcMar>
            <w:vAlign w:val="center"/>
          </w:tcPr>
          <w:p w14:paraId="0E99F1A4" w14:textId="77777777" w:rsidR="0001617E" w:rsidRDefault="00B35299">
            <w:pPr>
              <w:spacing w:after="0" w:line="240" w:lineRule="auto"/>
            </w:pPr>
            <w:r>
              <w:rPr>
                <w:sz w:val="20"/>
              </w:rPr>
              <w:t>Supports transparent EDA and shareable analysis runs.</w:t>
            </w:r>
          </w:p>
        </w:tc>
      </w:tr>
      <w:tr w:rsidR="0001617E" w14:paraId="36E928DD" w14:textId="77777777">
        <w:tc>
          <w:tcPr>
            <w:tcW w:w="1944" w:type="dxa"/>
            <w:tcMar>
              <w:top w:w="80" w:type="dxa"/>
              <w:left w:w="100" w:type="dxa"/>
              <w:bottom w:w="80" w:type="dxa"/>
              <w:right w:w="100" w:type="dxa"/>
            </w:tcMar>
            <w:vAlign w:val="center"/>
          </w:tcPr>
          <w:p w14:paraId="6BC6DC13" w14:textId="77777777" w:rsidR="0001617E" w:rsidRDefault="00B35299">
            <w:pPr>
              <w:spacing w:after="0" w:line="240" w:lineRule="auto"/>
            </w:pPr>
            <w:r>
              <w:rPr>
                <w:sz w:val="20"/>
              </w:rPr>
              <w:lastRenderedPageBreak/>
              <w:t>LaTeX and Overleaf</w:t>
            </w:r>
          </w:p>
        </w:tc>
        <w:tc>
          <w:tcPr>
            <w:tcW w:w="4320" w:type="dxa"/>
            <w:tcMar>
              <w:top w:w="80" w:type="dxa"/>
              <w:left w:w="100" w:type="dxa"/>
              <w:bottom w:w="80" w:type="dxa"/>
              <w:right w:w="100" w:type="dxa"/>
            </w:tcMar>
            <w:vAlign w:val="center"/>
          </w:tcPr>
          <w:p w14:paraId="46F5C721" w14:textId="77777777" w:rsidR="0001617E" w:rsidRDefault="00B35299">
            <w:pPr>
              <w:spacing w:after="0" w:line="240" w:lineRule="auto"/>
            </w:pPr>
            <w:r>
              <w:rPr>
                <w:sz w:val="20"/>
              </w:rPr>
              <w:t>Final typesetting, structured citations, equations and submission-ready report compilation.</w:t>
            </w:r>
          </w:p>
        </w:tc>
        <w:tc>
          <w:tcPr>
            <w:tcW w:w="3096" w:type="dxa"/>
            <w:tcMar>
              <w:top w:w="80" w:type="dxa"/>
              <w:left w:w="100" w:type="dxa"/>
              <w:bottom w:w="80" w:type="dxa"/>
              <w:right w:w="100" w:type="dxa"/>
            </w:tcMar>
            <w:vAlign w:val="center"/>
          </w:tcPr>
          <w:p w14:paraId="5DE50B23" w14:textId="77777777" w:rsidR="0001617E" w:rsidRDefault="00B35299">
            <w:pPr>
              <w:spacing w:after="0" w:line="240" w:lineRule="auto"/>
            </w:pPr>
            <w:r>
              <w:rPr>
                <w:sz w:val="20"/>
              </w:rPr>
              <w:t>Provides an evaluator-ready PDF workflow and a controlled report source.</w:t>
            </w:r>
          </w:p>
        </w:tc>
      </w:tr>
      <w:tr w:rsidR="0001617E" w14:paraId="40FD01DE" w14:textId="77777777">
        <w:tc>
          <w:tcPr>
            <w:tcW w:w="1944" w:type="dxa"/>
            <w:shd w:val="clear" w:color="auto" w:fill="F2F2F2"/>
            <w:tcMar>
              <w:top w:w="80" w:type="dxa"/>
              <w:left w:w="100" w:type="dxa"/>
              <w:bottom w:w="80" w:type="dxa"/>
              <w:right w:w="100" w:type="dxa"/>
            </w:tcMar>
            <w:vAlign w:val="center"/>
          </w:tcPr>
          <w:p w14:paraId="29D17663" w14:textId="77777777" w:rsidR="0001617E" w:rsidRDefault="00B35299">
            <w:pPr>
              <w:spacing w:after="0" w:line="240" w:lineRule="auto"/>
            </w:pPr>
            <w:r>
              <w:rPr>
                <w:sz w:val="20"/>
              </w:rPr>
              <w:t>Microsoft Word</w:t>
            </w:r>
          </w:p>
        </w:tc>
        <w:tc>
          <w:tcPr>
            <w:tcW w:w="4320" w:type="dxa"/>
            <w:shd w:val="clear" w:color="auto" w:fill="F2F2F2"/>
            <w:tcMar>
              <w:top w:w="80" w:type="dxa"/>
              <w:left w:w="100" w:type="dxa"/>
              <w:bottom w:w="80" w:type="dxa"/>
              <w:right w:w="100" w:type="dxa"/>
            </w:tcMar>
            <w:vAlign w:val="center"/>
          </w:tcPr>
          <w:p w14:paraId="63B76E1B" w14:textId="77777777" w:rsidR="0001617E" w:rsidRDefault="00B35299">
            <w:pPr>
              <w:spacing w:after="0" w:line="240" w:lineRule="auto"/>
            </w:pPr>
            <w:r>
              <w:rPr>
                <w:sz w:val="20"/>
              </w:rPr>
              <w:t>Collaborative drafting, review, editing and stakeholder-facing documentation.</w:t>
            </w:r>
          </w:p>
        </w:tc>
        <w:tc>
          <w:tcPr>
            <w:tcW w:w="3096" w:type="dxa"/>
            <w:shd w:val="clear" w:color="auto" w:fill="F2F2F2"/>
            <w:tcMar>
              <w:top w:w="80" w:type="dxa"/>
              <w:left w:w="100" w:type="dxa"/>
              <w:bottom w:w="80" w:type="dxa"/>
              <w:right w:w="100" w:type="dxa"/>
            </w:tcMar>
            <w:vAlign w:val="center"/>
          </w:tcPr>
          <w:p w14:paraId="0F080037" w14:textId="77777777" w:rsidR="0001617E" w:rsidRDefault="00B35299">
            <w:pPr>
              <w:spacing w:after="0" w:line="240" w:lineRule="auto"/>
            </w:pPr>
            <w:r>
              <w:rPr>
                <w:sz w:val="20"/>
              </w:rPr>
              <w:t>Supports document development and formatting review before final submission.</w:t>
            </w:r>
          </w:p>
        </w:tc>
      </w:tr>
      <w:tr w:rsidR="0001617E" w14:paraId="00B3C008" w14:textId="77777777">
        <w:tc>
          <w:tcPr>
            <w:tcW w:w="1944" w:type="dxa"/>
            <w:tcMar>
              <w:top w:w="80" w:type="dxa"/>
              <w:left w:w="100" w:type="dxa"/>
              <w:bottom w:w="80" w:type="dxa"/>
              <w:right w:w="100" w:type="dxa"/>
            </w:tcMar>
            <w:vAlign w:val="center"/>
          </w:tcPr>
          <w:p w14:paraId="453D6ADA" w14:textId="77777777" w:rsidR="0001617E" w:rsidRDefault="00B35299">
            <w:pPr>
              <w:spacing w:after="0" w:line="240" w:lineRule="auto"/>
            </w:pPr>
            <w:r>
              <w:rPr>
                <w:sz w:val="20"/>
              </w:rPr>
              <w:t>GitHub</w:t>
            </w:r>
          </w:p>
        </w:tc>
        <w:tc>
          <w:tcPr>
            <w:tcW w:w="4320" w:type="dxa"/>
            <w:tcMar>
              <w:top w:w="80" w:type="dxa"/>
              <w:left w:w="100" w:type="dxa"/>
              <w:bottom w:w="80" w:type="dxa"/>
              <w:right w:w="100" w:type="dxa"/>
            </w:tcMar>
            <w:vAlign w:val="center"/>
          </w:tcPr>
          <w:p w14:paraId="603918CA" w14:textId="77777777" w:rsidR="0001617E" w:rsidRDefault="00B35299">
            <w:pPr>
              <w:spacing w:after="0" w:line="240" w:lineRule="auto"/>
            </w:pPr>
            <w:r>
              <w:rPr>
                <w:sz w:val="20"/>
              </w:rPr>
              <w:t>Version-controlled codebase, work logs, notebook history and dashboard source files.</w:t>
            </w:r>
          </w:p>
        </w:tc>
        <w:tc>
          <w:tcPr>
            <w:tcW w:w="3096" w:type="dxa"/>
            <w:tcMar>
              <w:top w:w="80" w:type="dxa"/>
              <w:left w:w="100" w:type="dxa"/>
              <w:bottom w:w="80" w:type="dxa"/>
              <w:right w:w="100" w:type="dxa"/>
            </w:tcMar>
            <w:vAlign w:val="center"/>
          </w:tcPr>
          <w:p w14:paraId="0978F74B" w14:textId="77777777" w:rsidR="0001617E" w:rsidRDefault="00B35299">
            <w:pPr>
              <w:spacing w:after="0" w:line="240" w:lineRule="auto"/>
            </w:pPr>
            <w:r>
              <w:rPr>
                <w:sz w:val="20"/>
              </w:rPr>
              <w:t>Provides evaluator access to reproducible code and contribution history.</w:t>
            </w:r>
          </w:p>
        </w:tc>
      </w:tr>
      <w:tr w:rsidR="0001617E" w14:paraId="2EB828E2" w14:textId="77777777">
        <w:tc>
          <w:tcPr>
            <w:tcW w:w="1944" w:type="dxa"/>
            <w:shd w:val="clear" w:color="auto" w:fill="F2F2F2"/>
            <w:tcMar>
              <w:top w:w="80" w:type="dxa"/>
              <w:left w:w="100" w:type="dxa"/>
              <w:bottom w:w="80" w:type="dxa"/>
              <w:right w:w="100" w:type="dxa"/>
            </w:tcMar>
            <w:vAlign w:val="center"/>
          </w:tcPr>
          <w:p w14:paraId="0ADAA6D6" w14:textId="77777777" w:rsidR="0001617E" w:rsidRDefault="00B35299">
            <w:pPr>
              <w:spacing w:after="0" w:line="240" w:lineRule="auto"/>
            </w:pPr>
            <w:r>
              <w:rPr>
                <w:sz w:val="20"/>
              </w:rPr>
              <w:t>Google Drive</w:t>
            </w:r>
          </w:p>
        </w:tc>
        <w:tc>
          <w:tcPr>
            <w:tcW w:w="4320" w:type="dxa"/>
            <w:shd w:val="clear" w:color="auto" w:fill="F2F2F2"/>
            <w:tcMar>
              <w:top w:w="80" w:type="dxa"/>
              <w:left w:w="100" w:type="dxa"/>
              <w:bottom w:w="80" w:type="dxa"/>
              <w:right w:w="100" w:type="dxa"/>
            </w:tcMar>
            <w:vAlign w:val="center"/>
          </w:tcPr>
          <w:p w14:paraId="013F0E81" w14:textId="77777777" w:rsidR="0001617E" w:rsidRDefault="00B35299">
            <w:pPr>
              <w:spacing w:after="0" w:line="240" w:lineRule="auto"/>
            </w:pPr>
            <w:r>
              <w:rPr>
                <w:sz w:val="20"/>
              </w:rPr>
              <w:t>Shared source extracts, enriched dataset, figures and supporting project documents.</w:t>
            </w:r>
          </w:p>
        </w:tc>
        <w:tc>
          <w:tcPr>
            <w:tcW w:w="3096" w:type="dxa"/>
            <w:shd w:val="clear" w:color="auto" w:fill="F2F2F2"/>
            <w:tcMar>
              <w:top w:w="80" w:type="dxa"/>
              <w:left w:w="100" w:type="dxa"/>
              <w:bottom w:w="80" w:type="dxa"/>
              <w:right w:w="100" w:type="dxa"/>
            </w:tcMar>
            <w:vAlign w:val="center"/>
          </w:tcPr>
          <w:p w14:paraId="6B1C10AA" w14:textId="77777777" w:rsidR="0001617E" w:rsidRDefault="00B35299">
            <w:pPr>
              <w:spacing w:after="0" w:line="240" w:lineRule="auto"/>
            </w:pPr>
            <w:r>
              <w:rPr>
                <w:sz w:val="20"/>
              </w:rPr>
              <w:t>Provides controlled sharing of large data artefacts.</w:t>
            </w:r>
          </w:p>
        </w:tc>
      </w:tr>
      <w:tr w:rsidR="0001617E" w14:paraId="0375A474" w14:textId="77777777">
        <w:tc>
          <w:tcPr>
            <w:tcW w:w="1944" w:type="dxa"/>
            <w:tcMar>
              <w:top w:w="80" w:type="dxa"/>
              <w:left w:w="100" w:type="dxa"/>
              <w:bottom w:w="80" w:type="dxa"/>
              <w:right w:w="100" w:type="dxa"/>
            </w:tcMar>
            <w:vAlign w:val="center"/>
          </w:tcPr>
          <w:p w14:paraId="6A0528B6" w14:textId="77777777" w:rsidR="0001617E" w:rsidRDefault="00B35299">
            <w:pPr>
              <w:spacing w:after="0" w:line="240" w:lineRule="auto"/>
            </w:pPr>
            <w:r>
              <w:rPr>
                <w:sz w:val="20"/>
              </w:rPr>
              <w:t>Browser based dashboard deployed on Vercel</w:t>
            </w:r>
          </w:p>
        </w:tc>
        <w:tc>
          <w:tcPr>
            <w:tcW w:w="4320" w:type="dxa"/>
            <w:tcMar>
              <w:top w:w="80" w:type="dxa"/>
              <w:left w:w="100" w:type="dxa"/>
              <w:bottom w:w="80" w:type="dxa"/>
              <w:right w:w="100" w:type="dxa"/>
            </w:tcMar>
            <w:vAlign w:val="center"/>
          </w:tcPr>
          <w:p w14:paraId="62F7BA50" w14:textId="77777777" w:rsidR="0001617E" w:rsidRDefault="00B35299">
            <w:pPr>
              <w:spacing w:after="0" w:line="240" w:lineRule="auto"/>
            </w:pPr>
            <w:r>
              <w:rPr>
                <w:sz w:val="20"/>
              </w:rPr>
              <w:t>Interactive management dashboard with decision-oriented visuals, filters and chart interactions.</w:t>
            </w:r>
          </w:p>
        </w:tc>
        <w:tc>
          <w:tcPr>
            <w:tcW w:w="3096" w:type="dxa"/>
            <w:tcMar>
              <w:top w:w="80" w:type="dxa"/>
              <w:left w:w="100" w:type="dxa"/>
              <w:bottom w:w="80" w:type="dxa"/>
              <w:right w:w="100" w:type="dxa"/>
            </w:tcMar>
            <w:vAlign w:val="center"/>
          </w:tcPr>
          <w:p w14:paraId="54B373FD" w14:textId="77777777" w:rsidR="0001617E" w:rsidRDefault="00B35299">
            <w:pPr>
              <w:spacing w:after="0" w:line="240" w:lineRule="auto"/>
            </w:pPr>
            <w:r>
              <w:rPr>
                <w:sz w:val="20"/>
              </w:rPr>
              <w:t>Provides a live companion artefact for evaluators and leadership.</w:t>
            </w:r>
          </w:p>
        </w:tc>
      </w:tr>
    </w:tbl>
    <w:p w14:paraId="5332AD10" w14:textId="77777777" w:rsidR="0001617E" w:rsidRDefault="0001617E">
      <w:pPr>
        <w:spacing w:after="20"/>
      </w:pPr>
    </w:p>
    <w:sectPr w:rsidR="0001617E" w:rsidSect="00034616">
      <w:footerReference w:type="default" r:id="rId17"/>
      <w:pgSz w:w="12240" w:h="15840"/>
      <w:pgMar w:top="1224"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3ACBC" w14:textId="77777777" w:rsidR="00C07D44" w:rsidRDefault="00C07D44">
      <w:pPr>
        <w:spacing w:after="0" w:line="240" w:lineRule="auto"/>
      </w:pPr>
      <w:r>
        <w:separator/>
      </w:r>
    </w:p>
  </w:endnote>
  <w:endnote w:type="continuationSeparator" w:id="0">
    <w:p w14:paraId="77352E88" w14:textId="77777777" w:rsidR="00C07D44" w:rsidRDefault="00C07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8F86" w14:textId="77777777" w:rsidR="0001617E" w:rsidRDefault="00B35299">
    <w:pPr>
      <w:pStyle w:val="Footer"/>
      <w:jc w:val="right"/>
    </w:pPr>
    <w:r>
      <w:rPr>
        <w:sz w:val="20"/>
      </w:rPr>
      <w:fldChar w:fldCharType="begin"/>
    </w:r>
    <w:r>
      <w:rPr>
        <w:sz w:val="20"/>
      </w:rPr>
      <w:instrText>PAGE</w:instrText>
    </w:r>
    <w:r>
      <w:rPr>
        <w:sz w:val="20"/>
      </w:rPr>
      <w:fldChar w:fldCharType="separate"/>
    </w:r>
    <w:r w:rsidR="00DC7A7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483C4" w14:textId="77777777" w:rsidR="00C07D44" w:rsidRDefault="00C07D44">
      <w:pPr>
        <w:spacing w:after="0" w:line="240" w:lineRule="auto"/>
      </w:pPr>
      <w:r>
        <w:separator/>
      </w:r>
    </w:p>
  </w:footnote>
  <w:footnote w:type="continuationSeparator" w:id="0">
    <w:p w14:paraId="168B81FB" w14:textId="77777777" w:rsidR="00C07D44" w:rsidRDefault="00C07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7E"/>
    <w:rsid w:val="00034616"/>
    <w:rsid w:val="0006063C"/>
    <w:rsid w:val="0015074B"/>
    <w:rsid w:val="0029639D"/>
    <w:rsid w:val="00326F90"/>
    <w:rsid w:val="00AA1D8D"/>
    <w:rsid w:val="00B35299"/>
    <w:rsid w:val="00B47730"/>
    <w:rsid w:val="00C07D44"/>
    <w:rsid w:val="00CB0664"/>
    <w:rsid w:val="00DC7A71"/>
    <w:rsid w:val="00F503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6825E"/>
  <w14:defaultImageDpi w14:val="300"/>
  <w15:docId w15:val="{BCC981A4-3AA6-42D5-B11D-E2BC601B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4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vd-project-fawn.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Commerce Order Experience Analysis Final Technical Report</dc:title>
  <dc:subject/>
  <dc:creator>mrityunjay chakraborty</dc:creator>
  <cp:keywords/>
  <dc:description>generated by python-docx</dc:description>
  <cp:lastModifiedBy>mrityunjay chakraborty</cp:lastModifiedBy>
  <cp:revision>2</cp:revision>
  <dcterms:created xsi:type="dcterms:W3CDTF">2026-09-09T14:56:00Z</dcterms:created>
  <dcterms:modified xsi:type="dcterms:W3CDTF">2026-09-09T14:56:00Z</dcterms:modified>
  <cp:category/>
</cp:coreProperties>
</file>