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Smlouva o docházce dítěte do Adaptačního kroužku Šiškáček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Zřizovatel a provozovatel Adaptačního kroužku Šiškáček (dále jen „Šiškáček“):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Spolek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Lesní klub Šiška, z.s.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227 12 984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sídlem Jiráskova 17, Brno PSČ 60200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webová stránka LK Šiška: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www.lesniklubsiska.cz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číslo účtu vedeného u Fio banky: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2400309276 /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zastoupený Zuzanou Drápelovou, předsedkyní výboru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kontaktní adresa a osoba: Zuzana Drápelová, Filipova 6, 635 00 Brno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mobil: 728 272 470, e-mail: lesniklubsiska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email.cz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(dále jen „zřizovatel“)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zákonný zástupce dítěte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 a příjmení…………………………………………………………..........................................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datum narození…………………………………...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adresa trvalého bydliště……………….……………………………................................................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 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e-mail.................................................................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(dále jen „rodič“)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zákonný zástupce dítěte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 a příjmení…………………………………………………………..........................................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datum narození…………………………………...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adresa trvalého bydliště……………….……………………………................................................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 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e-mail.................................................................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(dále jen „rodič“)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uzavírají níže uvedeného dne tuto smlouvu o docházce dítěte do Šiškáčku.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Přijetí dítěte do Šiškáčku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Zřizovatel přijímá dítě: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 a příjmení…………………………………………………………..........................................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datum narození…………………... , RČ:……………….................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adresa trvalého bydliště……………….……………………………...................................................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mateřský jazyk..........................................státní příslušnost....................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(dále jen „dítě“)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Šiškáčku k docházce k datu: …...........................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prohlašuje, že informace o zdravotním stavu dítěte, které jsou podmínkou přijetí dítěte do Šiškáčku a přílohou této smlouvy, obsahují přesné, pravdivé a úplné údaje.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prohlašuje, že se před přijetím dítěte k docházce do Šiškáčku seznámil a souhlasí s Pedagogickou koncepcí LK Šiška, podle jej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chž principů bude vedena péče o dítě v rámci jeho docházky do Šiškáčku.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Pedagogická koncepce LK Šiška je zveřejněna na webových stránkách LK Šiška. Zřizovatel si vyhrazuje právo Pedagogickou koncepci LK Šiška upravovat a doplňovat.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prohlašuje, že se před přijetím dítěte k docházce do Šiškáčku seznámil s Provozním řádem LK Šiška, podle něhož bude veden provoz Šiškáčku. Rodič se zavazuje, že Provozní řád LK Šiška bude dodržovat. Provozní řád LK Šiška je zveřejněn na Informační nástěnce v zázemí klubu. Zřizovatel si vyhrazuje právo Provozní řád LK Šiška upravovat a doplňovat. Změny a inovace v provozním řádu jsou rodičům sdělovány vždy v nejbližším možném termínu po provedených změnách zasláním na kontaktní e-mailovou adresu.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Platba za docházku dítěte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Výše platby za docházku dítěte do Šiškáčku je stanovena zřizovatelem.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se zavazuje zaplatit zřizovateli za celkovou docházku dítěte do Šiškáčku jednorázově, a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.3.202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Výše platby za docházku do Šiškáčku činí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highlight w:val="white"/>
          <w:rtl w:val="0"/>
        </w:rPr>
        <w:t xml:space="preserve">650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,- Kč za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setkání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Nebude-li platba za docházku do uvedeného data uhrazena, tato smlouva se od počátku ruší a smluvní strany vůči sobě nemají žádných práv či povinností. Stejně tak v případě, že dítě k docházce do Šiškáčku nenastoupí, uhrazenou platbu za docházku si ponechá zřizovatel, jakožto paušální náhradu všech výdajů spojených s marnou rezervací místa v Šiškáčku pro dítě a v souvislosti s ní vzniklou škodou.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souhlasí, že dokud neuhradí platbu za docházku dítěte do Šiškáčku ve stanovené výši, dítě ztrácí na docházku do Šiškáčku právo.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 případě absence dítěte nebo předčas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highlight w:val="white"/>
          <w:rtl w:val="0"/>
        </w:rPr>
        <w:t xml:space="preserve">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ukončení docházky dítěte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Šiškáčku se platba za docházku nevrací.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 případě zásahu vyšší moci (např. vládní opatření znemožňující setkávání)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platba za docházku nevrací.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both"/>
        <w:rPr>
          <w:rFonts w:ascii="Arial" w:cs="Arial" w:eastAsia="Arial" w:hAnsi="Arial"/>
          <w:i w:val="0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Odpovědnost za dítě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 souladu s Pedagogickou koncepcí LK Šiška jsou stanovena pravidla pro pobyt dětí v přírodě. Rodič souhlasí, že jednou ze základních podmínek bezpečného pobytu dětí v přírodě v rámci docházky do Šiškáčku je vhodné oblečení, obutí a další vybavení odpovídající roční době a počasí, které jsou příkladně popsány v Provozním řádu LK Šiška.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Zřizovatel v provozních dnech a hodinách Šiškáčku přebírá zodpovědnost za dítě okamžikem předání dítěte pedagogovi Šiškáčku, tj. slovním oznámením. Předáním dítěte zpět rodiči odpovědnost zřizovatele za dítě končí.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Vyzvedávání dítěte z Šiškáčku je zajištěno osobně jeho rodiči nebo pověřenými osobami.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Rodič může předem určit max. 2 pověřené osoby, které budou oprávněny vyzvedávat dítě z Šiškáčku: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 a příjmení</w:t>
        <w:tab/>
        <w:t xml:space="preserve">……………………………………………………</w:t>
        <w:br w:type="textWrapping"/>
        <w:t xml:space="preserve">status v rodině</w:t>
        <w:tab/>
        <w:t xml:space="preserve">……………………………………………………</w:t>
        <w:br w:type="textWrapping"/>
        <w:t xml:space="preserve">datum narození</w:t>
        <w:tab/>
        <w:t xml:space="preserve">……………………………………………………</w:t>
        <w:br w:type="textWrapping"/>
        <w:t xml:space="preserve">adresa bydliště</w:t>
        <w:tab/>
        <w:t xml:space="preserve">……………………………………………………</w:t>
        <w:br w:type="textWrapping"/>
        <w:t xml:space="preserve">telefon</w:t>
        <w:tab/>
        <w:tab/>
        <w:t xml:space="preserve">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 a příjmení</w:t>
        <w:tab/>
        <w:t xml:space="preserve">……………………………………………………</w:t>
        <w:br w:type="textWrapping"/>
        <w:t xml:space="preserve">status v rodině</w:t>
        <w:tab/>
        <w:t xml:space="preserve">……………………………………………………</w:t>
        <w:br w:type="textWrapping"/>
        <w:t xml:space="preserve">datum narození</w:t>
        <w:tab/>
        <w:t xml:space="preserve">……………………………………………………</w:t>
        <w:br w:type="textWrapping"/>
        <w:t xml:space="preserve">adresa bydliště</w:t>
        <w:tab/>
        <w:t xml:space="preserve">……………………………………………………</w:t>
        <w:br w:type="textWrapping"/>
        <w:t xml:space="preserve">telefon</w:t>
        <w:tab/>
        <w:tab/>
        <w:t xml:space="preserve">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Pokud by z jakýchkoliv důvodů nemohl pravidelně vyzvedávat dítě z Šiškáčku osobně jeho rodič nebo pověřená osoba podle čl. III.4. této smlouvy, zašle zřizovateli rodič písemné oznámení s uvedením jména, příjmení a data narození, statusu v rodině a kontaktů na tuto osobu pověřenou k vyzvedávání dítěte a tuto osobu.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Pokud by jednorázově nemohl rodič nebo jím pověřené osoby podle čl. III.4. a III.5. této smlouvy osobně vyzvednout dítě, rodič vyzvednutí třetí osobou telefonicky oznámí pedagogům Šiškáčku s uvedením jména, příjmení, statusu v rodině a kontaktů. Pedagog Šiškáčku má právo ověřit totožnost takové třetí osoby a v případě jakýchkoliv pochybností v zájmu zdraví a bezpečnosti dítěte všemi legitimními prostředky ověřit oprávnění této třetí osoby vyzvednout dítě, její totožnost a vztah k dítěti.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Zřizovatel je pojištěn. Pojištění pokrývá pojištění budov pro případ poškození, pojištění movitých věcí pro případ poškození, pojištění odpovědnosti za škodu vzniklou na zdraví dítěte. Pojišťovací smlouva je k dispozici u zřizovatele k nahlédnutí.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Omlouvání dítěte z docházky a ukončení docházky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 případě nepředpokládané absence dítěte v Šiškáčku, např. z důvodu onemocnění či z obdobných vážných důvodů, rodič dítě omluví pedagogům telefonicky. V případě déle trvající absence dítěte je nutno na ni a předpokládanou dobu trvání pedagogy Šiškáčku upozornit emailem.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Nárok na nahrazení docházky není možný.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Docházka do Šiškáčku je automaticky ukončena posledním setkáním, nedohodnou-li se smluvní strany jinak.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Trvání a ukončení smlouvy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Smlouva se uzavírá na dobu určitou, a to pouze po dobu trvání Šiškáčku.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Tato smlouva nabývá platnosti a účinnosti dnem podpisu oběma smluvními stranami.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Kterákoliv ze smluvních stran může tuto smlouvu písemně vypovědět kdykoliv během jejího trvání. Výpovědní doba je 1 měsíc. Výpovědní doba začíná prvním dnem kalendářního měsíce následujícího po doručení výpovědi druhé smluvní straně a končí uplynutím posledního dne příslušného kalendářního měsíce.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Zřizovatel může tuto smlouvu dále vypovědět: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důvodu opakovaného hrubého porušování Provozního řádu LK Šiška ze strany rodičů nebo dítěte, na které byly rodiče ze strany zřizovatele předem upozorněni,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důvodu uvedení nepravdivých údajů v Informaci o zdravotním stavu dítěte.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Tato smlouva může být ukončena písemnou dohodou smluvních stran.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Závěrečná ustanovení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Práva a povinnosti smluvních stran výslovně neupravené v této smlouvě se řídí příslušnými ustanoveními občanského zákoníku.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Smlouva je vyhotovena ve dvou stejnopisech, z nichž po jednom obdrží každá ze smluvních stran.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Smluvní strany prohlašují, že si smlouvu přečetli, souhlasí s ní a na důkaz souhlasu připojují své podpisy.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left"/>
        <w:tblInd w:w="-108.0" w:type="dxa"/>
        <w:tblLayout w:type="fixed"/>
        <w:tblLook w:val="0400"/>
      </w:tblPr>
      <w:tblGrid>
        <w:gridCol w:w="4606"/>
        <w:gridCol w:w="4605"/>
        <w:tblGridChange w:id="0">
          <w:tblGrid>
            <w:gridCol w:w="4606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 Brně dne …………………</w:t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……………………………………………</w:t>
              <w:br w:type="textWrapping"/>
              <w:t xml:space="preserve">Lesní klub Šiška, z.s.,</w:t>
              <w:br w:type="textWrapping"/>
              <w:t xml:space="preserve">člen výboru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 Brně dne …………………</w:t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……………………………………………</w:t>
              <w:br w:type="textWrapping"/>
              <w:t xml:space="preserve">rodič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i w:val="1"/>
        <w:color w:val="00000a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1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jc w:val="left"/>
    </w:pPr>
    <w:rPr>
      <w:rFonts w:ascii="Liberation Serif" w:cs="Arial" w:eastAsia="SimSun" w:hAnsi="Liberation Serif"/>
      <w:i w:val="1"/>
      <w:color w:val="00000a"/>
      <w:sz w:val="24"/>
      <w:szCs w:val="24"/>
      <w:lang w:bidi="hi-IN" w:eastAsia="ar-SA" w:val="cs-CZ"/>
    </w:rPr>
  </w:style>
  <w:style w:type="paragraph" w:styleId="Nadpis1">
    <w:name w:val="Heading 1"/>
    <w:basedOn w:val="Nadpis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48"/>
      <w:szCs w:val="48"/>
      <w:lang w:bidi="hi-IN" w:eastAsia="zh-CN" w:val="cs-CZ"/>
    </w:rPr>
  </w:style>
  <w:style w:type="paragraph" w:styleId="Nadpis2">
    <w:name w:val="Heading 2"/>
    <w:basedOn w:val="Nadpis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36"/>
      <w:szCs w:val="36"/>
      <w:lang w:bidi="hi-IN" w:eastAsia="zh-CN" w:val="cs-CZ"/>
    </w:rPr>
  </w:style>
  <w:style w:type="paragraph" w:styleId="Nadpis3">
    <w:name w:val="Heading 3"/>
    <w:basedOn w:val="Nadpis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28"/>
      <w:szCs w:val="28"/>
      <w:lang w:bidi="hi-IN" w:eastAsia="zh-CN" w:val="cs-CZ"/>
    </w:rPr>
  </w:style>
  <w:style w:type="paragraph" w:styleId="Nadpis4">
    <w:name w:val="Heading 4"/>
    <w:basedOn w:val="Nadpis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24"/>
      <w:szCs w:val="24"/>
      <w:lang w:bidi="hi-IN" w:eastAsia="zh-CN" w:val="cs-CZ"/>
    </w:rPr>
  </w:style>
  <w:style w:type="paragraph" w:styleId="Nadpis5">
    <w:name w:val="Heading 5"/>
    <w:basedOn w:val="Nadpis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22"/>
      <w:szCs w:val="22"/>
      <w:lang w:bidi="hi-IN" w:eastAsia="zh-CN" w:val="cs-CZ"/>
    </w:rPr>
  </w:style>
  <w:style w:type="paragraph" w:styleId="Nadpis6">
    <w:name w:val="Heading 6"/>
    <w:basedOn w:val="Nadpis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jc w:val="left"/>
    </w:pPr>
    <w:rPr>
      <w:rFonts w:ascii="Liberation Serif" w:cs="Arial" w:eastAsia="SimSun" w:hAnsi="Liberation Serif"/>
      <w:b w:val="1"/>
      <w:i w:val="1"/>
      <w:color w:val="00000a"/>
      <w:sz w:val="20"/>
      <w:szCs w:val="20"/>
      <w:lang w:bidi="hi-IN" w:eastAsia="zh-CN" w:val="cs-CZ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andardnpsmoodstavce1" w:customStyle="1">
    <w:name w:val="Standardní písmo odstavce1"/>
    <w:qFormat w:val="1"/>
    <w:rPr/>
  </w:style>
  <w:style w:type="character" w:styleId="Internetovodkaz">
    <w:name w:val="Internetový odkaz"/>
    <w:rPr>
      <w:color w:val="0000ff"/>
      <w:u w:val="single"/>
    </w:rPr>
  </w:style>
  <w:style w:type="character" w:styleId="ListLabel1">
    <w:name w:val="ListLabel 1"/>
    <w:qFormat w:val="1"/>
    <w:rPr>
      <w:rFonts w:ascii="Arial" w:hAnsi="Arial"/>
      <w:b w:val="1"/>
      <w:sz w:val="20"/>
    </w:rPr>
  </w:style>
  <w:style w:type="character" w:styleId="ListLabel2">
    <w:name w:val="ListLabel 2"/>
    <w:qFormat w:val="1"/>
    <w:rPr>
      <w:rFonts w:ascii="Arial" w:hAnsi="Arial"/>
      <w:b w:val="1"/>
      <w:sz w:val="20"/>
    </w:rPr>
  </w:style>
  <w:style w:type="character" w:styleId="ListLabel3">
    <w:name w:val="ListLabel 3"/>
    <w:qFormat w:val="1"/>
    <w:rPr>
      <w:rFonts w:ascii="Arial" w:hAnsi="Arial"/>
      <w:b w:val="0"/>
      <w:i w:val="0"/>
      <w:sz w:val="20"/>
    </w:rPr>
  </w:style>
  <w:style w:type="character" w:styleId="ListLabel4">
    <w:name w:val="ListLabel 4"/>
    <w:qFormat w:val="1"/>
    <w:rPr>
      <w:rFonts w:ascii="Arial" w:hAnsi="Arial"/>
      <w:b w:val="1"/>
      <w:sz w:val="20"/>
    </w:rPr>
  </w:style>
  <w:style w:type="character" w:styleId="ListLabel5">
    <w:name w:val="ListLabel 5"/>
    <w:qFormat w:val="1"/>
    <w:rPr>
      <w:rFonts w:ascii="Arial" w:hAnsi="Arial"/>
      <w:b w:val="1"/>
      <w:sz w:val="20"/>
    </w:rPr>
  </w:style>
  <w:style w:type="character" w:styleId="ListLabel6">
    <w:name w:val="ListLabel 6"/>
    <w:qFormat w:val="1"/>
    <w:rPr>
      <w:rFonts w:ascii="Arial" w:hAnsi="Arial"/>
      <w:b w:val="0"/>
      <w:i w:val="0"/>
      <w:sz w:val="20"/>
    </w:rPr>
  </w:style>
  <w:style w:type="character" w:styleId="ListLabel7">
    <w:name w:val="ListLabel 7"/>
    <w:qFormat w:val="1"/>
    <w:rPr>
      <w:b w:val="1"/>
      <w:sz w:val="20"/>
    </w:rPr>
  </w:style>
  <w:style w:type="character" w:styleId="ListLabel8">
    <w:name w:val="ListLabel 8"/>
    <w:qFormat w:val="1"/>
    <w:rPr>
      <w:rFonts w:ascii="Arial" w:hAnsi="Arial"/>
      <w:b w:val="1"/>
      <w:sz w:val="20"/>
    </w:rPr>
  </w:style>
  <w:style w:type="character" w:styleId="ListLabel9">
    <w:name w:val="ListLabel 9"/>
    <w:qFormat w:val="1"/>
    <w:rPr>
      <w:rFonts w:ascii="Arial" w:hAnsi="Arial"/>
      <w:b w:val="0"/>
      <w:i w:val="0"/>
      <w:sz w:val="20"/>
    </w:rPr>
  </w:style>
  <w:style w:type="paragraph" w:styleId="Nadpis" w:customStyle="1">
    <w:name w:val="Nadpis"/>
    <w:basedOn w:val="Normal"/>
    <w:next w:val="Tlotextu"/>
    <w:qFormat w:val="1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lotextu">
    <w:name w:val="Body Text"/>
    <w:basedOn w:val="Normal"/>
    <w:pPr>
      <w:spacing w:after="120" w:before="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 w:customStyle="1">
    <w:name w:val="Caption"/>
    <w:basedOn w:val="Normal"/>
    <w:qFormat w:val="1"/>
    <w:pPr>
      <w:suppressLineNumbers w:val="1"/>
      <w:spacing w:after="120" w:before="120"/>
    </w:pPr>
    <w:rPr>
      <w:rFonts w:cs="Mangal"/>
      <w:iCs w:val="1"/>
    </w:rPr>
  </w:style>
  <w:style w:type="paragraph" w:styleId="Rejstk" w:customStyle="1">
    <w:name w:val="Rejstřík"/>
    <w:basedOn w:val="Normal"/>
    <w:qFormat w:val="1"/>
    <w:pPr>
      <w:suppressLineNumbers w:val="1"/>
    </w:pPr>
    <w:rPr>
      <w:rFonts w:cs="Mangal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Liberation Serif" w:cs="Arial" w:eastAsia="SimSun" w:hAnsi="Liberation Serif"/>
      <w:i w:val="1"/>
      <w:color w:val="00000a"/>
      <w:sz w:val="24"/>
      <w:szCs w:val="24"/>
      <w:lang w:bidi="hi-IN" w:eastAsia="zh-CN" w:val="cs-CZ"/>
    </w:rPr>
  </w:style>
  <w:style w:type="paragraph" w:styleId="Nzev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280" w:before="280"/>
    </w:pPr>
    <w:rPr>
      <w:i w:val="0"/>
    </w:rPr>
  </w:style>
  <w:style w:type="paragraph" w:styleId="Zkladnslovn2" w:customStyle="1">
    <w:name w:val="Základní číslování 2"/>
    <w:basedOn w:val="Tlotextu"/>
    <w:qFormat w:val="1"/>
    <w:rsid w:val="00031B83"/>
    <w:pPr>
      <w:spacing w:after="200" w:before="0" w:line="276" w:lineRule="auto"/>
      <w:jc w:val="both"/>
    </w:pPr>
    <w:rPr>
      <w:rFonts w:ascii="Arial" w:hAnsi="Arial"/>
      <w:i w:val="0"/>
      <w:sz w:val="20"/>
      <w:szCs w:val="20"/>
    </w:rPr>
  </w:style>
  <w:style w:type="paragraph" w:styleId="Podtitul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Mkatabulky">
    <w:name w:val="Table Grid"/>
    <w:basedOn w:val="Normlntabulka"/>
    <w:uiPriority w:val="59"/>
    <w:rsid w:val="007F75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esniklubsiska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h7CIq/XMsLQLMLKRQF+uqZGhXg==">CgMxLjAyCGguZ2pkZ3hzOAByITFyTnMxeFUyZ0lhR1NhcTgxVEw0UUVHbDhuU0lRWVNWOA==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2017-05-09T11:13:00Z</dcterms:created>
  <dc:creator>FREE2</dc:creator>
</cp:coreProperties>
</file>