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60"/>
        <w:jc w:val="center"/>
      </w:pPr>
      <w:r>
        <w:rPr>
          <w:rFonts w:ascii="Times New Roman" w:hAnsi="Times New Roman" w:eastAsia="맑은 고딕"/>
          <w:b/>
          <w:sz w:val="24"/>
        </w:rPr>
        <w:t>&lt;표 3&gt; Wood, Bruner &amp; Ross(1976) 스캐폴딩 6 기능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02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번호</w:t>
            </w:r>
          </w:p>
        </w:tc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기능</w:t>
            </w:r>
          </w:p>
        </w:tc>
        <w:tc>
          <w:tcPr>
            <w:tcW w:type="dxa" w:w="436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설명</w:t>
            </w:r>
          </w:p>
        </w:tc>
      </w:tr>
      <w:tr>
        <w:tc>
          <w:tcPr>
            <w:tcW w:type="dxa" w:w="102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①</w:t>
            </w:r>
          </w:p>
        </w:tc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관심 유발(Recruitment)</w:t>
            </w:r>
          </w:p>
        </w:tc>
        <w:tc>
          <w:tcPr>
            <w:tcW w:type="dxa" w:w="436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학습자가 과제에 흥미를 갖고 참여하도록 유도</w:t>
            </w:r>
          </w:p>
        </w:tc>
      </w:tr>
      <w:tr>
        <w:tc>
          <w:tcPr>
            <w:tcW w:type="dxa" w:w="102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②</w:t>
            </w:r>
          </w:p>
        </w:tc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자유도 축소(Reduction in degrees of freedom)</w:t>
            </w:r>
          </w:p>
        </w:tc>
        <w:tc>
          <w:tcPr>
            <w:tcW w:type="dxa" w:w="436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한 번에 다루어야 할 인지적 요소의 수를 제한</w:t>
            </w:r>
          </w:p>
        </w:tc>
      </w:tr>
      <w:tr>
        <w:tc>
          <w:tcPr>
            <w:tcW w:type="dxa" w:w="102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③</w:t>
            </w:r>
          </w:p>
        </w:tc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방향 유지(Direction maintenance)</w:t>
            </w:r>
          </w:p>
        </w:tc>
        <w:tc>
          <w:tcPr>
            <w:tcW w:type="dxa" w:w="436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학습자가 목표를 잃지 않고 과제를 향해 나아가도록 유지</w:t>
            </w:r>
          </w:p>
        </w:tc>
      </w:tr>
      <w:tr>
        <w:tc>
          <w:tcPr>
            <w:tcW w:type="dxa" w:w="102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④</w:t>
            </w:r>
          </w:p>
        </w:tc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핵심 특성 표시(Marking critical features)</w:t>
            </w:r>
          </w:p>
        </w:tc>
        <w:tc>
          <w:tcPr>
            <w:tcW w:type="dxa" w:w="436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과제에서 결정적인 요소를 부각하여 학습자의 주의 집중</w:t>
            </w:r>
          </w:p>
        </w:tc>
      </w:tr>
      <w:tr>
        <w:tc>
          <w:tcPr>
            <w:tcW w:type="dxa" w:w="102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⑤</w:t>
            </w:r>
          </w:p>
        </w:tc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좌절 통제(Frustration control)</w:t>
            </w:r>
          </w:p>
        </w:tc>
        <w:tc>
          <w:tcPr>
            <w:tcW w:type="dxa" w:w="436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학습자가 좌절하지 않도록 적절한 수준의 도움 제공</w:t>
            </w:r>
          </w:p>
        </w:tc>
      </w:tr>
      <w:tr>
        <w:tc>
          <w:tcPr>
            <w:tcW w:type="dxa" w:w="102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⑥</w:t>
            </w:r>
          </w:p>
        </w:tc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시범(Demonstration)</w:t>
            </w:r>
          </w:p>
        </w:tc>
        <w:tc>
          <w:tcPr>
            <w:tcW w:type="dxa" w:w="436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모범 답안의 형태를 제시하여 학습자가 그 형태를 모방·내재화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