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  <w:jc w:val="center"/>
      </w:pPr>
      <w:r>
        <w:rPr>
          <w:rFonts w:ascii="Times New Roman" w:hAnsi="Times New Roman" w:eastAsia="맑은 고딕"/>
          <w:b/>
          <w:sz w:val="24"/>
        </w:rPr>
        <w:t>&lt;표 6&gt; 사전·사후 형성평가 루브릭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평가 영역</w:t>
            </w:r>
          </w:p>
        </w:tc>
        <w:tc>
          <w:tcPr>
            <w:tcW w:type="dxa" w:w="56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평가 기준 (우수 5점 / 보통 3점 / 미흡 1점)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① 고장 증상 파악 및 가설 설정</w:t>
            </w:r>
          </w:p>
        </w:tc>
        <w:tc>
          <w:tcPr>
            <w:tcW w:type="dxa" w:w="56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증상 인식의 정확성, 가설 범위의 구체성, 안전 절차 인식 여부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② 회로도 분석 및 점검 계획 수립</w:t>
            </w:r>
          </w:p>
        </w:tc>
        <w:tc>
          <w:tcPr>
            <w:tcW w:type="dxa" w:w="56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회로도 해석의 정확성, 전원→퓨즈→스위치→부하→접지 흐름 추적, 점검 우선순위 설정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③ 계측 위치 선정 및 데이터 측정 절차</w:t>
            </w:r>
          </w:p>
        </w:tc>
        <w:tc>
          <w:tcPr>
            <w:tcW w:type="dxa" w:w="56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측정 위치의 적절성, 멀티미터 모드·레인지 선정, 정상 기준값과의 비교 기준 명시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④ 원인 도출 및 정비 전략 수립</w:t>
            </w:r>
          </w:p>
        </w:tc>
        <w:tc>
          <w:tcPr>
            <w:tcW w:type="dxa" w:w="56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측정값 해석의 논리성, 원인 도출의 인과적 타당성, 다음 정비 조치의 구체성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