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p>
      <w:pPr>
        <w:pStyle w:val="FirstParagraph"/>
      </w:pPr>
      <w:r>
        <w:t xml:space="preserve">Dieses Repository beinhaltet den Quellcode und die Dokumentation für die Machbarkeitsstudie zur</w:t>
      </w:r>
      <w:r>
        <w:t xml:space="preserve"> </w:t>
      </w:r>
      <w:r>
        <w:rPr>
          <w:b/>
          <w:bCs/>
        </w:rPr>
        <w:t xml:space="preserve">digitalen Erfassung und Bewertung von Bäumen auf der landwirtschaftlichen Nutzfläche</w:t>
      </w:r>
      <w:r>
        <w:t xml:space="preserve"> </w:t>
      </w:r>
      <w:r>
        <w:t xml:space="preserve">im Auftrag des Bundesamtes für Landwirtschaft (BLW).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Bei diesem Projekt handelt es sich (nur) um eine Machbarkeitsstudie. Ob und gegebenenfalls wie die Förderung von Bäumen über Direktzahlungen angepasst wird, hängt von verschiedenen Faktoren - unter anderem von den Ergebnissen der Machbarkeitsstudie - ab.</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30"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27" w:name="gis-daten-des-blw"/>
    <w:p>
      <w:pPr>
        <w:pStyle w:val="Heading2"/>
      </w:pPr>
      <w:r>
        <w:t xml:space="preserve">3.2 GIS-Daten des BLW</w:t>
      </w:r>
    </w:p>
    <w:p>
      <w:pPr>
        <w:pStyle w:val="FirstParagraph"/>
      </w:pPr>
      <w:r>
        <w:t xml:space="preserve">Repräsentiert alle landwirtschaftlichen Nutzflächen der Schweiz als Polygone mit bestimmten Attributen wie z. B. der direktzahlungsberechtigten Kultur sowie der Zugehörigkeit zu Betrieben, der für den Vollzug zuständigen Kantone etc.</w:t>
      </w:r>
      <w:r>
        <w:t xml:space="preserve"> </w:t>
      </w:r>
      <w:r>
        <w:t xml:space="preserve">In der</w:t>
      </w:r>
      <w:r>
        <w:t xml:space="preserve"> </w:t>
      </w:r>
      <w:hyperlink r:id="rId25">
        <w:r>
          <w:rPr>
            <w:rStyle w:val="Hyperlink"/>
          </w:rPr>
          <w:t xml:space="preserve">Vollzugshilfe Merkblatt Nr. 6.2</w:t>
        </w:r>
      </w:hyperlink>
      <w:r>
        <w:t xml:space="preserve"> </w:t>
      </w:r>
      <w:r>
        <w:t xml:space="preserve">ist der Flächenkatalog mit den beitragsberechtigten Flächen und ihren Codes beschrieben.</w:t>
      </w:r>
      <w:r>
        <w:t xml:space="preserve"> </w:t>
      </w:r>
      <w:r>
        <w:t xml:space="preserve">Je nach Ausprägung der Kultur sind verschiedene Codes möglich: Hecken werden beispielsweise unter folgenden Codes angemeldet: 852, 857, 858 oder 902 .</w:t>
      </w:r>
    </w:p>
    <w:tbl>
      <w:tblPr>
        <w:tblStyle w:val="Table"/>
        <w:tblW w:type="pct" w:w="5000"/>
        <w:tblLayout w:type="fixed"/>
        <w:tblLook w:firstRow="0" w:lastRow="0" w:firstColumn="0" w:lastColumn="0" w:noHBand="0" w:noVBand="0" w:val="0000"/>
      </w:tblPr>
      <w:tblGrid>
        <w:gridCol w:w="7920"/>
      </w:tblGrid>
      <w:tr>
        <w:tc>
          <w:tcPr/>
          <w:bookmarkStart w:id="26" w:name="fig-vhm"/>
          <w:p>
            <w:pPr>
              <w:jc w:val="center"/>
            </w:pPr>
            <w:pPr>
              <w:jc w:val="left"/>
              <w:spacing w:before="200"/>
              <w:pStyle w:val="ImageCaption"/>
            </w:pPr>
            <w:r>
              <w:t xml:space="preserve">Abbildung 3.2: Interaktive Ansicht des Vegetationshöhenmodell Lidar LFI mit darübergelegter Karte der landwirtschaftlichen Nutzungsflächen (Geobasisdaten 153.1) der Vergation rund um Weerswilen TG. Obstanlagen sind hier gut ersichtlich, da hochwachsende Vegetation innerhalb der Nutzungsflächen liegt.</w:t>
            </w:r>
          </w:p>
          <w:bookmarkEnd w:id="26"/>
        </w:tc>
      </w:tr>
    </w:tbl>
    <w:bookmarkEnd w:id="27"/>
    <w:bookmarkStart w:id="28"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28"/>
    <w:bookmarkStart w:id="29"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29"/>
    <w:bookmarkEnd w:id="30"/>
    <w:bookmarkStart w:id="31" w:name="baumerkennung"/>
    <w:p>
      <w:pPr>
        <w:pStyle w:val="Heading1"/>
      </w:pPr>
      <w:r>
        <w:t xml:space="preserve">4. Baumerkennung</w:t>
      </w:r>
    </w:p>
    <w:p>
      <w:pPr>
        <w:pStyle w:val="FirstParagraph"/>
      </w:pPr>
      <w:r>
        <w:t xml:space="preserve">TODO.</w:t>
      </w:r>
    </w:p>
    <w:bookmarkEnd w:id="31"/>
    <w:bookmarkStart w:id="32" w:name="bekannte-probleme"/>
    <w:p>
      <w:pPr>
        <w:pStyle w:val="Heading1"/>
      </w:pPr>
      <w:r>
        <w:t xml:space="preserve">5. Bekannte Probleme</w:t>
      </w:r>
    </w:p>
    <w:p>
      <w:pPr>
        <w:pStyle w:val="FirstParagraph"/>
      </w:pPr>
      <w:r>
        <w:t xml:space="preserve">TODO.</w:t>
      </w:r>
    </w:p>
    <w:bookmarkEnd w:id="32"/>
    <w:bookmarkStart w:id="48" w:name="referenzen"/>
    <w:p>
      <w:pPr>
        <w:pStyle w:val="Heading1"/>
      </w:pPr>
      <w:r>
        <w:t xml:space="preserve">Referenzen</w:t>
      </w:r>
    </w:p>
    <w:bookmarkStart w:id="47" w:name="refs"/>
    <w:bookmarkStart w:id="34" w:name="ref-agroforesterie"/>
    <w:p>
      <w:pPr>
        <w:pStyle w:val="Bibliography"/>
      </w:pPr>
      <w:r>
        <w:t xml:space="preserve">Agro4esterie. 2024.</w:t>
      </w:r>
      <w:r>
        <w:t xml:space="preserve"> </w:t>
      </w:r>
      <w:r>
        <w:rPr>
          <w:i/>
          <w:iCs/>
        </w:rPr>
        <w:t xml:space="preserve">Agro4esterie</w:t>
      </w:r>
      <w:r>
        <w:t xml:space="preserve">.</w:t>
      </w:r>
      <w:r>
        <w:t xml:space="preserve"> </w:t>
      </w:r>
      <w:hyperlink r:id="rId33">
        <w:r>
          <w:rPr>
            <w:rStyle w:val="Hyperlink"/>
          </w:rPr>
          <w:t xml:space="preserve">https://www.agroforesterie.ch</w:t>
        </w:r>
      </w:hyperlink>
      <w:r>
        <w:t xml:space="preserve">.</w:t>
      </w:r>
    </w:p>
    <w:bookmarkEnd w:id="34"/>
    <w:bookmarkStart w:id="36"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35">
        <w:r>
          <w:rPr>
            <w:rStyle w:val="Hyperlink"/>
          </w:rPr>
          <w:t xml:space="preserve">https://www.agrarbericht.ch</w:t>
        </w:r>
      </w:hyperlink>
      <w:r>
        <w:t xml:space="preserve">.</w:t>
      </w:r>
    </w:p>
    <w:bookmarkEnd w:id="36"/>
    <w:bookmarkStart w:id="38"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37">
        <w:r>
          <w:rPr>
            <w:rStyle w:val="Hyperlink"/>
          </w:rPr>
          <w:t xml:space="preserve">https://www.blw.admin.ch/de/klimastrategie-landwirtschaft-und-ernaehrung-2050</w:t>
        </w:r>
      </w:hyperlink>
      <w:r>
        <w:t xml:space="preserve">.</w:t>
      </w:r>
    </w:p>
    <w:bookmarkEnd w:id="38"/>
    <w:bookmarkStart w:id="40"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39">
        <w:r>
          <w:rPr>
            <w:rStyle w:val="Hyperlink"/>
          </w:rPr>
          <w:t xml:space="preserve">https://doi.org/10.1007/s10841-025-00740-1</w:t>
        </w:r>
      </w:hyperlink>
      <w:r>
        <w:t xml:space="preserve">.</w:t>
      </w:r>
    </w:p>
    <w:bookmarkEnd w:id="40"/>
    <w:bookmarkStart w:id="42"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41">
        <w:r>
          <w:rPr>
            <w:rStyle w:val="Hyperlink"/>
          </w:rPr>
          <w:t xml:space="preserve">https://www.lfi.ch</w:t>
        </w:r>
      </w:hyperlink>
      <w:r>
        <w:t xml:space="preserve">.</w:t>
      </w:r>
    </w:p>
    <w:bookmarkEnd w:id="42"/>
    <w:bookmarkStart w:id="44"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43">
        <w:r>
          <w:rPr>
            <w:rStyle w:val="Hyperlink"/>
          </w:rPr>
          <w:t xml:space="preserve">https://www.swisstopo.admin.ch</w:t>
        </w:r>
      </w:hyperlink>
      <w:r>
        <w:t xml:space="preserve">.</w:t>
      </w:r>
    </w:p>
    <w:bookmarkEnd w:id="44"/>
    <w:bookmarkStart w:id="46" w:name="ref-dzv"/>
    <w:p>
      <w:pPr>
        <w:pStyle w:val="Bibliography"/>
      </w:pPr>
      <w:r>
        <w:t xml:space="preserve">Verordnung über die Direktzahlungen an die Landwirtschaft (Direktzahlungsverordnung, DZV), SR 910.13 (2013).</w:t>
      </w:r>
      <w:r>
        <w:t xml:space="preserve"> </w:t>
      </w:r>
      <w:hyperlink r:id="rId45">
        <w:r>
          <w:rPr>
            <w:rStyle w:val="Hyperlink"/>
          </w:rPr>
          <w:t xml:space="preserve">https://www.fedlex.admin.ch/eli/cc/2013/765/de</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9"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35" Target="https://www.agrarbericht.ch" TargetMode="External" /><Relationship Type="http://schemas.openxmlformats.org/officeDocument/2006/relationships/hyperlink" Id="rId33" Target="https://www.agroforesterie.ch" TargetMode="External" /><Relationship Type="http://schemas.openxmlformats.org/officeDocument/2006/relationships/hyperlink" Id="rId25" Target="https://www.blw.admin.ch/dam/de/sd-web/QYLa6wGfdK8G/2026%20Merkblatt%20Nr.%206.2%20Fl%C3%A4chenkatalog%20und%20Beitragsberechtigung.pdf" TargetMode="External" /><Relationship Type="http://schemas.openxmlformats.org/officeDocument/2006/relationships/hyperlink" Id="rId37" Target="https://www.blw.admin.ch/de/klimastrategie-landwirtschaft-und-ernaehrung-2050" TargetMode="External" /><Relationship Type="http://schemas.openxmlformats.org/officeDocument/2006/relationships/hyperlink" Id="rId45" Target="https://www.fedlex.admin.ch/eli/cc/2013/765/de" TargetMode="External" /><Relationship Type="http://schemas.openxmlformats.org/officeDocument/2006/relationships/hyperlink" Id="rId41" Target="https://www.lfi.ch" TargetMode="External" /><Relationship Type="http://schemas.openxmlformats.org/officeDocument/2006/relationships/hyperlink" Id="rId43"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35" Target="https://www.agrarbericht.ch" TargetMode="External" /><Relationship Type="http://schemas.openxmlformats.org/officeDocument/2006/relationships/hyperlink" Id="rId33" Target="https://www.agroforesterie.ch" TargetMode="External" /><Relationship Type="http://schemas.openxmlformats.org/officeDocument/2006/relationships/hyperlink" Id="rId25" Target="https://www.blw.admin.ch/dam/de/sd-web/QYLa6wGfdK8G/2026%20Merkblatt%20Nr.%206.2%20Fl%C3%A4chenkatalog%20und%20Beitragsberechtigung.pdf" TargetMode="External" /><Relationship Type="http://schemas.openxmlformats.org/officeDocument/2006/relationships/hyperlink" Id="rId37" Target="https://www.blw.admin.ch/de/klimastrategie-landwirtschaft-und-ernaehrung-2050" TargetMode="External" /><Relationship Type="http://schemas.openxmlformats.org/officeDocument/2006/relationships/hyperlink" Id="rId45" Target="https://www.fedlex.admin.ch/eli/cc/2013/765/de" TargetMode="External" /><Relationship Type="http://schemas.openxmlformats.org/officeDocument/2006/relationships/hyperlink" Id="rId41" Target="https://www.lfi.ch" TargetMode="External" /><Relationship Type="http://schemas.openxmlformats.org/officeDocument/2006/relationships/hyperlink" Id="rId43"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
  <dc:language>de-CH</dc:language>
  <cp:keywords>Ergebnisorientierte Fördersysteme, Fernerkundung, Agroforstwirtschaft, Biodiversität</cp:keywords>
  <dcterms:created xsi:type="dcterms:W3CDTF">2026-08-14T09:57:10Z</dcterms:created>
  <dcterms:modified xsi:type="dcterms:W3CDTF">2026-08-14T09:57:10Z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Digitale Erkennung und Bewertung von Bäumen auf landwirtschaftlicher Nutzfläche</vt:lpwstr>
  </property>
  <property fmtid="{D5CDD505-2E9C-101B-9397-08002B2CF9AE}" pid="11" name="template-partials">
    <vt:lpwstr/>
  </property>
  <property fmtid="{D5CDD505-2E9C-101B-9397-08002B2CF9AE}" pid="12" name="toc-title">
    <vt:lpwstr>Inhaltsverzeichnis</vt:lpwstr>
  </property>
</Properties>
</file>