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Boschettissimo</w:t>
      </w:r>
    </w:p>
    <w:p>
      <w:pPr>
        <w:pStyle w:val="Subtitle"/>
      </w:pPr>
      <w:r>
        <w:t xml:space="preserve">Digitale Erkennung und Bewertung von Bäumen auf landwirtschaftlicher Nutzfläche</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13" w:name="vorwort"/>
    <w:p>
      <w:pPr>
        <w:pStyle w:val="Heading1"/>
      </w:pPr>
      <w:r>
        <w:t xml:space="preserve">Vorwort</w:t>
      </w:r>
    </w:p>
    <w:p>
      <w:pPr>
        <w:pStyle w:val="FirstParagraph"/>
      </w:pPr>
      <w:r>
        <w:t xml:space="preserve">Dieses Repository beinhaltet den Quellcode und die Dokumentation für die Machbarkeitsstudie zur</w:t>
      </w:r>
      <w:r>
        <w:t xml:space="preserve"> </w:t>
      </w:r>
      <w:r>
        <w:rPr>
          <w:b/>
          <w:bCs/>
        </w:rPr>
        <w:t xml:space="preserve">digitalen Erfassung und Bewertung von Bäumen auf der landwirtschaftlichen Nutzfläche</w:t>
      </w:r>
      <w:r>
        <w:t xml:space="preserve"> </w:t>
      </w:r>
      <w:r>
        <w:t xml:space="preserve">im Auftrag des Bundesamtes für Landwirtschaft (BLW).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after="16"/>
            </w:pPr>
            <w:r>
              <w:t xml:space="preserve">Bei diesem Projekt handelt es sich (nur) um eine Machbarkeitsstudie. Ob und gegebenenfalls wie die Förderung von Bäumen über Direktzahlungen angepasst wird, hängt von verschiedenen Faktoren - unter anderem von den Ergebnissen der Machbarkeitsstudie - ab.</w:t>
            </w:r>
          </w:p>
          <w:p/>
        </w:tc>
      </w:tr>
    </w:tbl>
    <w:bookmarkStart w:id="12" w:name="ziel-dieses-projekts"/>
    <w:p>
      <w:pPr>
        <w:pStyle w:val="Heading2"/>
      </w:pPr>
      <w:r>
        <w:t xml:space="preserve">Ziel dieses Projekts</w:t>
      </w:r>
    </w:p>
    <w:p>
      <w:pPr>
        <w:pStyle w:val="FirstParagraph"/>
      </w:pPr>
      <w:r>
        <w:t xml:space="preserve">Ziel ist die Entwicklung eines Systems, das weg von starren Massnahmenvorschriften (heutiges Direktzahlungssystem) hin zu einer ergebnisorientierten Förderung von Bäumen in der Landwirtschaft führt.</w:t>
      </w:r>
      <w:r>
        <w:t xml:space="preserve"> </w:t>
      </w:r>
      <w:r>
        <w:t xml:space="preserve">Anstatt die Pflege massnahmenorientiert vorzuschreiben, soll der effektive ökologische Wert eines Baumes mittels Fernerkundungsdaten ermittelt und vergütet werden.</w:t>
      </w:r>
      <w:r>
        <w:t xml:space="preserve"> </w:t>
      </w:r>
      <w:r>
        <w:t xml:space="preserve">Folglich sind die Kernziele des Projekts:</w:t>
      </w:r>
    </w:p>
    <w:p>
      <w:pPr>
        <w:pStyle w:val="Compact"/>
        <w:numPr>
          <w:ilvl w:val="0"/>
          <w:numId w:val="1001"/>
        </w:numPr>
      </w:pPr>
      <w:r>
        <w:rPr>
          <w:b/>
          <w:bCs/>
        </w:rPr>
        <w:t xml:space="preserve">Automatisierte Detektion</w:t>
      </w:r>
      <w:r>
        <w:t xml:space="preserve"> </w:t>
      </w:r>
      <w:r>
        <w:t xml:space="preserve">von Einzelbäumen auf der landwirtschaftlichen Nutzfläche.</w:t>
      </w:r>
    </w:p>
    <w:p>
      <w:pPr>
        <w:pStyle w:val="Compact"/>
        <w:numPr>
          <w:ilvl w:val="0"/>
          <w:numId w:val="1001"/>
        </w:numPr>
      </w:pPr>
      <w:r>
        <w:rPr>
          <w:b/>
          <w:bCs/>
        </w:rPr>
        <w:t xml:space="preserve">Merkmalsextraktion</w:t>
      </w:r>
      <w:r>
        <w:t xml:space="preserve"> </w:t>
      </w:r>
      <w:r>
        <w:t xml:space="preserve">von physischen Attributen wie Höhe, Kronenvolumen, Baumdichte.</w:t>
      </w:r>
    </w:p>
    <w:p>
      <w:pPr>
        <w:pStyle w:val="Compact"/>
        <w:numPr>
          <w:ilvl w:val="0"/>
          <w:numId w:val="1001"/>
        </w:numPr>
      </w:pPr>
      <w:r>
        <w:rPr>
          <w:b/>
          <w:bCs/>
        </w:rPr>
        <w:t xml:space="preserve">Klassifizierung</w:t>
      </w:r>
      <w:r>
        <w:t xml:space="preserve"> </w:t>
      </w:r>
      <w:r>
        <w:t xml:space="preserve">funktionaler Gruppen (z. B. Laubbaum vs. Nadelbaum, Hochstamm).</w:t>
      </w:r>
    </w:p>
    <w:p>
      <w:pPr>
        <w:pStyle w:val="Compact"/>
        <w:numPr>
          <w:ilvl w:val="0"/>
          <w:numId w:val="1001"/>
        </w:numPr>
      </w:pPr>
      <w:r>
        <w:rPr>
          <w:b/>
          <w:bCs/>
        </w:rPr>
        <w:t xml:space="preserve">Bewertung</w:t>
      </w:r>
      <w:r>
        <w:t xml:space="preserve"> </w:t>
      </w:r>
      <w:r>
        <w:t xml:space="preserve">pro Baum, also Berechnung eines</w:t>
      </w:r>
      <w:r>
        <w:t xml:space="preserve"> </w:t>
      </w:r>
      <w:r>
        <w:t xml:space="preserve">“Ökologischen Nutzenwerts”</w:t>
      </w:r>
      <w:r>
        <w:t xml:space="preserve"> </w:t>
      </w:r>
      <w:r>
        <w:t xml:space="preserve">als Basis für Beitragszahlungen.</w:t>
      </w:r>
    </w:p>
    <w:p>
      <w:pPr>
        <w:pStyle w:val="Compact"/>
        <w:numPr>
          <w:ilvl w:val="0"/>
          <w:numId w:val="1001"/>
        </w:numPr>
      </w:pPr>
      <w:r>
        <w:rPr>
          <w:b/>
          <w:bCs/>
        </w:rPr>
        <w:t xml:space="preserve">Ex-post-Analyse</w:t>
      </w:r>
      <w:r>
        <w:t xml:space="preserve"> </w:t>
      </w:r>
      <w:r>
        <w:t xml:space="preserve">der Berechnungen und Bewertung, um die Auswirkungen und Folgen eines möglichen Systemwechsels zu verstehen.</w:t>
      </w:r>
    </w:p>
    <w:bookmarkEnd w:id="12"/>
    <w:bookmarkEnd w:id="13"/>
    <w:bookmarkStart w:id="17" w:name="einleitung"/>
    <w:p>
      <w:pPr>
        <w:pStyle w:val="Heading1"/>
      </w:pPr>
      <w:r>
        <w:t xml:space="preserve">1. Einleitung</w:t>
      </w:r>
    </w:p>
    <w:p>
      <w:pPr>
        <w:pStyle w:val="FirstParagraph"/>
      </w:pPr>
      <w:r>
        <w:t xml:space="preserve">Das aktuelle massnahmenorientierte Fördersystem für Bäume in der</w:t>
      </w:r>
      <w:r>
        <w:t xml:space="preserve"> </w:t>
      </w:r>
      <w:r>
        <w:t xml:space="preserve">Schweizer Landwirtschaft ist komplex und schliesst moderne</w:t>
      </w:r>
      <w:r>
        <w:t xml:space="preserve"> </w:t>
      </w:r>
      <w:r>
        <w:t xml:space="preserve">Agroforstsysteme nur in begrenztem Umfang ein. Die Agrarpolitik fordert</w:t>
      </w:r>
      <w:r>
        <w:t xml:space="preserve"> </w:t>
      </w:r>
      <w:r>
        <w:t xml:space="preserve">Lösungen, die ergebnisorientiert sind und Agroforstsysteme einbeziehen.</w:t>
      </w:r>
      <w:r>
        <w:t xml:space="preserve"> </w:t>
      </w:r>
      <w:r>
        <w:t xml:space="preserve">In einer Machbarkeitsstudie wird getestet, wie Fernerkundungsdaten</w:t>
      </w:r>
      <w:r>
        <w:t xml:space="preserve"> </w:t>
      </w:r>
      <w:r>
        <w:t xml:space="preserve">genutzt werden können, um Bäume auf landwirtschaftlichen Flächen zu</w:t>
      </w:r>
      <w:r>
        <w:t xml:space="preserve"> </w:t>
      </w:r>
      <w:r>
        <w:t xml:space="preserve">identifizieren und ihre ökologische Qualität zu bewerten.</w:t>
      </w:r>
    </w:p>
    <w:p>
      <w:pPr>
        <w:pStyle w:val="BodyText"/>
      </w:pPr>
      <w:r>
        <w:br/>
      </w:r>
    </w:p>
    <w:bookmarkStart w:id="14" w:name="ausgangangslage"/>
    <w:p>
      <w:pPr>
        <w:pStyle w:val="Heading2"/>
      </w:pPr>
      <w:r>
        <w:t xml:space="preserve">1.1 Ausgangangslage</w:t>
      </w:r>
    </w:p>
    <w:p>
      <w:pPr>
        <w:pStyle w:val="FirstParagraph"/>
      </w:pPr>
      <w:r>
        <w:t xml:space="preserve">Bäume auf den landwirtschaftlichen Flächen der Schweiz werden durch Biodiversitäts- und Landschaftsqualitätsbeiträge gemäss der Direktzahlungsverordnung</w:t>
      </w:r>
      <w:r>
        <w:t xml:space="preserve"> </w:t>
      </w:r>
      <w:r>
        <w:t xml:space="preserve">(Verordnung über die Direktzahlungen an die Landwirtschaft (Direktzahlungsverordnung, DZV), SR 910.13 2013)</w:t>
      </w:r>
      <w:r>
        <w:t xml:space="preserve"> </w:t>
      </w:r>
      <w:r>
        <w:t xml:space="preserve">gefördert.</w:t>
      </w:r>
      <w:r>
        <w:t xml:space="preserve"> </w:t>
      </w:r>
      <w:r>
        <w:t xml:space="preserve">Zahlenmässig sind Hochstamm-Feldobstbäume am bedeutendsten.</w:t>
      </w:r>
      <w:r>
        <w:t xml:space="preserve"> </w:t>
      </w:r>
      <w:r>
        <w:t xml:space="preserve">Im Jahr 2024 wurden 67 Millionen Franken an Biodiversitätsbeiträgen für fast 2,4 Millionen Bäume ausgezahlt</w:t>
      </w:r>
      <w:r>
        <w:t xml:space="preserve"> </w:t>
      </w:r>
      <w:r>
        <w:t xml:space="preserve">(Bundesamt für Landwirtschaft BLW 2024)</w:t>
      </w:r>
      <w:r>
        <w:t xml:space="preserve">.</w:t>
      </w:r>
      <w:r>
        <w:t xml:space="preserve"> </w:t>
      </w:r>
      <w:r>
        <w:t xml:space="preserve">Darüber hinaus wurden Landschaftsqualitätsbeiträge auch für Hochstamm-Feldobstbäume sowie für einheimische standortgerechte Einzelbäume und Alleen ausgerichtet.</w:t>
      </w:r>
    </w:p>
    <w:p>
      <w:pPr>
        <w:pStyle w:val="BodyText"/>
      </w:pPr>
      <w:r>
        <w:t xml:space="preserve">Neben Hochstamm-Feldobstgärten decken diese Zahlungen auch andere traditionelle Agroforstsysteme wie Kastanienselven und Wald-/Wytweiden ab.</w:t>
      </w:r>
      <w:r>
        <w:t xml:space="preserve"> </w:t>
      </w:r>
      <w:r>
        <w:t xml:space="preserve">Seit einigen Jahren experimentieren Schweizer Landwirtschaftsbetriebe zunehmend auch mit modernen Agroforstsystemen.</w:t>
      </w:r>
      <w:r>
        <w:t xml:space="preserve"> </w:t>
      </w:r>
      <w:r>
        <w:t xml:space="preserve">Das Projekt «Agro4esterie», das von 2020 bis 2027 läuft, untersucht auf Betrieben in der Westschweiz die Auswirkungen von silvo-arablen und silvo-pastoralen Systemen, mit Fokus auf deren Einfluss auf Biodiversität, Unkrautdruck, Boden und Klima</w:t>
      </w:r>
      <w:r>
        <w:t xml:space="preserve"> </w:t>
      </w:r>
      <w:r>
        <w:t xml:space="preserve">(Agro4esterie 2024; Schmid u. a. 2025)</w:t>
      </w:r>
      <w:r>
        <w:t xml:space="preserve">.</w:t>
      </w:r>
    </w:p>
    <w:p>
      <w:pPr>
        <w:pStyle w:val="BodyText"/>
      </w:pPr>
      <w:r>
        <w:t xml:space="preserve">In der Klimastrategie Landwirtschaft und Ernährung 2050, die vom Bundesamt für Umwelt (BAFU), dem Bundesamt für Lebensmittelsicherheit und Veterinärwesen (BLV) und dem Bundesamt für Landwirtschaft (BLW) erarbeitet wurde, sieht die Schweizerische Eidgenossenschaft die Förderung von Agroforstsystemen vor</w:t>
      </w:r>
      <w:r>
        <w:t xml:space="preserve"> </w:t>
      </w:r>
      <w:r>
        <w:t xml:space="preserve">(Bundesamt für Umwelt (BAFU) u. a. 2023)</w:t>
      </w:r>
      <w:r>
        <w:t xml:space="preserve">. Verschiedene parlamentarische Vorstösse fordern zudem die verstärkte Förderung von Agroforstsystemen.</w:t>
      </w:r>
    </w:p>
    <w:bookmarkEnd w:id="14"/>
    <w:bookmarkStart w:id="15" w:name="X9d13de99c58634d067199e52ee14701df701c13"/>
    <w:p>
      <w:pPr>
        <w:pStyle w:val="Heading2"/>
      </w:pPr>
      <w:r>
        <w:t xml:space="preserve">1.2 Herausforderungen der aktuellen Fördersysteme</w:t>
      </w:r>
    </w:p>
    <w:p>
      <w:pPr>
        <w:pStyle w:val="FirstParagraph"/>
      </w:pPr>
      <w:r>
        <w:t xml:space="preserve">Die aktuellen Fördersysteme für Bäume - die Biodiversitäts- und die Landschaftsqualitätsbeiträge - sind rein massnahmenbasiert konzipiert. Die Biodiversitätsbeiträge sind in zwei Qualitätsstufen unterteilt, mit zusätzlichen Fördergeldern für die ökologische Vernetzung. Die Vorschriften für Hochstamm-Feldobstbäume, die den Grossteil der geförderten Bäume ausmachen, sind umfangreich. In der ersten Qualitätsstufe umfassen sie unter anderem eine Mindestanzahl an Bäumen, eine maximale Baumdichte, eine Mindeststammhöhe und die Baumpflege. In der zweiten Qualitätsstufe werden zusätzliche Anforderungen definiert, einschliesslich Kleinstrukturen wie Asthaufen, Nistgelegenheiten für Vögel und Fledermäuse sowie maximale Abstände zwischen den Bäumen. Das System ist komplex, unflexibel und daher sowohl für die Landwirt/-innen als auch für die Kontrollorgane herausfordernd.</w:t>
      </w:r>
    </w:p>
    <w:bookmarkEnd w:id="15"/>
    <w:bookmarkStart w:id="16" w:name="gründe-für-die-machbarkeitsstudie"/>
    <w:p>
      <w:pPr>
        <w:pStyle w:val="Heading2"/>
      </w:pPr>
      <w:r>
        <w:t xml:space="preserve">1.3 Gründe für die Machbarkeitsstudie</w:t>
      </w:r>
    </w:p>
    <w:p>
      <w:pPr>
        <w:pStyle w:val="FirstParagraph"/>
      </w:pPr>
      <w:r>
        <w:t xml:space="preserve">Aus diesen Gründen möchte das Bundesamt für Landwirtschaft (BLW) ein potenzielles zukünftiges System entwickeln und testen, das so ergebnisorientiert und rein datengesteuert wie möglich ist und auf einer begrenzten Anzahl von Indikatoren basiert. In einer Machbarkeitsstudie untersucht die Eidgenössische Forschungsanstalt für Wald, Schnee und Landschaft (WSL), wie Bäume auf landwirtschaftlichen Flächen mithilfe von Fernerkundungsdaten und -produkten identifiziert und ihre ökologische Qualität – insbesondere ihr Einfluss auf die Biodiversität – automatisch bewertet werden könnten. Die primären Datenquellen für die Schweiz sind landesweite Daten von swisstopo</w:t>
      </w:r>
      <w:r>
        <w:t xml:space="preserve"> </w:t>
      </w:r>
      <w:r>
        <w:t xml:space="preserve">(</w:t>
      </w:r>
      <w:r>
        <w:t xml:space="preserve">swisstopo</w:t>
      </w:r>
      <w:r>
        <w:t xml:space="preserve"> </w:t>
      </w:r>
      <w:r>
        <w:t xml:space="preserve">2024)</w:t>
      </w:r>
      <w:r>
        <w:t xml:space="preserve"> </w:t>
      </w:r>
      <w:r>
        <w:t xml:space="preserve">und operationell abgeleitete Geodatensätze. Diese bestehen in erster Linie aus LiDAR-Daten, digitalen Luft- und Satellitenbildern sowie Vegetationshöhenmodellen, die im Rahmen des Schweizerischen Landesforstinventars (LFI)</w:t>
      </w:r>
      <w:r>
        <w:t xml:space="preserve"> </w:t>
      </w:r>
      <w:r>
        <w:t xml:space="preserve">(Schweizerisches Landesforstinventar 2024)</w:t>
      </w:r>
      <w:r>
        <w:t xml:space="preserve"> </w:t>
      </w:r>
      <w:r>
        <w:t xml:space="preserve">erstellt werden. Da auch die Baumarten bei der ökologischen Bewertung eine Rolle spielen, soll zudem die Unterscheidung von Baumarten mittels maschinellen Lernens getestet werden. Die Machbarkeitsstudie hat im April 2026 begonnen und wird bis März 2027 abgeschlossen sein.</w:t>
      </w:r>
    </w:p>
    <w:bookmarkEnd w:id="16"/>
    <w:bookmarkEnd w:id="17"/>
    <w:bookmarkStart w:id="20" w:name="ziele-und-grundprinzipien"/>
    <w:p>
      <w:pPr>
        <w:pStyle w:val="Heading1"/>
      </w:pPr>
      <w:r>
        <w:t xml:space="preserve">2. Ziele und Grundprinzipien</w:t>
      </w:r>
    </w:p>
    <w:bookmarkStart w:id="18" w:name="grundprinzipien"/>
    <w:p>
      <w:pPr>
        <w:pStyle w:val="Heading2"/>
      </w:pPr>
      <w:r>
        <w:t xml:space="preserve">2.1 Grundprinzipien</w:t>
      </w:r>
    </w:p>
    <w:p>
      <w:pPr>
        <w:pStyle w:val="FirstParagraph"/>
      </w:pPr>
      <w:r>
        <w:t xml:space="preserve">Ein neues Fördersystem für Bäume muss folgende Grundprinzipien erfüllen:</w:t>
      </w:r>
    </w:p>
    <w:p>
      <w:pPr>
        <w:pStyle w:val="Compact"/>
        <w:numPr>
          <w:ilvl w:val="0"/>
          <w:numId w:val="1002"/>
        </w:numPr>
      </w:pPr>
      <w:r>
        <w:t xml:space="preserve">Das neue Fördersystem ersetzt die Bestimmungen der bisherigen Qualitätsbeiträge (Qualitäts-stufen I und II) für Bäume auf der landwirtschaftlichen Nutzfläche und ermöglicht sowohl Vereinfachungen für die Bewirtschaftenden als auch für den Vollzug.</w:t>
      </w:r>
      <w:r>
        <w:t xml:space="preserve"> </w:t>
      </w:r>
      <w:r>
        <w:t xml:space="preserve">Das neue System soll das bisherige Fördersystem für Hochstamm-Feldobstbäume ersetzen. Es soll den Bewirtschaftenden eine hohe Flexibilität ermöglichen und den Vollzug entlasten. Wegen des ergebnisorientierten Charakters des neuen Systems sollen auch in den Projekten zur regionalen Biodiversität und Landschaftsqualität möglichst wenig Massnahmen vorgeschrieben werden. Diese Schnittstelle soll im Auge behalten werden.</w:t>
      </w:r>
    </w:p>
    <w:p>
      <w:pPr>
        <w:pStyle w:val="Compact"/>
        <w:numPr>
          <w:ilvl w:val="0"/>
          <w:numId w:val="1002"/>
        </w:numPr>
      </w:pPr>
      <w:r>
        <w:t xml:space="preserve">Das System berücksichtigt alle Laubbäume auf der landwirtschaftlichen Nutzfläche, mit Ausnahme von invasiven gebietsfremden Organismen und mit Ausnahme von Bäumen in Hecken, Feld- und Ufergehölzen.</w:t>
      </w:r>
      <w:r>
        <w:t xml:space="preserve"> </w:t>
      </w:r>
      <w:r>
        <w:t xml:space="preserve">Das neue System berücksichtigt alle Laubbäume, die auf der landwirtschaftlichen Nutzfläche gepflanzt sind. Dazu gehören auch Kastanienselven mit höchstens 100 Bäume pro Hektare. Ausgeschlossen sind hingegen:</w:t>
      </w:r>
    </w:p>
    <w:p>
      <w:pPr>
        <w:pStyle w:val="Compact"/>
        <w:numPr>
          <w:ilvl w:val="1"/>
          <w:numId w:val="1003"/>
        </w:numPr>
      </w:pPr>
      <w:r>
        <w:t xml:space="preserve">Bäume auf Sömmerungsweiden (Sömmerungsgebiet).</w:t>
      </w:r>
    </w:p>
    <w:p>
      <w:pPr>
        <w:pStyle w:val="Compact"/>
        <w:numPr>
          <w:ilvl w:val="1"/>
          <w:numId w:val="1003"/>
        </w:numPr>
      </w:pPr>
      <w:r>
        <w:t xml:space="preserve">Laubbäume, die gemäss Anhang 2 der Freisetzungsverordnung als invasive gebietsfremde Organismen klassifiziert sind.</w:t>
      </w:r>
    </w:p>
    <w:p>
      <w:pPr>
        <w:pStyle w:val="Compact"/>
        <w:numPr>
          <w:ilvl w:val="1"/>
          <w:numId w:val="1003"/>
        </w:numPr>
      </w:pPr>
      <w:r>
        <w:t xml:space="preserve">Bäume in Hecken, Feld- und Ufergehölzen, da diese gemäss der Definition der landwirtschaftlichen Begriffsverordnung (LBV, Art. 23 Abs. 1) zur Hecke gehören und als solche gefördert werden.</w:t>
      </w:r>
    </w:p>
    <w:p>
      <w:pPr>
        <w:pStyle w:val="FirstParagraph"/>
      </w:pPr>
      <w:r>
        <w:t xml:space="preserve">Die Erfassung und Beurteilung von Bäumen in folgenden Spezialfällen soll im Rahmen des Pro-jekts abgeklärt werden:</w:t>
      </w:r>
    </w:p>
    <w:p>
      <w:pPr>
        <w:pStyle w:val="Compact"/>
        <w:numPr>
          <w:ilvl w:val="0"/>
          <w:numId w:val="1004"/>
        </w:numPr>
      </w:pPr>
      <w:r>
        <w:t xml:space="preserve">Waldweiden: Die Grünlandfläche gilt als landwirtschaftliche Nutzfläche, die Bäume gehören hingegen zum Wald. Hingegen sind Waldweiden wahrscheinlich im GIS teilweise nicht sauber abgegrenzt.</w:t>
      </w:r>
      <w:r>
        <w:t xml:space="preserve"> </w:t>
      </w:r>
      <w:r>
        <w:t xml:space="preserve">(Hochstamm-) Bäume auf Flächen, die gemäss Art. 22 LBV Abs. 1 Bst. b und i als Dauerkulturen angemeldet sind (Obstanlagen und mehrjährige Kulturen wie Christbäume und Chinaschilf).</w:t>
      </w:r>
    </w:p>
    <w:p>
      <w:pPr>
        <w:pStyle w:val="Compact"/>
        <w:numPr>
          <w:ilvl w:val="0"/>
          <w:numId w:val="1004"/>
        </w:numPr>
      </w:pPr>
      <w:r>
        <w:t xml:space="preserve">Der pro Baum bezahlte Beitrag hängt von dessen Wert hinsichtlich seiner Biodiversitätsförder-leistung ab.</w:t>
      </w:r>
    </w:p>
    <w:p>
      <w:pPr>
        <w:pStyle w:val="FirstParagraph"/>
      </w:pPr>
      <w:r>
        <w:t xml:space="preserve">Mit den Biodiversitätsbeiträgen fördert der Bund Arten und Lebensräume, insbesondere jene, die im Anhang der Umweltziele Landwirtschaft (UZL, 2008) als Ziel- und Leitarten respektive als UZL-Lebensräume definiert sind. Wenn alle Bäume (inklusiv jene aus modernen Agroforstsystemen) über die Biodiversitätsbeiträge bezahlt werden, dann müssen sie auch einen gewissen Wert für die Biodiversität aufweisen. Aus den Tabellen im Anhang des UZL-Berichts ist ersichtlich, dass Obstgärten, Einzelbäume und Alleen sowie Kastanienselven vielen Ziel- und Leitarten als Lebensräume dienen. Der Beitrag des neuen Systems soll daher dynamisch ausgestaltet sein und neben anderen Aspekten möglichst auch den unterschiedlichen Biodiversitätswert der Baumarten oder Baumartengruppen (z. B. Obstbäume) berücksichtigen.</w:t>
      </w:r>
    </w:p>
    <w:bookmarkEnd w:id="18"/>
    <w:bookmarkStart w:id="19" w:name="beschreibung-der-möglichen-umsetzung"/>
    <w:p>
      <w:pPr>
        <w:pStyle w:val="Heading2"/>
      </w:pPr>
      <w:r>
        <w:t xml:space="preserve">2.2 Beschreibung der möglichen Umsetzung</w:t>
      </w:r>
    </w:p>
    <w:p>
      <w:pPr>
        <w:pStyle w:val="FirstParagraph"/>
      </w:pPr>
      <w:r>
        <w:t xml:space="preserve">Im Folgenden wird ein Vorschlag für ein mögliches neues System zur Erfassung und Bewertung von Bäumen auf der landwirtschaftlichen Nutzfläche beschrieben.</w:t>
      </w:r>
      <w:r>
        <w:t xml:space="preserve"> </w:t>
      </w:r>
      <w:r>
        <w:t xml:space="preserve">Die Idee für den Vorschlag basiert auf folgenden Annahmen:</w:t>
      </w:r>
    </w:p>
    <w:p>
      <w:pPr>
        <w:pStyle w:val="Compact"/>
        <w:numPr>
          <w:ilvl w:val="0"/>
          <w:numId w:val="1005"/>
        </w:numPr>
      </w:pPr>
      <w:r>
        <w:t xml:space="preserve">Das heutige, massnahmenorientierte Fördersystem bildet den Biodiversitätswert der Bäume unzureichend ab und schränkt die Landwirtinnen und Landwirte in ihrem Hand-lungsspielraum stark ein.</w:t>
      </w:r>
    </w:p>
    <w:p>
      <w:pPr>
        <w:pStyle w:val="Compact"/>
        <w:numPr>
          <w:ilvl w:val="0"/>
          <w:numId w:val="1005"/>
        </w:numPr>
      </w:pPr>
      <w:r>
        <w:t xml:space="preserve">Es sind Daten verfügbar, welche für eine ergebnisorientierte Förderung der Biodiversität über Bäume genutzt werden können. Mit den in Kapitel 3.2.1 beschriebenen Datengrund-lagen können Bäume präzis erkannt werden. Verschnitten mit GIS-Daten, können Bäu-me auf solche der landwirtschaftlichen Nutzfläche eingegrenzt werden (Orthofoto, swissSURFACE3D, GIS-Daten des BLW).</w:t>
      </w:r>
    </w:p>
    <w:p>
      <w:pPr>
        <w:pStyle w:val="Compact"/>
        <w:numPr>
          <w:ilvl w:val="0"/>
          <w:numId w:val="1005"/>
        </w:numPr>
      </w:pPr>
      <w:r>
        <w:t xml:space="preserve">Der Wert eines Baumes für die Biodiversität kann über folgende Indikatoren angenähert werden. Die Daten dazu sind ebenfalls vorhanden, können daraus generiert werden oder könnten ohne grossen Aufwand erhoben werden:</w:t>
      </w:r>
    </w:p>
    <w:p>
      <w:pPr>
        <w:pStyle w:val="Compact"/>
        <w:numPr>
          <w:ilvl w:val="1"/>
          <w:numId w:val="1006"/>
        </w:numPr>
      </w:pPr>
      <w:r>
        <w:t xml:space="preserve">Je grösser das Kronenvolumen eines Baumes ist, desto wertvoller ist er für die Bio-diversität (Vegetationshöhenmodell).</w:t>
      </w:r>
    </w:p>
    <w:p>
      <w:pPr>
        <w:pStyle w:val="Compact"/>
        <w:numPr>
          <w:ilvl w:val="1"/>
          <w:numId w:val="1006"/>
        </w:numPr>
      </w:pPr>
      <w:r>
        <w:t xml:space="preserve">Unterschiedliche Arten(-gruppen) sind unterschiedlich wertvoll, beispielsweise bietet eine Eiche mehr Arten Lebensraum als eine Pappel und sind Hochstamm-Feldobstbäume sind in den Umweltzielen Landwirtschaft (2008) für viele Ziel- und Leitarten als unerlässliche oder förderliche Lebensräume beschrieben (machine learning oder manuelle Zuweisung).</w:t>
      </w:r>
    </w:p>
    <w:p>
      <w:pPr>
        <w:pStyle w:val="Compact"/>
        <w:numPr>
          <w:ilvl w:val="1"/>
          <w:numId w:val="1006"/>
        </w:numPr>
      </w:pPr>
      <w:r>
        <w:t xml:space="preserve">Die Kombination mit weiteren ökologisch wertvollen Elementen erhöht den Wert der Bäume für die Biodiversität (BFF-Zurechnungsflächen, siehe heutige Anforderung bei Hochstamm-Feldobstbäumen der Qualitätsstufe II).</w:t>
      </w:r>
    </w:p>
    <w:p>
      <w:pPr>
        <w:pStyle w:val="Compact"/>
        <w:numPr>
          <w:ilvl w:val="1"/>
          <w:numId w:val="1006"/>
        </w:numPr>
      </w:pPr>
      <w:r>
        <w:t xml:space="preserve">Unter Umständen gibt es optimale Baumdichten (Orthofoto, swissSURFACE3D; siehe heutige Anforderung bei Hochstamm-Feldobstbäumen der Qualitätsstufen I und II).</w:t>
      </w:r>
    </w:p>
    <w:p>
      <w:pPr>
        <w:pStyle w:val="Compact"/>
        <w:numPr>
          <w:ilvl w:val="0"/>
          <w:numId w:val="1005"/>
        </w:numPr>
      </w:pPr>
      <w:r>
        <w:t xml:space="preserve">Ein neues Fördersystem, basierend auf der Kombination weniger Indikatoren aus vor-handenen Daten, würde den Landwirtinnen und Landwirten mehr Handlungsspielraum geben, den Vollzug vereinfachen und die Biodiversitätsleistung der geförderten Bäume besser honorieren.</w:t>
      </w:r>
    </w:p>
    <w:p>
      <w:pPr>
        <w:pStyle w:val="FirstParagraph"/>
      </w:pPr>
      <w:r>
        <w:t xml:space="preserve">Nachfolgend werden zunächst die vorgeschlagene Datengrundlagen beschrieben, danach die Merkmals-extraktion / Datenaufbereitung, der Prozess zur ökologischen Bewertung der Bäume sowie die notwendigen nachgelagerten Analysen.</w:t>
      </w:r>
    </w:p>
    <w:p>
      <w:pPr>
        <w:pStyle w:val="BodyText"/>
      </w:pPr>
      <w:r>
        <w:t xml:space="preserve">Vorschläge für Optimierungen in der Auswahl der verwendeten Datengrundlagen und des Vorgehens können in die Diskussion mit dem Auftraggeber einfliessen.</w:t>
      </w:r>
    </w:p>
    <w:bookmarkEnd w:id="19"/>
    <w:bookmarkEnd w:id="20"/>
    <w:bookmarkStart w:id="39" w:name="datengrundlage"/>
    <w:p>
      <w:pPr>
        <w:pStyle w:val="Heading1"/>
      </w:pPr>
      <w:r>
        <w:t xml:space="preserve">3. Datengrundlage</w:t>
      </w:r>
    </w:p>
    <w:p>
      <w:pPr>
        <w:pStyle w:val="FirstParagraph"/>
      </w:pPr>
      <w:r>
        <w:t xml:space="preserve">Als Datengrundlage wurden folgende vier wichtige Datensammlungen identifiziert:</w:t>
      </w:r>
    </w:p>
    <w:bookmarkStart w:id="24" w:name="vegetationshöhenmodell-vhm"/>
    <w:p>
      <w:pPr>
        <w:pStyle w:val="Heading2"/>
      </w:pPr>
      <w:r>
        <w:t xml:space="preserve">3.1 Vegetationshöhenmodell (VHM)</w:t>
      </w:r>
    </w:p>
    <w:p>
      <w:pPr>
        <w:pStyle w:val="FirstParagraph"/>
      </w:pPr>
      <w:r>
        <w:t xml:space="preserve">Ein Produkt, welches von der WSL bereitgestellt wird und anzeigt, wie hoch die Vegetation auf einer bestimmten Fläche ist.</w:t>
      </w:r>
      <w:r>
        <w:t xml:space="preserve"> </w:t>
      </w:r>
      <w:r>
        <w:t xml:space="preserve">Hat eine Auflösung von 1 × 1 m und wird alle sechs Jahre aus Luftbildern und alle sechs Jahre (um drei Jahre versetzt) aus LIDAR-Scans gerechnet.</w:t>
      </w:r>
      <w:r>
        <w:t xml:space="preserve"> </w:t>
      </w:r>
      <w:r>
        <w:t xml:space="preserve">Siehe:</w:t>
      </w:r>
      <w:r>
        <w:t xml:space="preserve"> </w:t>
      </w:r>
      <w:hyperlink r:id="rId21">
        <w:r>
          <w:rPr>
            <w:rStyle w:val="Hyperlink"/>
          </w:rPr>
          <w:t xml:space="preserve">Vegetationshöhenmodell LFI</w:t>
        </w:r>
      </w:hyperlink>
      <w:r>
        <w:t xml:space="preserve"> </w:t>
      </w:r>
      <w:r>
        <w:t xml:space="preserve">und</w:t>
      </w:r>
      <w:r>
        <w:t xml:space="preserve"> </w:t>
      </w:r>
      <w:hyperlink r:id="rId22">
        <w:r>
          <w:rPr>
            <w:rStyle w:val="Hyperlink"/>
          </w:rPr>
          <w:t xml:space="preserve">Vegetationshöhenmodell Lidar LFI</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vhm"/>
          <w:p>
            <w:pPr>
              <w:jc w:val="center"/>
            </w:pPr>
            <w:pPr>
              <w:jc w:val="left"/>
              <w:spacing w:before="200"/>
              <w:pStyle w:val="ImageCaption"/>
            </w:pPr>
            <w:r>
              <w:t xml:space="preserve">Abbildung 3.1: Interaktive Ansicht des Vegetationshöhenmodell Lidar LFI der Vergation rund um Weerswilen TG.</w:t>
            </w:r>
          </w:p>
          <w:bookmarkEnd w:id="23"/>
        </w:tc>
      </w:tr>
    </w:tbl>
    <w:bookmarkEnd w:id="24"/>
    <w:bookmarkStart w:id="36" w:name="X24f3b9e3a2cc4006d9c0a3bbdfb1e08fba5f51e"/>
    <w:p>
      <w:pPr>
        <w:pStyle w:val="Heading2"/>
      </w:pPr>
      <w:r>
        <w:t xml:space="preserve">3.2 Geobasisdaten Landwirtschaftliche Kulturflächen</w:t>
      </w:r>
    </w:p>
    <w:p>
      <w:pPr>
        <w:pStyle w:val="FirstParagraph"/>
      </w:pPr>
      <w:r>
        <w:t xml:space="preserve">Die landwirtschaftlichen Geodaten basieren auf dem minimalen Geodatenmodell gemäss der Modelldokumentation</w:t>
      </w:r>
      <w:r>
        <w:t xml:space="preserve"> </w:t>
      </w:r>
      <w:r>
        <w:t xml:space="preserve">“Landwirtschaftliche Kulturflächen”</w:t>
      </w:r>
      <w:r>
        <w:t xml:space="preserve"> </w:t>
      </w:r>
      <w:r>
        <w:t xml:space="preserve">(Bundesamt für Landwirtschaft BLW, Fachbereich Agrarinformationssysteme 2026)</w:t>
      </w:r>
      <w:r>
        <w:t xml:space="preserve">.</w:t>
      </w:r>
      <w:r>
        <w:t xml:space="preserve"> </w:t>
      </w:r>
      <w:r>
        <w:t xml:space="preserve">Dieses Modell strukturiert die landwirtschaftlichen Kulturflächen in verschiedene Informationsebenen (Layers), welche die minimalen Anforderungen an Struktur und Detaillierungsgrad für den Geodatenaustausch zwischen Bund und Kantonen definieren.</w:t>
      </w:r>
      <w:r>
        <w:t xml:space="preserve"> </w:t>
      </w:r>
      <w:r>
        <w:t xml:space="preserve">Beschrieben sind fünf Layer, wobei vier davon für dieses Projekt von Relevanz sind:</w:t>
      </w:r>
    </w:p>
    <w:p>
      <w:pPr>
        <w:pStyle w:val="Compact"/>
        <w:numPr>
          <w:ilvl w:val="0"/>
          <w:numId w:val="1007"/>
        </w:numPr>
      </w:pPr>
      <w:hyperlink r:id="rId25">
        <w:r>
          <w:rPr>
            <w:rStyle w:val="Hyperlink"/>
          </w:rPr>
          <w:t xml:space="preserve">153.1 Nutzungsflächen</w:t>
        </w:r>
      </w:hyperlink>
    </w:p>
    <w:p>
      <w:pPr>
        <w:pStyle w:val="Compact"/>
        <w:numPr>
          <w:ilvl w:val="0"/>
          <w:numId w:val="1007"/>
        </w:numPr>
      </w:pPr>
      <w:hyperlink r:id="rId26">
        <w:r>
          <w:rPr>
            <w:rStyle w:val="Hyperlink"/>
          </w:rPr>
          <w:t xml:space="preserve">153.3 Biodiversitätsförderflächen Qualitätsstufe II und Vernetzung</w:t>
        </w:r>
      </w:hyperlink>
    </w:p>
    <w:p>
      <w:pPr>
        <w:pStyle w:val="Compact"/>
        <w:numPr>
          <w:ilvl w:val="0"/>
          <w:numId w:val="1007"/>
        </w:numPr>
      </w:pPr>
      <w:hyperlink r:id="rId27">
        <w:r>
          <w:rPr>
            <w:rStyle w:val="Hyperlink"/>
          </w:rPr>
          <w:t xml:space="preserve">153.5 Perimeter Landwirtschaftliche Nutzfläche und Sömmerungsflächen</w:t>
        </w:r>
      </w:hyperlink>
    </w:p>
    <w:p>
      <w:pPr>
        <w:pStyle w:val="Compact"/>
        <w:numPr>
          <w:ilvl w:val="0"/>
          <w:numId w:val="1007"/>
        </w:numPr>
      </w:pPr>
      <w:hyperlink r:id="rId28">
        <w:r>
          <w:rPr>
            <w:rStyle w:val="Hyperlink"/>
          </w:rPr>
          <w:t xml:space="preserve">153.6 Bewirtschaftungseinheiten</w:t>
        </w:r>
      </w:hyperlink>
    </w:p>
    <w:p>
      <w:pPr>
        <w:pStyle w:val="FirstParagraph"/>
      </w:pPr>
      <w:r>
        <w:t xml:space="preserve">Diese Layers werden in den folgenden Unterkapiteln im Detail beschrieben.</w:t>
      </w:r>
      <w:r>
        <w:rPr>
          <w:rStyle w:val="FootnoteReference"/>
        </w:rPr>
        <w:footnoteReference w:id="29"/>
      </w:r>
    </w:p>
    <w:bookmarkStart w:id="30" w:name="sec-153.6"/>
    <w:p>
      <w:pPr>
        <w:pStyle w:val="Heading3"/>
      </w:pPr>
      <w:r>
        <w:t xml:space="preserve">3.2.1 Bewirtschaftungseinheiten</w:t>
      </w:r>
    </w:p>
    <w:p>
      <w:pPr>
        <w:pStyle w:val="FirstParagraph"/>
      </w:pPr>
      <w:r>
        <w:t xml:space="preserve">Das Modell</w:t>
      </w:r>
      <w:r>
        <w:t xml:space="preserve"> </w:t>
      </w:r>
      <w:r>
        <w:t xml:space="preserve">“153.6 Bewirtschaftungseinheiten”</w:t>
      </w:r>
      <w:r>
        <w:t xml:space="preserve"> </w:t>
      </w:r>
      <w:r>
        <w:t xml:space="preserve">beschreibt die Flächen, welche von einem bestimmten Betrieb (Ganzjahres- oder Sömmerungsbetrieb) zugeordnet sind Zur Identifikation des Betriebs wird die Betriebsnummer aus AGIS verwendet.</w:t>
      </w:r>
      <w:r>
        <w:t xml:space="preserve"> </w:t>
      </w:r>
      <w:r>
        <w:t xml:space="preserve">Zusätzlich beinhaltet dieser Layer die Produktionsstätten.</w:t>
      </w:r>
      <w:r>
        <w:t xml:space="preserve"> </w:t>
      </w:r>
      <w:r>
        <w:t xml:space="preserve">“Als Als Produktionsstätte gilt eine Einheit von Land, Gebäuden und Einrichtungen, die räumlich als solche erkennbar und getrennt von anderen Produktionsstätten ist”</w:t>
      </w:r>
      <w:r>
        <w:t xml:space="preserve"> </w:t>
      </w:r>
      <w:r>
        <w:t xml:space="preserve">(Bundesamt für Landwirtschaft BLW, Fachbereich Agrarinformationssysteme 2026, 35)</w:t>
      </w:r>
      <w:r>
        <w:t xml:space="preserve">.</w:t>
      </w:r>
      <w:r>
        <w:t xml:space="preserve"> </w:t>
      </w:r>
      <w:r>
        <w:t xml:space="preserve">Die Summe aller Bewirtschaftungseinheiten eines Betriebes ergibt dessen gesamte Betriebsfläche beziehungsweise den Alpperimeter im Sömmerungsgebiet.</w:t>
      </w:r>
      <w:r>
        <w:t xml:space="preserve"> </w:t>
      </w:r>
      <w:r>
        <w:t xml:space="preserve">Diese Ebene dient als räumliche Grundlage und Erfassungshilfe für die detaillierteren Nutzungsflächen.</w:t>
      </w:r>
    </w:p>
    <w:bookmarkEnd w:id="30"/>
    <w:bookmarkStart w:id="32" w:name="sec-153.5"/>
    <w:p>
      <w:pPr>
        <w:pStyle w:val="Heading3"/>
      </w:pPr>
      <w:r>
        <w:t xml:space="preserve">3.2.2 Perimeter Landwirtschaftliche Nutzfläche und Sömmerungsflächen</w:t>
      </w:r>
    </w:p>
    <w:p>
      <w:pPr>
        <w:pStyle w:val="FirstParagraph"/>
      </w:pPr>
      <w:r>
        <w:t xml:space="preserve">Das Modell</w:t>
      </w:r>
      <w:r>
        <w:t xml:space="preserve"> </w:t>
      </w:r>
      <w:r>
        <w:t xml:space="preserve">“153.5 Perimeter Landwirtschaftliche Nutzfläche und Sömmerungsflächen”</w:t>
      </w:r>
      <w:r>
        <w:t xml:space="preserve"> </w:t>
      </w:r>
      <w:r>
        <w:t xml:space="preserve">stellt die potenziell landwirtschaftlich zu bewirtschaftende Fläche nach</w:t>
      </w:r>
      <w:r>
        <w:t xml:space="preserve"> </w:t>
      </w:r>
      <w:hyperlink r:id="rId31">
        <w:r>
          <w:rPr>
            <w:rStyle w:val="Hyperlink"/>
          </w:rPr>
          <w:t xml:space="preserve">Art. 14 LBV</w:t>
        </w:r>
      </w:hyperlink>
      <w:r>
        <w:t xml:space="preserve"> </w:t>
      </w:r>
      <w:r>
        <w:t xml:space="preserve">dar.</w:t>
      </w:r>
      <w:r>
        <w:t xml:space="preserve"> </w:t>
      </w:r>
      <w:r>
        <w:t xml:space="preserve">Die Ebene dient ebenfalls als Erfassungshilfe für die Nutzungsflächen.</w:t>
      </w:r>
      <w:r>
        <w:t xml:space="preserve"> </w:t>
      </w:r>
      <w:r>
        <w:t xml:space="preserve">Der Layer stellt die potentiell landwirtschaftlich bewirtschaftbaren Flächen dar. Dabei interessiert vor allem die Abgrenzung (Perimeter) dieser</w:t>
      </w:r>
      <w:r>
        <w:t xml:space="preserve"> </w:t>
      </w:r>
      <w:r>
        <w:t xml:space="preserve">Flächen.</w:t>
      </w:r>
      <w:r>
        <w:t xml:space="preserve"> </w:t>
      </w:r>
      <w:r>
        <w:t xml:space="preserve">Der Perimeter der Landwirtschaftliche Nutzfläche und Sömmerungsflächen wird von den Kantonen festgelegt und periodisch aktua</w:t>
      </w:r>
      <w:r>
        <w:t xml:space="preserve"> </w:t>
      </w:r>
      <w:r>
        <w:t xml:space="preserve">lisiert.</w:t>
      </w:r>
      <w:r>
        <w:t xml:space="preserve"> </w:t>
      </w:r>
      <w:r>
        <w:t xml:space="preserve">Als Grundlage zur Erstellung dieser Flächen dient primär die Bodenbedeckung der Amtlichen Vermessung.</w:t>
      </w:r>
      <w:r>
        <w:t xml:space="preserve"> </w:t>
      </w:r>
      <w:r>
        <w:t xml:space="preserve">Die Polygone in diesem Layer können Lücken oder Löcher aufweisen und decken die Schweiz nicht vollständig ab</w:t>
      </w:r>
      <w:r>
        <w:t xml:space="preserve"> </w:t>
      </w:r>
      <w:r>
        <w:t xml:space="preserve">(Bundesamt für Landwirtschaft BLW, Fachbereich Agrarinformationssysteme 2026, 15)</w:t>
      </w:r>
      <w:r>
        <w:t xml:space="preserve">.</w:t>
      </w:r>
    </w:p>
    <w:bookmarkEnd w:id="32"/>
    <w:bookmarkStart w:id="34" w:name="nutzungsflächen"/>
    <w:p>
      <w:pPr>
        <w:pStyle w:val="Heading3"/>
      </w:pPr>
      <w:r>
        <w:t xml:space="preserve">3.2.3 Nutzungsflächen</w:t>
      </w:r>
    </w:p>
    <w:p>
      <w:pPr>
        <w:pStyle w:val="FirstParagraph"/>
      </w:pPr>
      <w:r>
        <w:t xml:space="preserve">Das Modell</w:t>
      </w:r>
      <w:r>
        <w:t xml:space="preserve"> </w:t>
      </w:r>
      <w:r>
        <w:t xml:space="preserve">“153.1 Nutzungsflächen”</w:t>
      </w:r>
      <w:r>
        <w:t xml:space="preserve"> </w:t>
      </w:r>
      <w:r>
        <w:t xml:space="preserve">beschreib die Nutzungsflächen selbst, also die effektiv landwirtschaftlich genutzten Flächen gemäss der Landwirtschaftlichen Begriffsverordnung (LBV) und der Direktzahlungsverordnung (DZV).</w:t>
      </w:r>
      <w:r>
        <w:t xml:space="preserve"> </w:t>
      </w:r>
      <w:r>
        <w:t xml:space="preserve">Jede Nutzungsfläche muss zwingend innerhalb einer zugeteilten Bewirtschaftungseinheit (153.6) liegen.</w:t>
      </w:r>
      <w:r>
        <w:t xml:space="preserve"> </w:t>
      </w:r>
      <w:r>
        <w:t xml:space="preserve">Die Geometrien sind als Multipolygone erfasst und mit einem spezifischen Nutzungscode (</w:t>
      </w:r>
      <w:r>
        <w:rPr>
          <w:rStyle w:val="VerbatimChar"/>
        </w:rPr>
        <w:t xml:space="preserve">LNF_Code</w:t>
      </w:r>
      <w:r>
        <w:t xml:space="preserve">) versehen, welche die Hauptkultur auf dieser Fläche in einem bestimmten Jahr identifiziert.</w:t>
      </w:r>
      <w:r>
        <w:t xml:space="preserve"> </w:t>
      </w:r>
      <w:r>
        <w:t xml:space="preserve">Bäume können in diesem Modell zusätzlich als überlagernde Flächen geometrisch erfasst werden, wobei die Anzahl der Bäume im Attribut</w:t>
      </w:r>
      <w:r>
        <w:t xml:space="preserve"> </w:t>
      </w:r>
      <w:r>
        <w:rPr>
          <w:rStyle w:val="VerbatimChar"/>
        </w:rPr>
        <w:t xml:space="preserve">Anzahl_Baeume</w:t>
      </w:r>
      <w:r>
        <w:t xml:space="preserve"> </w:t>
      </w:r>
      <w:r>
        <w:t xml:space="preserve">als Zahl angehängt wird.</w:t>
      </w:r>
      <w:r>
        <w:t xml:space="preserve"> </w:t>
      </w:r>
      <w:r>
        <w:t xml:space="preserve">Dieses Attribut ist jedoch optional und wird daher nicht von allen Kantonen erfasst.</w:t>
      </w:r>
    </w:p>
    <w:tbl>
      <w:tblPr>
        <w:tblStyle w:val="Table"/>
        <w:tblW w:type="pct" w:w="5000"/>
        <w:tblLayout w:type="fixed"/>
        <w:tblLook w:firstRow="0" w:lastRow="0" w:firstColumn="0" w:lastColumn="0" w:noHBand="0" w:noVBand="0" w:val="0000"/>
      </w:tblPr>
      <w:tblGrid>
        <w:gridCol w:w="7920"/>
      </w:tblGrid>
      <w:tr>
        <w:tc>
          <w:tcPr/>
          <w:bookmarkStart w:id="33" w:name="fig-vhm"/>
          <w:p>
            <w:pPr>
              <w:jc w:val="center"/>
            </w:pPr>
            <w:pPr>
              <w:jc w:val="left"/>
              <w:spacing w:before="200"/>
              <w:pStyle w:val="ImageCaption"/>
            </w:pPr>
            <w:r>
              <w:t xml:space="preserve">Abbildung 3.2: Interaktive Ansicht des Vegetationshöhenmodell Lidar LFI mit darübergelegter Karte der landwirtschaftlichen Nutzungsflächen (Geobasisdaten 153.1) der Vergation rund um Weerswilen TG. Obstanlagen sind hier gut ersichtlich, da hochwachsende Vegetation innerhalb der Nutzungsflächen liegt.</w:t>
            </w:r>
          </w:p>
          <w:bookmarkEnd w:id="33"/>
        </w:tc>
      </w:tr>
    </w:tbl>
    <w:p>
      <w:pPr>
        <w:pStyle w:val="BodyText"/>
      </w:pPr>
      <w:r>
        <w:t xml:space="preserve">Für das Projekt Boschettissimo sind die Nutzungsflächen besonderes relevant, da die Direktzahlungsbeiträge auf diesen Flächen basieren.</w:t>
      </w:r>
    </w:p>
    <w:bookmarkEnd w:id="34"/>
    <w:bookmarkStart w:id="35" w:name="Xbf5ef5a172d5359a8bf9e4a137b805861aa2af2"/>
    <w:p>
      <w:pPr>
        <w:pStyle w:val="Heading3"/>
      </w:pPr>
      <w:r>
        <w:t xml:space="preserve">3.2.4 Biodiversitätsförderflächen Qualitätsstufe II und Vernetzung</w:t>
      </w:r>
    </w:p>
    <w:p>
      <w:pPr>
        <w:pStyle w:val="FirstParagraph"/>
      </w:pPr>
      <w:r>
        <w:t xml:space="preserve">Dieses Modell überlagert die Ebene der Nutzungsflächen und beschreibt spezifisch diejenigen Elemente, für welche Bundesbeiträge bezüglich biologischer Qualität und Vernetzung ausgerichtet werden.</w:t>
      </w:r>
      <w:r>
        <w:t xml:space="preserve"> </w:t>
      </w:r>
      <w:r>
        <w:t xml:space="preserve">Der Layer ist in zwei separate Ebenen gegliedert (Qualitätsstufe II und Vernetzung), welche sich auch gegenseitig überlagern können.</w:t>
      </w:r>
      <w:r>
        <w:t xml:space="preserve"> </w:t>
      </w:r>
      <w:r>
        <w:t xml:space="preserve">Die Flächen in diesem Modell sind grösstenteils eine Untermenge der Biodiversitätsförderflächen der Qualitätsstufe I aus dem Layer 153.1.</w:t>
      </w:r>
      <w:r>
        <w:t xml:space="preserve"> </w:t>
      </w:r>
      <w:r>
        <w:t xml:space="preserve">Ausnahmen bilden beispielsweise Hochstamm-Feldobstbäume (QII) oder artenreiche Grün- und Streueflächen im Sömmerungsgebiet.</w:t>
      </w:r>
      <w:r>
        <w:t xml:space="preserve"> </w:t>
      </w:r>
      <w:r>
        <w:t xml:space="preserve">Sie weisen keine direkte datentechnische Verknüpfung zu den Bewirtschaftungseinheiten auf; der Bezug zum Betrieb wird stattdessen durch einen räumlichen Flächenverschnitt mit den anderen Layern hergestellt.</w:t>
      </w:r>
    </w:p>
    <w:bookmarkEnd w:id="35"/>
    <w:bookmarkEnd w:id="36"/>
    <w:bookmarkStart w:id="37" w:name="swissimage"/>
    <w:p>
      <w:pPr>
        <w:pStyle w:val="Heading2"/>
      </w:pPr>
      <w:r>
        <w:t xml:space="preserve">3.3 SWISSIMAGE</w:t>
      </w:r>
    </w:p>
    <w:p>
      <w:pPr>
        <w:pStyle w:val="FirstParagraph"/>
      </w:pPr>
      <w:r>
        <w:t xml:space="preserve">Das Orthofoto SWISSIMAGE ist eine Zusammensetzung der neuen digitalen Farbluftbilder über die ganze Schweiz mit einer Bodenauflösung von 10 cm im Flachland und den wichtigsten Alpentälern sowie 25 cm in den Alpen.</w:t>
      </w:r>
      <w:r>
        <w:t xml:space="preserve"> </w:t>
      </w:r>
      <w:r>
        <w:t xml:space="preserve">Es wird in einem Nachführungszyklus von drei Jahren seit 2018 aktualisiert, wobei jeweils um drei Jahre versetzt alle sechs Jahre Bäume belaubt und unbelaubt fotografiert werden.</w:t>
      </w:r>
    </w:p>
    <w:bookmarkEnd w:id="37"/>
    <w:bookmarkStart w:id="38" w:name="swisssurface3d"/>
    <w:p>
      <w:pPr>
        <w:pStyle w:val="Heading2"/>
      </w:pPr>
      <w:r>
        <w:t xml:space="preserve">3.4 swissSURFACE3D</w:t>
      </w:r>
    </w:p>
    <w:p>
      <w:pPr>
        <w:pStyle w:val="FirstParagraph"/>
      </w:pPr>
      <w:r>
        <w:t xml:space="preserve">Beschreibt die Oberfläche der Schweiz mit allen natürlichen und künstlichen Elementen in Form einer klassifizierten Punktwolke.</w:t>
      </w:r>
      <w:r>
        <w:t xml:space="preserve"> </w:t>
      </w:r>
      <w:r>
        <w:t xml:space="preserve">Die mit einem airborne LiDAR erhobenen Daten zeichnen sich durch eine hohe Punktdichte und Genauigkeit aus. swissSURFACE3D wird in Kacheln von jeweils 1 km</w:t>
      </w:r>
      <w:r>
        <w:rPr>
          <w:vertAlign w:val="superscript"/>
        </w:rPr>
        <w:t xml:space="preserve">2</w:t>
      </w:r>
      <w:r>
        <w:t xml:space="preserve"> </w:t>
      </w:r>
      <w:r>
        <w:t xml:space="preserve">produziert.</w:t>
      </w:r>
      <w:r>
        <w:t xml:space="preserve"> </w:t>
      </w:r>
      <w:r>
        <w:t xml:space="preserve">Die Kachelnummerierung entspricht den Kilometerkoor-dinaten des südwestlichen Eckpunkts einer Kachel.</w:t>
      </w:r>
    </w:p>
    <w:bookmarkEnd w:id="38"/>
    <w:bookmarkEnd w:id="39"/>
    <w:bookmarkStart w:id="40" w:name="baumerkennung"/>
    <w:p>
      <w:pPr>
        <w:pStyle w:val="Heading1"/>
      </w:pPr>
      <w:r>
        <w:t xml:space="preserve">4. Baumerkennung</w:t>
      </w:r>
    </w:p>
    <w:p>
      <w:pPr>
        <w:pStyle w:val="FirstParagraph"/>
      </w:pPr>
      <w:r>
        <w:t xml:space="preserve">TODO.</w:t>
      </w:r>
    </w:p>
    <w:bookmarkEnd w:id="40"/>
    <w:bookmarkStart w:id="41" w:name="bekannte-probleme"/>
    <w:p>
      <w:pPr>
        <w:pStyle w:val="Heading1"/>
      </w:pPr>
      <w:r>
        <w:t xml:space="preserve">5. Bekannte Probleme</w:t>
      </w:r>
    </w:p>
    <w:p>
      <w:pPr>
        <w:pStyle w:val="Compact"/>
        <w:numPr>
          <w:ilvl w:val="0"/>
          <w:numId w:val="1008"/>
        </w:numPr>
      </w:pPr>
      <w:r>
        <w:t xml:space="preserve">Datenqualität bei der landwirtschaftlichen Nutzfläche.</w:t>
      </w:r>
    </w:p>
    <w:p>
      <w:pPr>
        <w:pStyle w:val="Compact"/>
        <w:numPr>
          <w:ilvl w:val="1"/>
          <w:numId w:val="1009"/>
        </w:numPr>
      </w:pPr>
      <w:r>
        <w:t xml:space="preserve">Waldflächen nicht systematisch ausgeschnitten.</w:t>
      </w:r>
    </w:p>
    <w:p>
      <w:pPr>
        <w:pStyle w:val="Compact"/>
        <w:numPr>
          <w:ilvl w:val="0"/>
          <w:numId w:val="1008"/>
        </w:numPr>
      </w:pPr>
      <w:r>
        <w:t xml:space="preserve">Datenqualität LiDAR variert je nach Jahr.</w:t>
      </w:r>
    </w:p>
    <w:bookmarkEnd w:id="41"/>
    <w:bookmarkStart w:id="59" w:name="referenzen"/>
    <w:p>
      <w:pPr>
        <w:pStyle w:val="Heading1"/>
      </w:pPr>
      <w:r>
        <w:t xml:space="preserve">Referenzen</w:t>
      </w:r>
    </w:p>
    <w:bookmarkStart w:id="58" w:name="refs"/>
    <w:bookmarkStart w:id="43" w:name="ref-agroforesterie"/>
    <w:p>
      <w:pPr>
        <w:pStyle w:val="Bibliography"/>
      </w:pPr>
      <w:r>
        <w:t xml:space="preserve">Agro4esterie. 2024.</w:t>
      </w:r>
      <w:r>
        <w:t xml:space="preserve"> </w:t>
      </w:r>
      <w:r>
        <w:rPr>
          <w:i/>
          <w:iCs/>
        </w:rPr>
        <w:t xml:space="preserve">Agro4esterie</w:t>
      </w:r>
      <w:r>
        <w:t xml:space="preserve">.</w:t>
      </w:r>
      <w:r>
        <w:t xml:space="preserve"> </w:t>
      </w:r>
      <w:hyperlink r:id="rId42">
        <w:r>
          <w:rPr>
            <w:rStyle w:val="Hyperlink"/>
          </w:rPr>
          <w:t xml:space="preserve">https://www.agroforesterie.ch</w:t>
        </w:r>
      </w:hyperlink>
      <w:r>
        <w:t xml:space="preserve">.</w:t>
      </w:r>
    </w:p>
    <w:bookmarkEnd w:id="43"/>
    <w:bookmarkStart w:id="45" w:name="ref-agrarbericht"/>
    <w:p>
      <w:pPr>
        <w:pStyle w:val="Bibliography"/>
      </w:pPr>
      <w:r>
        <w:t xml:space="preserve">Bundesamt für Landwirtschaft BLW. 2024.</w:t>
      </w:r>
      <w:r>
        <w:t xml:space="preserve"> </w:t>
      </w:r>
      <w:r>
        <w:rPr>
          <w:i/>
          <w:iCs/>
        </w:rPr>
        <w:t xml:space="preserve">Agrarbericht</w:t>
      </w:r>
      <w:r>
        <w:t xml:space="preserve">.</w:t>
      </w:r>
      <w:r>
        <w:t xml:space="preserve"> </w:t>
      </w:r>
      <w:hyperlink r:id="rId44">
        <w:r>
          <w:rPr>
            <w:rStyle w:val="Hyperlink"/>
          </w:rPr>
          <w:t xml:space="preserve">https://www.agrarbericht.ch</w:t>
        </w:r>
      </w:hyperlink>
      <w:r>
        <w:t xml:space="preserve">.</w:t>
      </w:r>
    </w:p>
    <w:bookmarkEnd w:id="45"/>
    <w:bookmarkStart w:id="47" w:name="ref-blw2026mgdm"/>
    <w:p>
      <w:pPr>
        <w:pStyle w:val="Bibliography"/>
      </w:pPr>
      <w:r>
        <w:t xml:space="preserve">Bundesamt für Landwirtschaft BLW, Fachbereich Agrarinformationssysteme. 2026.</w:t>
      </w:r>
      <w:r>
        <w:t xml:space="preserve"> </w:t>
      </w:r>
      <w:r>
        <w:rPr>
          <w:i/>
          <w:iCs/>
        </w:rPr>
        <w:t xml:space="preserve">Landwirtschaftliche Kulturflächen, Identifikator 153, Bezugsjahr 2026: Geobasisdaten, Modelldokumentation</w:t>
      </w:r>
      <w:r>
        <w:t xml:space="preserve">. Eidgenössisches Departement für Wirtschaft, Bildung und Forschung.</w:t>
      </w:r>
      <w:r>
        <w:t xml:space="preserve"> </w:t>
      </w:r>
      <w:hyperlink r:id="rId46">
        <w:r>
          <w:rPr>
            <w:rStyle w:val="Hyperlink"/>
          </w:rPr>
          <w:t xml:space="preserve">http://models.geo.admin.ch/BLW/</w:t>
        </w:r>
      </w:hyperlink>
      <w:r>
        <w:t xml:space="preserve">.</w:t>
      </w:r>
    </w:p>
    <w:bookmarkEnd w:id="47"/>
    <w:bookmarkStart w:id="49" w:name="ref-blw2023"/>
    <w:p>
      <w:pPr>
        <w:pStyle w:val="Bibliography"/>
      </w:pPr>
      <w:r>
        <w:t xml:space="preserve">Bundesamt für Umwelt (BAFU), Bundesamt für Lebensmittelsicherheit und Veterinärwesen (BLV), und Bundesamt für Landwirtschaft (BLW). 2023.</w:t>
      </w:r>
      <w:r>
        <w:t xml:space="preserve"> </w:t>
      </w:r>
      <w:r>
        <w:rPr>
          <w:i/>
          <w:iCs/>
        </w:rPr>
        <w:t xml:space="preserve">Klimastrategie Landwirtschaft und Ernährung 2050: Teil 1 und 2</w:t>
      </w:r>
      <w:r>
        <w:t xml:space="preserve">.</w:t>
      </w:r>
      <w:r>
        <w:t xml:space="preserve"> </w:t>
      </w:r>
      <w:hyperlink r:id="rId48">
        <w:r>
          <w:rPr>
            <w:rStyle w:val="Hyperlink"/>
          </w:rPr>
          <w:t xml:space="preserve">https://www.blw.admin.ch/de/klimastrategie-landwirtschaft-und-ernaehrung-2050</w:t>
        </w:r>
      </w:hyperlink>
      <w:r>
        <w:t xml:space="preserve">.</w:t>
      </w:r>
    </w:p>
    <w:bookmarkEnd w:id="49"/>
    <w:bookmarkStart w:id="51" w:name="ref-schmid2025"/>
    <w:p>
      <w:pPr>
        <w:pStyle w:val="Bibliography"/>
      </w:pPr>
      <w:r>
        <w:t xml:space="preserve">Schmid, Simone Emanuele, Giotto Roberti, Jaromir Kunzelmann, Sonja Kay, und Noëlle Klein. 2025.</w:t>
      </w:r>
      <w:r>
        <w:t xml:space="preserve"> </w:t>
      </w:r>
      <w:r>
        <w:t xml:space="preserve">«Listening to orthoptera in agroforestry: methodological and management insights for conservation»</w:t>
      </w:r>
      <w:r>
        <w:t xml:space="preserve">.</w:t>
      </w:r>
      <w:r>
        <w:t xml:space="preserve"> </w:t>
      </w:r>
      <w:r>
        <w:rPr>
          <w:i/>
          <w:iCs/>
        </w:rPr>
        <w:t xml:space="preserve">Journal of Insect Conservation</w:t>
      </w:r>
      <w:r>
        <w:t xml:space="preserve"> </w:t>
      </w:r>
      <w:r>
        <w:t xml:space="preserve">30 (1): 7.</w:t>
      </w:r>
      <w:r>
        <w:t xml:space="preserve"> </w:t>
      </w:r>
      <w:hyperlink r:id="rId50">
        <w:r>
          <w:rPr>
            <w:rStyle w:val="Hyperlink"/>
          </w:rPr>
          <w:t xml:space="preserve">https://doi.org/10.1007/s10841-025-00740-1</w:t>
        </w:r>
      </w:hyperlink>
      <w:r>
        <w:t xml:space="preserve">.</w:t>
      </w:r>
    </w:p>
    <w:bookmarkEnd w:id="51"/>
    <w:bookmarkStart w:id="53" w:name="ref-lfi"/>
    <w:p>
      <w:pPr>
        <w:pStyle w:val="Bibliography"/>
      </w:pPr>
      <w:r>
        <w:t xml:space="preserve">Schweizerisches Landesforstinventar. 2024.</w:t>
      </w:r>
      <w:r>
        <w:t xml:space="preserve"> </w:t>
      </w:r>
      <w:r>
        <w:rPr>
          <w:i/>
          <w:iCs/>
        </w:rPr>
        <w:t xml:space="preserve">Schweizerisches Landesforstinventar LFI</w:t>
      </w:r>
      <w:r>
        <w:t xml:space="preserve">.</w:t>
      </w:r>
      <w:r>
        <w:t xml:space="preserve"> </w:t>
      </w:r>
      <w:hyperlink r:id="rId52">
        <w:r>
          <w:rPr>
            <w:rStyle w:val="Hyperlink"/>
          </w:rPr>
          <w:t xml:space="preserve">https://www.lfi.ch</w:t>
        </w:r>
      </w:hyperlink>
      <w:r>
        <w:t xml:space="preserve">.</w:t>
      </w:r>
    </w:p>
    <w:bookmarkEnd w:id="53"/>
    <w:bookmarkStart w:id="55" w:name="ref-swisstopo"/>
    <w:p>
      <w:pPr>
        <w:pStyle w:val="Bibliography"/>
      </w:pPr>
      <w:r>
        <w:t xml:space="preserve">swisstopo</w:t>
      </w:r>
      <w:r>
        <w:t xml:space="preserve">. 2024.</w:t>
      </w:r>
      <w:r>
        <w:t xml:space="preserve"> </w:t>
      </w:r>
      <w:r>
        <w:rPr>
          <w:i/>
          <w:iCs/>
        </w:rPr>
        <w:t xml:space="preserve">swisstopo – Bundesamt für Landestopografie</w:t>
      </w:r>
      <w:r>
        <w:t xml:space="preserve">.</w:t>
      </w:r>
      <w:r>
        <w:t xml:space="preserve"> </w:t>
      </w:r>
      <w:hyperlink r:id="rId54">
        <w:r>
          <w:rPr>
            <w:rStyle w:val="Hyperlink"/>
          </w:rPr>
          <w:t xml:space="preserve">https://www.swisstopo.admin.ch</w:t>
        </w:r>
      </w:hyperlink>
      <w:r>
        <w:t xml:space="preserve">.</w:t>
      </w:r>
    </w:p>
    <w:bookmarkEnd w:id="55"/>
    <w:bookmarkStart w:id="57" w:name="ref-dzv"/>
    <w:p>
      <w:pPr>
        <w:pStyle w:val="Bibliography"/>
      </w:pPr>
      <w:r>
        <w:t xml:space="preserve">Verordnung über die Direktzahlungen an die Landwirtschaft (Direktzahlungsverordnung, DZV), SR 910.13 (2013).</w:t>
      </w:r>
      <w:r>
        <w:t xml:space="preserve"> </w:t>
      </w:r>
      <w:hyperlink r:id="rId56">
        <w:r>
          <w:rPr>
            <w:rStyle w:val="Hyperlink"/>
          </w:rPr>
          <w:t xml:space="preserve">https://www.fedlex.admin.ch/eli/cc/2013/765/de</w:t>
        </w:r>
      </w:hyperlink>
      <w:r>
        <w:t xml:space="preserve">.</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Die Reihenfolge wurde gewählt, um den Lesefluss zu verbessern und entspricht daher nicht der Reihenfolge der Identifikatoren.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C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5" Target="@sec-153.1" TargetMode="External" /><Relationship Type="http://schemas.openxmlformats.org/officeDocument/2006/relationships/hyperlink" Id="rId26" Target="@sec-153.3" TargetMode="External" /><Relationship Type="http://schemas.openxmlformats.org/officeDocument/2006/relationships/hyperlink" Id="rId27" Target="@sec-153.5" TargetMode="External" /><Relationship Type="http://schemas.openxmlformats.org/officeDocument/2006/relationships/hyperlink" Id="rId28" Target="@sec-153.6" TargetMode="External" /><Relationship Type="http://schemas.openxmlformats.org/officeDocument/2006/relationships/hyperlink" Id="rId46" Target="http://models.geo.admin.ch/BLW/" TargetMode="External" /><Relationship Type="http://schemas.openxmlformats.org/officeDocument/2006/relationships/hyperlink" Id="rId50" Target="https://doi.org/10.1007/s10841-025-00740-1" TargetMode="External" /><Relationship Type="http://schemas.openxmlformats.org/officeDocument/2006/relationships/hyperlink" Id="rId21" Target="https://opendata.swiss/de/dataset/vegetationshohenmodell-lfi" TargetMode="External" /><Relationship Type="http://schemas.openxmlformats.org/officeDocument/2006/relationships/hyperlink" Id="rId22" Target="https://opendata.swiss/de/dataset/vegetationshohenmodell-lidar-lfi" TargetMode="External" /><Relationship Type="http://schemas.openxmlformats.org/officeDocument/2006/relationships/hyperlink" Id="rId44" Target="https://www.agrarbericht.ch" TargetMode="External" /><Relationship Type="http://schemas.openxmlformats.org/officeDocument/2006/relationships/hyperlink" Id="rId42" Target="https://www.agroforesterie.ch" TargetMode="External" /><Relationship Type="http://schemas.openxmlformats.org/officeDocument/2006/relationships/hyperlink" Id="rId48" Target="https://www.blw.admin.ch/de/klimastrategie-landwirtschaft-und-ernaehrung-2050" TargetMode="External" /><Relationship Type="http://schemas.openxmlformats.org/officeDocument/2006/relationships/hyperlink" Id="rId31" Target="https://www.fedlex.admin.ch/eli/cc/1999/13/de#art_14" TargetMode="External" /><Relationship Type="http://schemas.openxmlformats.org/officeDocument/2006/relationships/hyperlink" Id="rId56" Target="https://www.fedlex.admin.ch/eli/cc/2013/765/de" TargetMode="External" /><Relationship Type="http://schemas.openxmlformats.org/officeDocument/2006/relationships/hyperlink" Id="rId52" Target="https://www.lfi.ch" TargetMode="External" /><Relationship Type="http://schemas.openxmlformats.org/officeDocument/2006/relationships/hyperlink" Id="rId54" Target="https://www.swisstopo.admin.ch" TargetMode="External" /></Relationships>
</file>

<file path=word/_rels/footnotes.xml.rels><?xml version="1.0" encoding="UTF-8"?><Relationships xmlns="http://schemas.openxmlformats.org/package/2006/relationships"><Relationship Type="http://schemas.openxmlformats.org/officeDocument/2006/relationships/hyperlink" Id="rId25" Target="@sec-153.1" TargetMode="External" /><Relationship Type="http://schemas.openxmlformats.org/officeDocument/2006/relationships/hyperlink" Id="rId26" Target="@sec-153.3" TargetMode="External" /><Relationship Type="http://schemas.openxmlformats.org/officeDocument/2006/relationships/hyperlink" Id="rId27" Target="@sec-153.5" TargetMode="External" /><Relationship Type="http://schemas.openxmlformats.org/officeDocument/2006/relationships/hyperlink" Id="rId28" Target="@sec-153.6" TargetMode="External" /><Relationship Type="http://schemas.openxmlformats.org/officeDocument/2006/relationships/hyperlink" Id="rId46" Target="http://models.geo.admin.ch/BLW/" TargetMode="External" /><Relationship Type="http://schemas.openxmlformats.org/officeDocument/2006/relationships/hyperlink" Id="rId50" Target="https://doi.org/10.1007/s10841-025-00740-1" TargetMode="External" /><Relationship Type="http://schemas.openxmlformats.org/officeDocument/2006/relationships/hyperlink" Id="rId21" Target="https://opendata.swiss/de/dataset/vegetationshohenmodell-lfi" TargetMode="External" /><Relationship Type="http://schemas.openxmlformats.org/officeDocument/2006/relationships/hyperlink" Id="rId22" Target="https://opendata.swiss/de/dataset/vegetationshohenmodell-lidar-lfi" TargetMode="External" /><Relationship Type="http://schemas.openxmlformats.org/officeDocument/2006/relationships/hyperlink" Id="rId44" Target="https://www.agrarbericht.ch" TargetMode="External" /><Relationship Type="http://schemas.openxmlformats.org/officeDocument/2006/relationships/hyperlink" Id="rId42" Target="https://www.agroforesterie.ch" TargetMode="External" /><Relationship Type="http://schemas.openxmlformats.org/officeDocument/2006/relationships/hyperlink" Id="rId48" Target="https://www.blw.admin.ch/de/klimastrategie-landwirtschaft-und-ernaehrung-2050" TargetMode="External" /><Relationship Type="http://schemas.openxmlformats.org/officeDocument/2006/relationships/hyperlink" Id="rId31" Target="https://www.fedlex.admin.ch/eli/cc/1999/13/de#art_14" TargetMode="External" /><Relationship Type="http://schemas.openxmlformats.org/officeDocument/2006/relationships/hyperlink" Id="rId56" Target="https://www.fedlex.admin.ch/eli/cc/2013/765/de" TargetMode="External" /><Relationship Type="http://schemas.openxmlformats.org/officeDocument/2006/relationships/hyperlink" Id="rId52" Target="https://www.lfi.ch" TargetMode="External" /><Relationship Type="http://schemas.openxmlformats.org/officeDocument/2006/relationships/hyperlink" Id="rId54" Target="https://www.swisstopo.admin.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Boschettissimo</dc:title>
  <dc:creator/>
  <dc:language>de-CH</dc:language>
  <cp:keywords>Ergebnisorientierte Fördersysteme, Fernerkundung, Agroforstwirtschaft, Biodiversität</cp:keywords>
  <dcterms:created xsi:type="dcterms:W3CDTF">2026-08-14T11:43:51Z</dcterms:created>
  <dcterms:modified xsi:type="dcterms:W3CDTF">2026-08-14T11:43:51Z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Digitale Erkennung und Bewertung von Bäumen auf landwirtschaftlicher Nutzfläche</vt:lpwstr>
  </property>
  <property fmtid="{D5CDD505-2E9C-101B-9397-08002B2CF9AE}" pid="11" name="template-partials">
    <vt:lpwstr/>
  </property>
  <property fmtid="{D5CDD505-2E9C-101B-9397-08002B2CF9AE}" pid="12" name="toc-title">
    <vt:lpwstr>Inhaltsverzeichnis</vt:lpwstr>
  </property>
</Properties>
</file>