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48.png" ContentType="image/png"/>
  <Override PartName="/word/media/rId79.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eCH-0265 Landwirtschaftliche Kulturen</w:t>
      </w:r>
    </w:p>
    <w:p>
      <w:pPr>
        <w:pStyle w:val="Author"/>
      </w:pPr>
      <w:r>
        <w:t xml:space="preserve">eCH Fachgruppe AgriFood</w:t>
      </w:r>
    </w:p>
    <w:p>
      <w:pPr>
        <w:pStyle w:val="Date"/>
      </w:pPr>
      <w:r>
        <w:t xml:space="preserve">17. September 2026</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5"/>
    <w:bookmarkStart w:id="47" w:name="sec-introduction"/>
    <w:p>
      <w:pPr>
        <w:pStyle w:val="berschrift1"/>
      </w:pPr>
      <w:r>
        <w:t xml:space="preserve">1. Einleitung</w:t>
      </w:r>
    </w:p>
    <w:p>
      <w:pPr>
        <w:pStyle w:val="FirstParagraph"/>
      </w:pPr>
      <w:r>
        <w:t xml:space="preserve">Die Definitionen für landwirtschaftliche Kulturen wurden historisch unabhängig voneinander für spezifische gesetzliche Aufträge und Systeme entwickelt.</w:t>
      </w:r>
      <w:r>
        <w:t xml:space="preserve"> </w:t>
      </w:r>
      <w:r>
        <w:t xml:space="preserve">Die fehlende systemübergreifende Harmonisierung (mit einer</w:t>
      </w:r>
      <w:r>
        <w:t xml:space="preserve"> </w:t>
      </w:r>
      <w:r>
        <w:rPr>
          <w:i/>
          <w:iCs/>
        </w:rPr>
        <w:t xml:space="preserve">Single Source of Truth</w:t>
      </w:r>
      <w:r>
        <w:t xml:space="preserve">) erschwert jedoch die Informationsverarbeitung über jeweilige Systemgrenzen hinaus.</w:t>
      </w:r>
    </w:p>
    <w:p>
      <w:pPr>
        <w:pStyle w:val="Textkrper"/>
      </w:pPr>
      <w:r>
        <w:t xml:space="preserve">Das vorliegende Hilfsmittel formuliert keine Vorgaben, sondern unterstützt gezielt die reibungslose Datenintegration über verschiedene Fachbereiche und Organisationen hinweg.</w:t>
      </w:r>
      <w:r>
        <w:t xml:space="preserve"> </w:t>
      </w:r>
      <w:r>
        <w:t xml:space="preserve">Zu diesem Zweck stehen fertige Kulturentabellen sowie die dazugehörigen Mapping-Tabellen zur Verfügung.</w:t>
      </w:r>
      <w:r>
        <w:t xml:space="preserve"> </w:t>
      </w:r>
      <w:r>
        <w:t xml:space="preserve">Alle definierten Ressourcen sind als</w:t>
      </w:r>
      <w:r>
        <w:t xml:space="preserve"> </w:t>
      </w:r>
      <w:r>
        <w:rPr>
          <w:i/>
          <w:iCs/>
        </w:rPr>
        <w:t xml:space="preserve">Linked Data</w:t>
      </w:r>
      <w:r>
        <w:t xml:space="preserve"> </w:t>
      </w:r>
      <w:r>
        <w:t xml:space="preserve">modelliert und lassen sich vollständig automatisiert beziehen, was eine effiziente Überführung von Daten aus einem System in ein anderes ermöglicht.</w:t>
      </w:r>
    </w:p>
    <w:bookmarkStart w:id="26" w:name="sec-what-is-a-crop"/>
    <w:p>
      <w:pPr>
        <w:pStyle w:val="berschrift2"/>
      </w:pPr>
      <w:r>
        <w:t xml:space="preserve">1.1 Was ist eine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eCH-Fachgruppe AgriFood</w:t>
        </w:r>
        <w:r>
          <w:rPr>
            <w:rStyle w:val="Hyperlink"/>
          </w:rPr>
          <w:t xml:space="preserve"> </w:t>
        </w:r>
        <w:r>
          <w:rPr>
            <w:rStyle w:val="Hyperlink"/>
          </w:rPr>
          <w:t xml:space="preserve">2024</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p>
    <w:p>
      <w:pPr>
        <w:pStyle w:val="Textkrper"/>
      </w:pPr>
      <w:r>
        <w:t xml:space="preserve">Dieses Hilfsmittel dient dem Verständnis der Kulturbegriffe aus drei unterschiedlichen Bereichen, in welchen Definitionen landwirtschaftlicher Kulturen unabhängig voneinander gemacht wurden:</w:t>
      </w:r>
    </w:p>
    <w:p>
      <w:pPr>
        <w:pStyle w:val="Compact"/>
        <w:numPr>
          <w:ilvl w:val="0"/>
          <w:numId w:val="1001"/>
        </w:numPr>
      </w:pPr>
      <w:hyperlink w:anchor="sec-direct-payments">
        <w:r>
          <w:rPr>
            <w:rStyle w:val="Hyperlink"/>
          </w:rPr>
          <w:t xml:space="preserve">Direktzahlungen</w:t>
        </w:r>
      </w:hyperlink>
    </w:p>
    <w:p>
      <w:pPr>
        <w:pStyle w:val="Compact"/>
        <w:numPr>
          <w:ilvl w:val="0"/>
          <w:numId w:val="1001"/>
        </w:numPr>
      </w:pPr>
      <w:hyperlink w:anchor="sec-nutrient-balance">
        <w:r>
          <w:rPr>
            <w:rStyle w:val="Hyperlink"/>
          </w:rPr>
          <w:t xml:space="preserve">Nährstoffbilanz</w:t>
        </w:r>
      </w:hyperlink>
    </w:p>
    <w:p>
      <w:pPr>
        <w:pStyle w:val="Compact"/>
        <w:numPr>
          <w:ilvl w:val="0"/>
          <w:numId w:val="1001"/>
        </w:numPr>
      </w:pPr>
      <w:hyperlink w:anchor="sec-plant-protection">
        <w:r>
          <w:rPr>
            <w:rStyle w:val="Hyperlink"/>
          </w:rPr>
          <w:t xml:space="preserve">Pflanzenschutz</w:t>
        </w:r>
      </w:hyperlink>
    </w:p>
    <w:p>
      <w:pPr>
        <w:pStyle w:val="FirstParagraph"/>
      </w:pPr>
      <w:r>
        <w:t xml:space="preserve">In den folgenden Unterkapiteln werden die Kategorisierungssysteme landwirtschaftlicher Kulturen dieser drei Bereiche im Detail beschrieben.</w:t>
      </w:r>
    </w:p>
    <w:bookmarkEnd w:id="26"/>
    <w:bookmarkStart w:id="37" w:name="sec-direct-payments"/>
    <w:p>
      <w:pPr>
        <w:pStyle w:val="berschrift2"/>
      </w:pPr>
      <w:r>
        <w:t xml:space="preserve">1.2 Direktzahlungen</w:t>
      </w:r>
    </w:p>
    <w:p>
      <w:pPr>
        <w:pStyle w:val="FirstParagraph"/>
      </w:pP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 können.</w:t>
      </w:r>
    </w:p>
    <w:p>
      <w:pPr>
        <w:pStyle w:val="Textkrper"/>
      </w:pPr>
      <w:r>
        <w:t xml:space="preserve">Alle Kulturen mit Direktzahlungscode müssen jährlich an AGIS übermittelt werden – unabhängig davon, ob sie für Beiträge berechtigt sind oder nicht (vgl.</w:t>
      </w:r>
      <w:r>
        <w:t xml:space="preserve"> </w:t>
      </w:r>
      <w:hyperlink r:id="rId27">
        <w:r>
          <w:rPr>
            <w:rStyle w:val="Hyperlink"/>
          </w:rPr>
          <w:t xml:space="preserve">Flächenkatalog und Beitragsberechtigung</w:t>
        </w:r>
      </w:hyperlink>
      <w:r>
        <w:t xml:space="preserve">).</w:t>
      </w:r>
      <w:r>
        <w:t xml:space="preserve"> </w:t>
      </w:r>
      <w:r>
        <w:t xml:space="preserve">In AGIS stehen also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28">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29">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30">
        <w:r>
          <w:rPr>
            <w:rStyle w:val="Hyperlink"/>
          </w:rPr>
          <w:t xml:space="preserve">https://models.geo.admin.ch/BLW/</w:t>
        </w:r>
      </w:hyperlink>
      <w:r>
        <w:t xml:space="preserve"> </w:t>
      </w:r>
      <w:r>
        <w:t xml:space="preserve">publiziert, wobei weitere (aggregierende) Kulturkategorien definiert wurden und die Attribute nicht zu 100% deckungsgleich zu denjenigen der Direktzahlungskulturen der Strukturdatenerhebung sind.</w:t>
      </w:r>
    </w:p>
    <w:p>
      <w:pPr>
        <w:pStyle w:val="Textkrper"/>
      </w:pPr>
      <w:r>
        <w:t xml:space="preserve">Die Direktzahlungskulturen sind selbst in acht Kulturkategorien eingeteilt (</w:t>
      </w:r>
      <w:hyperlink w:anchor="tbl-directpaymentcrops-categories">
        <w:r>
          <w:rPr>
            <w:rStyle w:val="Hyperlink"/>
          </w:rPr>
          <w:t xml:space="preserve">Tabelle 1</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36" w:name="tbl-directpaymentcrops-categories"/>
          <w:p>
            <w:pPr>
              <w:jc w:val="center"/>
            </w:pPr>
            <w:pPr>
              <w:jc w:val="left"/>
              <w:spacing w:before="200"/>
              <w:pStyle w:val="ImageCaption"/>
            </w:pPr>
            <w:r>
              <w:t xml:space="preserve">Tabelle 1: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396"/>
              <w:gridCol w:w="2772"/>
              <w:gridCol w:w="1584"/>
              <w:gridCol w:w="3168"/>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31">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32">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33">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34">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35">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36"/>
          <w:p/>
        </w:tc>
      </w:tr>
    </w:tbl>
    <w:bookmarkEnd w:id="37"/>
    <w:bookmarkStart w:id="41" w:name="sec-nutrient-balance"/>
    <w:p>
      <w:pPr>
        <w:pStyle w:val="berschrift2"/>
      </w:pPr>
      <w:r>
        <w:t xml:space="preserve">1.3 Nährstoffbilanz</w:t>
      </w:r>
    </w:p>
    <w:p>
      <w:pPr>
        <w:pStyle w:val="FirstParagraph"/>
      </w:pPr>
      <w:r>
        <w:t xml:space="preserve">Um umweltbelastende Nährstoffverluste zu reduzieren und die Ertragsfähigkeit der Böden nachhaltig zu sichern, müssen Schweizer Landwirtschaftsbetriebe eine ausgeglichene Nährstoffbilanz ausweisen</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Das zentrale Berechnungsinstrument hierfür ist die Suisse-Bilanz, welche den Nährstoffanfall (etwa durch Hofdünger) und den Nährstoffbedarf auf Betriebsebene systematisch gegenüberstellt</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Für diese Bilanzierung wurden spezifische Kulturen definiert, weil jede landwirtschaftliche Kultur einen anderen, normierten Nährstoffbedarf (z.B. für Stickstoff oder Phosphor) aufweist</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Die Zuweisung dieser Kulturen ist die Grundvoraussetzung, um eine Nährstoffbilanz für einen Betrieb berechnen zu können.</w:t>
      </w:r>
    </w:p>
    <w:p>
      <w:pPr>
        <w:pStyle w:val="Textkrper"/>
      </w:pPr>
      <w:r>
        <w:t xml:space="preserve">Um die Suisse-Bilanz zu berechnen, ist die «Wegleitung Suisse-Bilanz» entscheidend, welche von Agridea und dem Bundesamt für Landwirtschaft herausgegeben wird</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In dem Dokument sind viele Referenztabellen enthalten, die entsprechend nach Kulturen aufgegliedert sind, abgeleitet von den detaillierteren Tabellen in</w:t>
      </w:r>
      <w:r>
        <w:t xml:space="preserve"> </w:t>
      </w:r>
      <w:r>
        <w:t xml:space="preserve">Carlen u. a. (</w:t>
      </w:r>
      <w:hyperlink w:anchor="ref-grud2017">
        <w:r>
          <w:rPr>
            <w:rStyle w:val="Hyperlink"/>
          </w:rPr>
          <w:t xml:space="preserve">2017</w:t>
        </w:r>
      </w:hyperlink>
      <w:r>
        <w:t xml:space="preserve">)</w:t>
      </w:r>
      <w:r>
        <w:t xml:space="preserve">.</w:t>
      </w:r>
    </w:p>
    <w:p>
      <w:pPr>
        <w:pStyle w:val="Textkrper"/>
      </w:pPr>
      <w:r>
        <w:t xml:space="preserve">Zur Standardisierung der Suisse-Bilanz-Berechnung stellt das Bundesamt für Landwirtschaft neu den Nährstoffbilanz-Berechnungsservice (NBBS) als RESTful API zur Verfügung.</w:t>
      </w:r>
      <w:r>
        <w:t xml:space="preserve"> </w:t>
      </w:r>
      <w:r>
        <w:t xml:space="preserve">Über diese Schnittstelle lässt sich unter anderem ein Katalog der landwirtschaftlichen Kulturen abrufen.</w:t>
      </w:r>
      <w:r>
        <w:rPr>
          <w:rStyle w:val="FootnoteReference"/>
        </w:rPr>
        <w:footnoteReference w:id="38"/>
      </w:r>
      <w:r>
        <w:t xml:space="preserve"> </w:t>
      </w:r>
      <w:r>
        <w:t xml:space="preserve">Der NBBS ordnet die Kulturen in einer strikten, dreistufigen Hierarchie (</w:t>
      </w:r>
      <w:hyperlink w:anchor="tbl-nbbs-hierarchy">
        <w:r>
          <w:rPr>
            <w:rStyle w:val="Hyperlink"/>
          </w:rPr>
          <w:t xml:space="preserve">Tabelle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nbbs-hierarchy"/>
          <w:p>
            <w:pPr>
              <w:jc w:val="center"/>
            </w:pPr>
            <w:pPr>
              <w:jc w:val="left"/>
              <w:spacing w:before="200"/>
              <w:pStyle w:val="ImageCaption"/>
            </w:pPr>
            <w:r>
              <w:t xml:space="preserve">Tabelle 2: Hierarchische Struktur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396"/>
              <w:gridCol w:w="2376"/>
              <w:gridCol w:w="2772"/>
              <w:gridCol w:w="2376"/>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Oberste Hierarchieebene,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Mittlere Ebene,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Unterste Ebene, welche die eigentlichen Kulturen beinhaltet. Hier sind die spezifischen agronomischen und regulatorische Eigenschaften hinterlegt.</w:t>
                  </w:r>
                </w:p>
              </w:tc>
              <w:tc>
                <w:tcPr/>
                <w:p>
                  <w:pPr>
                    <w:pStyle w:val="Compact"/>
                    <w:jc w:val="left"/>
                    <w:jc w:val="center"/>
                  </w:pPr>
                  <w:r>
                    <w:t xml:space="preserve">«Winterweizen», «Zuckerrüben», «Naturwiese extensiv», «Aubergine, Erdkultur (geschützter Anbau)», «Walnüsse ≥ 185 Bäume/ha»</w:t>
                  </w:r>
                </w:p>
              </w:tc>
            </w:tr>
          </w:tbl>
          <w:bookmarkEnd w:id="40"/>
          <w:p/>
        </w:tc>
      </w:tr>
    </w:tbl>
    <w:p>
      <w:pPr>
        <w:pStyle w:val="Textkrper"/>
      </w:pPr>
      <w:r>
        <w:t xml:space="preserve">Während die beiden obersten Ebenen rein der Strukturierung und Gruppierung dienen, weisen die agronomischen Kulturkategorien auf der untersten Ebene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41"/>
    <w:bookmarkStart w:id="46" w:name="sec-plant-protection"/>
    <w:p>
      <w:pPr>
        <w:pStyle w:val="berschrift2"/>
      </w:pPr>
      <w:r>
        <w:t xml:space="preserve">1.4 Pflanzenschutz</w:t>
      </w:r>
    </w:p>
    <w:p>
      <w:pPr>
        <w:pStyle w:val="FirstParagraph"/>
      </w:pPr>
      <w:r>
        <w:t xml:space="preserve">Das</w:t>
      </w:r>
      <w:r>
        <w:t xml:space="preserve"> </w:t>
      </w:r>
      <w:hyperlink r:id="rId42">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w:t>
      </w:r>
      <w:r>
        <w:t xml:space="preserve"> </w:t>
      </w:r>
      <w:r>
        <w:t xml:space="preserve">Die Bezeichnungen dieser Kulturen liegen mehrsprachig auf Deutsch, Französisch und Italienisch sowie teilweise auf Englisch vor.</w:t>
      </w:r>
    </w:p>
    <w:p>
      <w:pPr>
        <w:pStyle w:val="Textkrper"/>
      </w:pPr>
      <w:r>
        <w:t xml:space="preserve">Anders als die streng monohierarchische Klassifikationen (wie in AGIS und im NBBS)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43">
        <w:r>
          <w:rPr>
            <w:rStyle w:val="Hyperlink"/>
            <w:i/>
            <w:iCs/>
          </w:rPr>
          <w:t xml:space="preserve">European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44">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welche vom PSMV als Getreide klassifiziert sind.</w:t>
      </w:r>
      <w:r>
        <w:t xml:space="preserve"> </w:t>
      </w:r>
      <w:r>
        <w:t xml:space="preserve">Mais, Buchweizen und Quinoa gehört in diesem System aber explizit nicht zu den Getreiden – in der Systematik des NBBS aber schon.</w:t>
      </w:r>
      <w:r>
        <w:rPr>
          <w:rStyle w:val="FootnoteReference"/>
        </w:rPr>
        <w:footnoteReference w:id="45"/>
      </w:r>
      <w:r>
        <w:t xml:space="preserve"> </w:t>
      </w:r>
      <w:r>
        <w:t xml:space="preserve">Die korrekte Nachbildung dieser Polyhierarchie ist in den Daten folglich essenziell, um Zulassungen maschinell korrekt zu verarbeiten.</w:t>
      </w:r>
    </w:p>
    <w:bookmarkEnd w:id="46"/>
    <w:bookmarkEnd w:id="47"/>
    <w:bookmarkStart w:id="53" w:name="sec-data-model"/>
    <w:p>
      <w:pPr>
        <w:pStyle w:val="berschrift1"/>
      </w:pPr>
      <w:r>
        <w:t xml:space="preserve">2. Datenmodell</w:t>
      </w:r>
    </w:p>
    <w:bookmarkStart w:id="52" w:name="sec-linked-data"/>
    <w:p>
      <w:pPr>
        <w:pStyle w:val="berschrift2"/>
      </w:pPr>
      <w:r>
        <w:t xml:space="preserve">2.1 Nutzung von Semantic-Web-Technologien</w:t>
      </w:r>
    </w:p>
    <w:p>
      <w:pPr>
        <w:pStyle w:val="FirstParagraph"/>
      </w:pPr>
      <w:r>
        <w:t xml:space="preserve">Im Gegensatz zum Pflanzenschutzmittelverzeichnis wird beim Nährstoffbilanzrechner Mais als Getreide gezählt – es existieren also verschiedene Definitionen von Getreide.</w:t>
      </w:r>
      <w:r>
        <w:t xml:space="preserve"> </w:t>
      </w:r>
      <w:r>
        <w:t xml:space="preserve">Um diese eindeutig kennzeichnen zu können, setzen wir auf Linked Data.</w:t>
      </w:r>
      <w:r>
        <w:t xml:space="preserve"> </w:t>
      </w:r>
      <w:r>
        <w:t xml:space="preserve">Für weiterführende Informationen zur Publikation, Nutzung und den Kernprozessen von vernetzten Daten verweisen wir auf</w:t>
      </w:r>
      <w:r>
        <w:t xml:space="preserve"> </w:t>
      </w:r>
      <w:r>
        <w:t xml:space="preserve">eCH-Fachgruppe Open Government Data</w:t>
      </w:r>
      <w:r>
        <w:t xml:space="preserve"> </w:t>
      </w:r>
      <w:r>
        <w:t xml:space="preserve">(</w:t>
      </w:r>
      <w:hyperlink w:anchor="ref-eCH-0205:1.0.0">
        <w:r>
          <w:rPr>
            <w:rStyle w:val="Hyperlink"/>
          </w:rPr>
          <w:t xml:space="preserve">2018</w:t>
        </w:r>
      </w:hyperlink>
      <w:r>
        <w:t xml:space="preserve">)</w:t>
      </w:r>
      <w:r>
        <w:t xml:space="preserve">.</w:t>
      </w:r>
    </w:p>
    <w:p>
      <w:pPr>
        <w:pStyle w:val="Textkrper"/>
      </w:pPr>
      <w:r>
        <w:t xml:space="preserve">Das konsolidierte Datenmodell wird durch eine RDFS-Ontologie abgebildet und mittels SHACL-Shapes validiert</w:t>
      </w:r>
      <w:r>
        <w:t xml:space="preserve"> </w:t>
      </w:r>
      <w:r>
        <w:t xml:space="preserve">(</w:t>
      </w:r>
      <w:hyperlink w:anchor="ref-rdf">
        <w:r>
          <w:rPr>
            <w:rStyle w:val="Hyperlink"/>
          </w:rPr>
          <w:t xml:space="preserve">Cyganiak u. a. 2014</w:t>
        </w:r>
      </w:hyperlink>
      <w:r>
        <w:t xml:space="preserve">;</w:t>
      </w:r>
      <w:r>
        <w:t xml:space="preserve"> </w:t>
      </w:r>
      <w:hyperlink w:anchor="ref-owl2">
        <w:r>
          <w:rPr>
            <w:rStyle w:val="Hyperlink"/>
          </w:rPr>
          <w:t xml:space="preserve">W3C OWL Working Group 2012</w:t>
        </w:r>
      </w:hyperlink>
      <w:r>
        <w:t xml:space="preserve">;</w:t>
      </w:r>
      <w:r>
        <w:t xml:space="preserve"> </w:t>
      </w:r>
      <w:hyperlink w:anchor="ref-shacl">
        <w:r>
          <w:rPr>
            <w:rStyle w:val="Hyperlink"/>
          </w:rPr>
          <w:t xml:space="preserve">Knublauch und Kontokostas 2017</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uml"/>
          <w:p>
            <w:pPr>
              <w:pStyle w:val="Compact"/>
              <w:jc w:val="center"/>
            </w:pPr>
            <w:r>
              <w:drawing>
                <wp:inline>
                  <wp:extent cx="6299200" cy="1703881"/>
                  <wp:effectExtent b="0" l="0" r="0" t="0"/>
                  <wp:docPr descr="" title="" id="49" name="Picture"/>
                  <a:graphic>
                    <a:graphicData uri="http://schemas.openxmlformats.org/drawingml/2006/picture">
                      <pic:pic>
                        <pic:nvPicPr>
                          <pic:cNvPr descr="../assets/img/uml.png" id="50" name="Picture"/>
                          <pic:cNvPicPr>
                            <a:picLocks noChangeArrowheads="1" noChangeAspect="1"/>
                          </pic:cNvPicPr>
                        </pic:nvPicPr>
                        <pic:blipFill>
                          <a:blip r:embed="rId48"/>
                          <a:stretch>
                            <a:fillRect/>
                          </a:stretch>
                        </pic:blipFill>
                        <pic:spPr bwMode="auto">
                          <a:xfrm>
                            <a:off x="0" y="0"/>
                            <a:ext cx="6299200" cy="170388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UML-Diagramm des Datenmodells von eCH-0265. Dieses Diagramm wurde automatisch mithilfe von SHACL PLAY!</w:t>
            </w:r>
            <w:r>
              <w:t xml:space="preserve"> </w:t>
            </w:r>
            <w:r>
              <w:t xml:space="preserve">(</w:t>
            </w:r>
            <w:hyperlink w:anchor="ref-francart2020shacl">
              <w:r>
                <w:rPr>
                  <w:rStyle w:val="Hyperlink"/>
                </w:rPr>
                <w:t xml:space="preserve">Francart 2020</w:t>
              </w:r>
            </w:hyperlink>
            <w:r>
              <w:t xml:space="preserve">)</w:t>
            </w:r>
            <w:r>
              <w:t xml:space="preserve"> </w:t>
            </w:r>
            <w:r>
              <w:t xml:space="preserve">aus den SHACL-Spezifikationen generiert.</w:t>
            </w:r>
          </w:p>
          <w:bookmarkEnd w:id="51"/>
        </w:tc>
      </w:tr>
    </w:tbl>
    <w:p>
      <w:pPr>
        <w:pStyle w:val="Textkrper"/>
      </w:pPr>
      <w:hyperlink w:anchor="fig-uml">
        <w:r>
          <w:rPr>
            <w:rStyle w:val="Hyperlink"/>
          </w:rPr>
          <w:t xml:space="preserve">Abbildung 1</w:t>
        </w:r>
      </w:hyperlink>
      <w:r>
        <w:t xml:space="preserve"> </w:t>
      </w:r>
      <w:r>
        <w:t xml:space="preserve">veranschaulicht die grundlegende Architektur des semantischen Modells: Im Zentrum steht eine generische Referenzklasse (</w:t>
      </w:r>
      <w:r>
        <w:rPr>
          <w:rStyle w:val="VerbatimChar"/>
        </w:rPr>
        <w:t xml:space="preserve">eCH-0265:CultivationType</w:t>
      </w:r>
      <w:r>
        <w:t xml:space="preserve">).</w:t>
      </w:r>
      <w:r>
        <w:t xml:space="preserve"> </w:t>
      </w:r>
      <w:r>
        <w:t xml:space="preserve">Die Kulturhierarchien der drei verschiedenen Bereiche (Direktzahlungen, Nährstoffbilanz und Pflanzenschutz) sind jeweils als SKOS-Konzeptschema modelliert.</w:t>
      </w:r>
      <w:r>
        <w:t xml:space="preserve"> </w:t>
      </w:r>
      <w:r>
        <w:t xml:space="preserve">Jede Kultur kann dabei auf die zentrale Referenzklasse</w:t>
      </w:r>
      <w:r>
        <w:t xml:space="preserve"> </w:t>
      </w:r>
      <w:r>
        <w:t xml:space="preserve">“zeigen”</w:t>
      </w:r>
      <w:r>
        <w:t xml:space="preserve">.</w:t>
      </w:r>
      <w:r>
        <w:t xml:space="preserve"> </w:t>
      </w:r>
      <w:r>
        <w:t xml:space="preserve">Dieser modulare Aufbau erlaubt es, die historisch gewachsenen, in sich geschlossenen Kategoriensysteme unter Beibehaltung ihrer spezifischen fachlichen und rechtlichen Eigenschaften in einem gemeinsamen Graphen abzubilden und trotzdem miteinander zu verknüpfen.</w:t>
      </w:r>
    </w:p>
    <w:bookmarkEnd w:id="52"/>
    <w:bookmarkEnd w:id="53"/>
    <w:bookmarkStart w:id="71" w:name="sec-classes"/>
    <w:p>
      <w:pPr>
        <w:pStyle w:val="berschrift1"/>
      </w:pPr>
      <w:r>
        <w:t xml:space="preserve">3. Klassen</w:t>
      </w:r>
    </w:p>
    <w:bookmarkStart w:id="55" w:name="sec-nodeshape-nutrientbalancecrop"/>
    <w:p>
      <w:pPr>
        <w:pStyle w:val="berschrift2"/>
      </w:pPr>
      <w:r>
        <w:t xml:space="preserve">3.1 Agronomische Kulturkategorie</w:t>
      </w:r>
    </w:p>
    <w:p>
      <w:pPr>
        <w:pStyle w:val="FirstParagraph"/>
      </w:pPr>
      <w:r>
        <w:t xml:space="preserve">Unterste Hierarchieebene, welche die eigentlichen Kulturen mit spezifischen agronomischen Eigenschaften für die Suisse-Bilanz beinhaltet.</w:t>
      </w:r>
    </w:p>
    <w:tbl>
      <w:tblPr>
        <w:tblStyle w:val="Table"/>
        <w:tblW w:type="pct" w:w="5000"/>
        <w:tblLayout w:type="fixed"/>
        <w:tblLook w:firstRow="0" w:lastRow="0" w:firstColumn="0" w:lastColumn="0" w:noHBand="0" w:noVBand="0" w:val="0000"/>
      </w:tblPr>
      <w:tblGrid>
        <w:gridCol w:w="7920"/>
      </w:tblGrid>
      <w:tr>
        <w:tc>
          <w:tcPr/>
          <w:bookmarkStart w:id="54" w:name="tbl-nodeshape-nutrientbalancecrop"/>
          <w:p>
            <w:pPr>
              <w:jc w:val="center"/>
            </w:pPr>
            <w:pPr>
              <w:jc w:val="left"/>
              <w:spacing w:before="200"/>
              <w:pStyle w:val="ImageCaption"/>
            </w:pPr>
            <w:r>
              <w:t xml:space="preserve">Tabelle 3: Eigenschaften Agronomische Kulturkategorie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Unterkategorie</w:t>
                  </w:r>
                </w:p>
              </w:tc>
              <w:tc>
                <w:tcPr/>
                <w:p>
                  <w:pPr>
                    <w:pStyle w:val="Compact"/>
                    <w:jc w:val="left"/>
                    <w:jc w:val="center"/>
                  </w:pPr>
                  <w:r>
                    <w:rPr>
                      <w:rStyle w:val="VerbatimChar"/>
                    </w:rPr>
                    <w:t xml:space="preserve">eCH-0265:cultivationSubCategory</w:t>
                  </w:r>
                </w:p>
              </w:tc>
              <w:tc>
                <w:tcPr/>
                <w:p>
                  <w:pPr>
                    <w:pStyle w:val="Compact"/>
                    <w:jc w:val="left"/>
                    <w:jc w:val="center"/>
                  </w:pPr>
                  <w:hyperlink w:anchor="X318f3d654350c04a3b29f639c18fafc8bac97f3">
                    <w:r>
                      <w:rPr>
                        <w:rStyle w:val="VerbatimChar"/>
                      </w:rPr>
                      <w:t xml:space="preserve">eCH-0265:NutrientBalanceCropSubCategory</w:t>
                    </w:r>
                  </w:hyperlink>
                </w:p>
              </w:tc>
              <w:tc>
                <w:tcPr/>
                <w:p>
                  <w:pPr>
                    <w:pStyle w:val="Compact"/>
                    <w:jc w:val="right"/>
                    <w:jc w:val="center"/>
                  </w:pPr>
                  <w:r>
                    <w:t xml:space="preserve">1..1</w:t>
                  </w:r>
                </w:p>
              </w:tc>
            </w:tr>
            <w:tr>
              <w:tc>
                <w:tcPr/>
                <w:p>
                  <w:pPr>
                    <w:pStyle w:val="Compact"/>
                    <w:jc w:val="left"/>
                    <w:jc w:val="center"/>
                  </w:pPr>
                  <w:r>
                    <w:rPr>
                      <w:b/>
                      <w:bCs/>
                    </w:rPr>
                    <w:t xml:space="preserve">Kategorie</w:t>
                  </w:r>
                </w:p>
              </w:tc>
              <w:tc>
                <w:tcPr/>
                <w:p>
                  <w:pPr>
                    <w:pStyle w:val="Compact"/>
                    <w:jc w:val="left"/>
                    <w:jc w:val="center"/>
                  </w:pPr>
                  <w:r>
                    <w:rPr>
                      <w:rStyle w:val="VerbatimChar"/>
                    </w:rPr>
                    <w:t xml:space="preserve">eCH-0265:cultivationCategory</w:t>
                  </w:r>
                </w:p>
              </w:tc>
              <w:tc>
                <w:tcPr/>
                <w:p>
                  <w:pPr>
                    <w:pStyle w:val="Compact"/>
                    <w:jc w:val="left"/>
                    <w:jc w:val="center"/>
                  </w:pPr>
                  <w:hyperlink w:anchor="Xb583bbcab91a77c05f48f6e7709fef2fa37530a">
                    <w:r>
                      <w:rPr>
                        <w:rStyle w:val="VerbatimChar"/>
                      </w:rPr>
                      <w:t xml:space="preserve">eCH-0265:NutrientBalanceCropCategory</w:t>
                    </w:r>
                  </w:hyperlink>
                </w:p>
              </w:tc>
              <w:tc>
                <w:tcPr/>
                <w:p>
                  <w:pPr>
                    <w:pStyle w:val="Compact"/>
                    <w:jc w:val="right"/>
                    <w:jc w:val="center"/>
                  </w:pPr>
                  <w:r>
                    <w:t xml:space="preserve">1..1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4"/>
          <w:p/>
        </w:tc>
      </w:tr>
    </w:tbl>
    <w:bookmarkEnd w:id="55"/>
    <w:bookmarkStart w:id="57" w:name="sec-nodeshape-directpaymentcrop"/>
    <w:p>
      <w:pPr>
        <w:pStyle w:val="berschrift2"/>
      </w:pPr>
      <w:r>
        <w:t xml:space="preserve">3.2 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tbl>
      <w:tblPr>
        <w:tblStyle w:val="Table"/>
        <w:tblW w:type="pct" w:w="5000"/>
        <w:tblLayout w:type="fixed"/>
        <w:tblLook w:firstRow="0" w:lastRow="0" w:firstColumn="0" w:lastColumn="0" w:noHBand="0" w:noVBand="0" w:val="0000"/>
      </w:tblPr>
      <w:tblGrid>
        <w:gridCol w:w="7920"/>
      </w:tblGrid>
      <w:tr>
        <w:tc>
          <w:tcPr/>
          <w:bookmarkStart w:id="56" w:name="tbl-nodeshape-directpaymentcrop"/>
          <w:p>
            <w:pPr>
              <w:jc w:val="center"/>
            </w:pPr>
            <w:pPr>
              <w:jc w:val="left"/>
              <w:spacing w:before="200"/>
              <w:pStyle w:val="ImageCaption"/>
            </w:pPr>
            <w:r>
              <w:t xml:space="preserve">Tabelle 4: Eigenschaften Direktzahlungskultur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skos:broader</w:t>
                  </w:r>
                </w:p>
              </w:tc>
              <w:tc>
                <w:tcPr/>
                <w:p>
                  <w:pPr>
                    <w:pStyle w:val="Compact"/>
                    <w:jc w:val="left"/>
                    <w:jc w:val="center"/>
                  </w:pPr>
                  <w:hyperlink w:anchor="sec-nodeshape-directpaymentareacategory">
                    <w:r>
                      <w:rPr>
                        <w:rStyle w:val="VerbatimChar"/>
                      </w:rPr>
                      <w:t xml:space="preserve">eCH-0265:DirectPaymentAreaCategory</w:t>
                    </w:r>
                  </w:hyperlink>
                  <w:r>
                    <w:t xml:space="preserve"> </w:t>
                  </w:r>
                  <w:r>
                    <w:t xml:space="preserve">oder</w:t>
                  </w:r>
                  <w:r>
                    <w:t xml:space="preserve"> </w:t>
                  </w:r>
                  <w:r>
                    <w:rPr>
                      <w:rStyle w:val="VerbatimChar"/>
                    </w:rPr>
                    <w:t xml:space="preserve">sh:IRI</w:t>
                  </w: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Die offizielle Bezeichnung dieser Direktzahlungskultur, abgeglichen mit der Landwirtschaftlichen Begriffsverordnung (LBV).</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Identifikator</w:t>
                  </w:r>
                  <w:r>
                    <w:t xml:space="preserve">: Der LNF-Code, auch Kulturcode genannt, ist der allgemein gebräuchliche Identifikator für Direktzahlungskulturen in der Schweiz.</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Gültig von</w:t>
                  </w:r>
                  <w:r>
                    <w:t xml:space="preserve">: Ab welchem Jahr wurde diese Direktzahlungskultur offiziell verwendet?</w:t>
                  </w:r>
                </w:p>
              </w:tc>
              <w:tc>
                <w:tcPr/>
                <w:p>
                  <w:pPr>
                    <w:pStyle w:val="Compact"/>
                    <w:jc w:val="left"/>
                    <w:jc w:val="center"/>
                  </w:pPr>
                  <w:r>
                    <w:rPr>
                      <w:rStyle w:val="VerbatimChar"/>
                    </w:rPr>
                    <w:t xml:space="preserve">schema:validFrom</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Gültig bis</w:t>
                  </w:r>
                  <w:r>
                    <w:t xml:space="preserve">: Bis in welchem Jahr wurde diese Direktzahlungskultur offiziell verwendet?</w:t>
                  </w:r>
                </w:p>
              </w:tc>
              <w:tc>
                <w:tcPr/>
                <w:p>
                  <w:pPr>
                    <w:pStyle w:val="Compact"/>
                    <w:jc w:val="left"/>
                    <w:jc w:val="center"/>
                  </w:pPr>
                  <w:r>
                    <w:rPr>
                      <w:rStyle w:val="VerbatimChar"/>
                    </w:rPr>
                    <w:t xml:space="preserve">schema:validTo</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6"/>
          <w:p/>
        </w:tc>
      </w:tr>
    </w:tbl>
    <w:bookmarkEnd w:id="57"/>
    <w:bookmarkStart w:id="59" w:name="sec-nodeshape-directpaymentareacategory"/>
    <w:p>
      <w:pPr>
        <w:pStyle w:val="berschrift2"/>
      </w:pPr>
      <w:r>
        <w:t xml:space="preserve">3.3 Flächenkategorie Direktzahlung</w:t>
      </w:r>
    </w:p>
    <w:tbl>
      <w:tblPr>
        <w:tblStyle w:val="Table"/>
        <w:tblW w:type="pct" w:w="5000"/>
        <w:tblLayout w:type="fixed"/>
        <w:tblLook w:firstRow="0" w:lastRow="0" w:firstColumn="0" w:lastColumn="0" w:noHBand="0" w:noVBand="0" w:val="0000"/>
      </w:tblPr>
      <w:tblGrid>
        <w:gridCol w:w="7920"/>
      </w:tblGrid>
      <w:tr>
        <w:tc>
          <w:tcPr/>
          <w:bookmarkStart w:id="58" w:name="tbl-nodeshape-directpaymentareacategory"/>
          <w:p>
            <w:pPr>
              <w:jc w:val="center"/>
            </w:pPr>
            <w:pPr>
              <w:jc w:val="left"/>
              <w:spacing w:before="200"/>
              <w:pStyle w:val="ImageCaption"/>
            </w:pPr>
            <w:r>
              <w:t xml:space="preserve">Tabelle 5: Eigenschaften Flächenkategorie Direktzahlung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8"/>
          <w:p/>
        </w:tc>
      </w:tr>
    </w:tbl>
    <w:bookmarkEnd w:id="59"/>
    <w:bookmarkStart w:id="63" w:name="sec-nodeshape-cultivationtype"/>
    <w:p>
      <w:pPr>
        <w:pStyle w:val="berschrift2"/>
      </w:pPr>
      <w:r>
        <w:t xml:space="preserve">3.4 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60">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61">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tbl>
      <w:tblPr>
        <w:tblStyle w:val="Table"/>
        <w:tblW w:type="pct" w:w="5000"/>
        <w:tblLayout w:type="fixed"/>
        <w:tblLook w:firstRow="0" w:lastRow="0" w:firstColumn="0" w:lastColumn="0" w:noHBand="0" w:noVBand="0" w:val="0000"/>
      </w:tblPr>
      <w:tblGrid>
        <w:gridCol w:w="7920"/>
      </w:tblGrid>
      <w:tr>
        <w:tc>
          <w:tcPr/>
          <w:bookmarkStart w:id="62" w:name="tbl-nodeshape-cultivationtype"/>
          <w:p>
            <w:pPr>
              <w:jc w:val="center"/>
            </w:pPr>
            <w:pPr>
              <w:jc w:val="left"/>
              <w:spacing w:before="200"/>
              <w:pStyle w:val="ImageCaption"/>
            </w:pPr>
            <w:r>
              <w:t xml:space="preserve">Tabelle 6: Eigenschaften Nutzungstyp</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Name</w:t>
                  </w:r>
                  <w:r>
                    <w:t xml:space="preserve">: Die präferierte Bezeichnung der Nutzungsart. Sie ist viersprachig gegeben (de, fr, it, en) und beginnt immer mit einem Grossbuchstaben. Der Name ist möglichst schlank gehalten, bleibt aber eindeutig für die Nutzungsart. Klammerbemerkungen sind im Namen nicht erlaubt.</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4..*</w:t>
                  </w:r>
                </w:p>
              </w:tc>
            </w:tr>
            <w:tr>
              <w:tc>
                <w:tcPr/>
                <w:p>
                  <w:pPr>
                    <w:pStyle w:val="Compact"/>
                    <w:jc w:val="left"/>
                    <w:jc w:val="center"/>
                  </w:pPr>
                  <w:r>
                    <w:rPr>
                      <w:b/>
                      <w:bCs/>
                    </w:rPr>
                    <w:t xml:space="preserve">Alias</w:t>
                  </w:r>
                  <w:r>
                    <w:t xml:space="preserve">: Eine alternative Bezeichnung (also ein Synonym) der Nutzungsart. Beispiel: Stielmangold oder Rippenmangold sind Synonyme für Krautstiel. Diese Synonyme können für verbesserte Suchfunktionen gebraucht werden.</w:t>
                  </w:r>
                </w:p>
              </w:tc>
              <w:tc>
                <w:tcPr/>
                <w:p>
                  <w:pPr>
                    <w:pStyle w:val="Compact"/>
                    <w:jc w:val="left"/>
                    <w:jc w:val="center"/>
                  </w:pPr>
                  <w:r>
                    <w:rPr>
                      <w:rStyle w:val="VerbatimChar"/>
                    </w:rPr>
                    <w:t xml:space="preserve">schema:alternateName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Beschreibung</w:t>
                  </w:r>
                  <w:r>
                    <w:t xml:space="preserve">: Falls der Name der Nutzungsart nicht selbsterklärend ist, kann eine weiterführende Beschreibung beigelegt werden.</w:t>
                  </w:r>
                </w:p>
              </w:tc>
              <w:tc>
                <w:tcPr/>
                <w:p>
                  <w:pPr>
                    <w:pStyle w:val="Compact"/>
                    <w:jc w:val="left"/>
                    <w:jc w:val="center"/>
                  </w:pPr>
                  <w:r>
                    <w:rPr>
                      <w:rStyle w:val="VerbatimChar"/>
                    </w:rPr>
                    <w:t xml:space="preserve">schema:description</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Übergeordneter Nutzungstyp</w:t>
                  </w:r>
                </w:p>
              </w:tc>
              <w:tc>
                <w:tcPr/>
                <w:p>
                  <w:pPr>
                    <w:pStyle w:val="Compact"/>
                    <w:jc w:val="left"/>
                    <w:jc w:val="center"/>
                  </w:pPr>
                  <w:r>
                    <w:rPr>
                      <w:rStyle w:val="VerbatimChar"/>
                    </w:rPr>
                    <w:t xml:space="preserve">rdfs:subClassOf</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owl:Class</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owl:disjointWith</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62"/>
          <w:p/>
        </w:tc>
      </w:tr>
    </w:tbl>
    <w:bookmarkEnd w:id="63"/>
    <w:bookmarkStart w:id="65" w:name="Xb583bbcab91a77c05f48f6e7709fef2fa37530a"/>
    <w:p>
      <w:pPr>
        <w:pStyle w:val="berschrift2"/>
      </w:pPr>
      <w:r>
        <w:t xml:space="preserve">3.5 Nährstoffbilanz-Kultivierungskategorie</w:t>
      </w:r>
    </w:p>
    <w:p>
      <w:pPr>
        <w:pStyle w:val="FirstParagraph"/>
      </w:pPr>
      <w:r>
        <w:t xml:space="preserve">Oberste Hierarchieebene der Kulturen im Nährstoffbilanz-Berechnungsservice, dient der reinen Strukturierung.</w:t>
      </w:r>
    </w:p>
    <w:tbl>
      <w:tblPr>
        <w:tblStyle w:val="Table"/>
        <w:tblW w:type="pct" w:w="5000"/>
        <w:tblLayout w:type="fixed"/>
        <w:tblLook w:firstRow="0" w:lastRow="0" w:firstColumn="0" w:lastColumn="0" w:noHBand="0" w:noVBand="0" w:val="0000"/>
      </w:tblPr>
      <w:tblGrid>
        <w:gridCol w:w="7920"/>
      </w:tblGrid>
      <w:tr>
        <w:tc>
          <w:tcPr/>
          <w:bookmarkStart w:id="64" w:name="X9721563c21b877d99a8fda7cad756ff14e98198"/>
          <w:p>
            <w:pPr>
              <w:jc w:val="center"/>
            </w:pPr>
            <w:pPr>
              <w:jc w:val="left"/>
              <w:spacing w:before="200"/>
              <w:pStyle w:val="ImageCaption"/>
            </w:pPr>
            <w:r>
              <w:t xml:space="preserve">Tabelle 7: Eigenschaften Nährstoffbilanz-Kultivierungskategorie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Oberstes Konzept von</w:t>
                  </w: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4"/>
          <w:p/>
        </w:tc>
      </w:tr>
    </w:tbl>
    <w:bookmarkEnd w:id="65"/>
    <w:bookmarkStart w:id="67" w:name="X318f3d654350c04a3b29f639c18fafc8bac97f3"/>
    <w:p>
      <w:pPr>
        <w:pStyle w:val="berschrift2"/>
      </w:pPr>
      <w:r>
        <w:t xml:space="preserve">3.6 Nährstoffbilanz-Kultivierungsunterkategorie</w:t>
      </w:r>
    </w:p>
    <w:p>
      <w:pPr>
        <w:pStyle w:val="FirstParagraph"/>
      </w:pPr>
      <w:r>
        <w:t xml:space="preserve">Mittlere Hierarchieebene der Kulturen im Nährstoffbilanz-Berechnungsservice.</w:t>
      </w:r>
    </w:p>
    <w:tbl>
      <w:tblPr>
        <w:tblStyle w:val="Table"/>
        <w:tblW w:type="pct" w:w="5000"/>
        <w:tblLayout w:type="fixed"/>
        <w:tblLook w:firstRow="0" w:lastRow="0" w:firstColumn="0" w:lastColumn="0" w:noHBand="0" w:noVBand="0" w:val="0000"/>
      </w:tblPr>
      <w:tblGrid>
        <w:gridCol w:w="7920"/>
      </w:tblGrid>
      <w:tr>
        <w:tc>
          <w:tcPr/>
          <w:bookmarkStart w:id="66" w:name="X3dab50c73df4e4cfdc91672bef2b4c19dc306eb"/>
          <w:p>
            <w:pPr>
              <w:jc w:val="center"/>
            </w:pPr>
            <w:pPr>
              <w:jc w:val="left"/>
              <w:spacing w:before="200"/>
              <w:pStyle w:val="ImageCaption"/>
            </w:pPr>
            <w:r>
              <w:t xml:space="preserve">Tabelle 8: Eigenschaften Nährstoffbilanz-Kultivierungsunterkategorie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6"/>
          <w:p/>
        </w:tc>
      </w:tr>
    </w:tbl>
    <w:bookmarkEnd w:id="67"/>
    <w:bookmarkStart w:id="70" w:name="sec-nodeshape-plantprotectioncrop"/>
    <w:p>
      <w:pPr>
        <w:pStyle w:val="berschrift2"/>
      </w:pPr>
      <w:r>
        <w:t xml:space="preserve">3.7 Pflanzenschutzmittel-Kultur</w:t>
      </w:r>
    </w:p>
    <w:p>
      <w:pPr>
        <w:pStyle w:val="FirstParagraph"/>
      </w:pPr>
      <w:r>
        <w:t xml:space="preserve">Kultur, wie sie im</w:t>
      </w:r>
      <w:r>
        <w:t xml:space="preserve"> </w:t>
      </w:r>
      <w:hyperlink r:id="rId68">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tbl>
      <w:tblPr>
        <w:tblStyle w:val="Table"/>
        <w:tblW w:type="pct" w:w="5000"/>
        <w:tblLayout w:type="fixed"/>
        <w:tblLook w:firstRow="0" w:lastRow="0" w:firstColumn="0" w:lastColumn="0" w:noHBand="0" w:noVBand="0" w:val="0000"/>
      </w:tblPr>
      <w:tblGrid>
        <w:gridCol w:w="7920"/>
      </w:tblGrid>
      <w:tr>
        <w:tc>
          <w:tcPr/>
          <w:bookmarkStart w:id="69" w:name="tbl-nodeshape-plantprotectioncrop"/>
          <w:p>
            <w:pPr>
              <w:jc w:val="center"/>
            </w:pPr>
            <w:pPr>
              <w:jc w:val="left"/>
              <w:spacing w:before="200"/>
              <w:pStyle w:val="ImageCaption"/>
            </w:pPr>
            <w:r>
              <w:t xml:space="preserve">Tabelle 9: Eigenschaften Pflanzenschutzmittel-Kultur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Der in Infofito eingetragene Name dieser Kultur.</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2..4</w:t>
                  </w:r>
                </w:p>
              </w:tc>
            </w:tr>
            <w:tr>
              <w:tc>
                <w:tcPr/>
                <w:p>
                  <w:pPr>
                    <w:pStyle w:val="Compact"/>
                    <w:jc w:val="left"/>
                    <w:jc w:val="center"/>
                  </w:pPr>
                  <w:r>
                    <w:rPr>
                      <w:b/>
                      <w:bCs/>
                    </w:rPr>
                    <w:t xml:space="preserve">Version</w:t>
                  </w:r>
                </w:p>
              </w:tc>
              <w:tc>
                <w:tcPr/>
                <w:p>
                  <w:pPr>
                    <w:pStyle w:val="Compact"/>
                    <w:jc w:val="left"/>
                    <w:jc w:val="center"/>
                  </w:pPr>
                  <w:r>
                    <w:rPr>
                      <w:rStyle w:val="VerbatimChar"/>
                    </w:rPr>
                    <w:t xml:space="preserve">schema:version</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Überkultur</w:t>
                  </w:r>
                </w:p>
              </w:tc>
              <w:tc>
                <w:tcPr/>
                <w:p>
                  <w:pPr>
                    <w:pStyle w:val="Compact"/>
                    <w:jc w:val="left"/>
                    <w:jc w:val="center"/>
                  </w:pPr>
                  <w:r>
                    <w:rPr>
                      <w:rStyle w:val="VerbatimChar"/>
                    </w:rPr>
                    <w:t xml:space="preserve">skos:broader</w:t>
                  </w:r>
                </w:p>
              </w:tc>
              <w:tc>
                <w:tcPr/>
                <w:p>
                  <w:pPr>
                    <w:pStyle w:val="Compact"/>
                    <w:jc w:val="left"/>
                    <w:jc w:val="center"/>
                  </w:pPr>
                  <w:r>
                    <w:rPr>
                      <w:rStyle w:val="VerbatimChar"/>
                    </w:rPr>
                    <w:t xml:space="preserve">skos:Concept</w:t>
                  </w:r>
                  <w:r>
                    <w:t xml:space="preserve"> </w:t>
                  </w:r>
                  <w:r>
                    <w:t xml:space="preserve">oder</w:t>
                  </w:r>
                  <w:r>
                    <w:t xml:space="preserve"> </w:t>
                  </w:r>
                  <w:r>
                    <w:rPr>
                      <w:rStyle w:val="VerbatimChar"/>
                    </w:rPr>
                    <w:t xml:space="preserve">sh:IRI</w:t>
                  </w:r>
                </w:p>
              </w:tc>
              <w:tc>
                <w:tcPr/>
                <w:p>
                  <w:pPr>
                    <w:pStyle w:val="Compact"/>
                    <w:jc w:val="right"/>
                    <w:jc w:val="center"/>
                  </w:pPr>
                  <w:r>
                    <w:t xml:space="preserve">0..2</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9"/>
          <w:p/>
        </w:tc>
      </w:tr>
    </w:tbl>
    <w:bookmarkEnd w:id="70"/>
    <w:bookmarkEnd w:id="71"/>
    <w:bookmarkStart w:id="84" w:name="sec-data-retrieval"/>
    <w:p>
      <w:pPr>
        <w:pStyle w:val="berschrift1"/>
      </w:pPr>
      <w:r>
        <w:t xml:space="preserve">4. Instruktionen zur Datenintegration</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72">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73">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bookmarkStart w:id="77" w:name="sec-lindas-data-integration"/>
    <w:p>
      <w:pPr>
        <w:pStyle w:val="berschrift2"/>
      </w:pPr>
      <w:r>
        <w:t xml:space="preserve">4.1 Bezug der Stammdaten über LINDAS</w:t>
      </w:r>
    </w:p>
    <w:p>
      <w:pPr>
        <w:pStyle w:val="FirstParagraph"/>
      </w:pPr>
      <w:r>
        <w:t xml:space="preserve">Die Kulturenstammdaten können als Linked Data mittels der Abfragesprache</w:t>
      </w:r>
      <w:r>
        <w:t xml:space="preserve"> </w:t>
      </w:r>
      <w:hyperlink r:id="rId74">
        <w:r>
          <w:rPr>
            <w:rStyle w:val="Hyperlink"/>
          </w:rPr>
          <w:t xml:space="preserve">SPARQL 1.1 Query Language</w:t>
        </w:r>
      </w:hyperlink>
      <w:r>
        <w:t xml:space="preserve"> </w:t>
      </w:r>
      <w:r>
        <w:t xml:space="preserve">direkt aus dem LINDAS-Triplestore bezogen werden.</w:t>
      </w:r>
      <w:r>
        <w:t xml:space="preserve"> </w:t>
      </w:r>
      <w:r>
        <w:t xml:space="preserve">Das nachfolgende generische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eCH-0265: &lt;https://agriculture.ld.admin.ch/eCH-0265/2/&gt;</w:t>
      </w:r>
      <w:r>
        <w:br/>
      </w:r>
      <w:r>
        <w:rPr>
          <w:rStyle w:val="VerbatimChar"/>
        </w:rPr>
        <w:t xml:space="preserve">PREFIX schema: &lt;http://schema.org/&gt;</w:t>
      </w:r>
      <w:r>
        <w:br/>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eCH-0265:CultivationType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75">
        <w:r>
          <w:rPr>
            <w:rStyle w:val="Hyperlink"/>
          </w:rPr>
          <w:t xml:space="preserve">https://lindas.admin.ch/sparql/</w:t>
        </w:r>
      </w:hyperlink>
      <w:r>
        <w:t xml:space="preserve"> </w:t>
      </w:r>
      <w:r>
        <w:t xml:space="preserve">können solche Abfragen manuell über eine graphische Benutzeroberfläche ausgeführt werden.</w:t>
      </w:r>
    </w:p>
    <w:p>
      <w:pPr>
        <w:pStyle w:val="Textkrper"/>
      </w:pPr>
      <w:r>
        <w:t xml:space="preserve">Weitere praxisnahe Abfragebeispiele stehen im</w:t>
      </w:r>
      <w:r>
        <w:t xml:space="preserve"> </w:t>
      </w:r>
      <w:hyperlink r:id="rId76">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77"/>
    <w:bookmarkStart w:id="83" w:name="sec-mapping-tables"/>
    <w:p>
      <w:pPr>
        <w:pStyle w:val="berschrift2"/>
      </w:pPr>
      <w:r>
        <w:t xml:space="preserve">4.2 Bezug von Mapping-Tabellen</w:t>
      </w:r>
    </w:p>
    <w:p>
      <w:pPr>
        <w:pStyle w:val="FirstParagraph"/>
      </w:pPr>
      <w:r>
        <w:t xml:space="preserve">Um die Beziehungen zwischen den Kulturen der unterschiedlichen Systeme aufzuzeigen, werden Mapping-Tabellen bereitgestellt. Diese dienen als «Übersetzung» zwischen dem Direktzahlungssystem (AGIS), dem Nährstoffbilanz-Berechnungsservice (NAEBI) und dem Pflanzenschutzmittelverzeichnis (PSM).</w:t>
      </w:r>
    </w:p>
    <w:p>
      <w:pPr>
        <w:pStyle w:val="Textkrper"/>
      </w:pPr>
      <w:r>
        <w:t xml:space="preserve">Die Relationen der Kulturen zueinander werden durch Beziehungen des</w:t>
      </w:r>
      <w:r>
        <w:t xml:space="preserve"> </w:t>
      </w:r>
      <w:r>
        <w:rPr>
          <w:i/>
          <w:iCs/>
        </w:rPr>
        <w:t xml:space="preserve">Simple Knowledge Organization System</w:t>
      </w:r>
      <w:r>
        <w:t xml:space="preserve"> </w:t>
      </w:r>
      <w:r>
        <w:t xml:space="preserve">(SKOS) klassifiziert:</w:t>
      </w:r>
    </w:p>
    <w:p>
      <w:pPr>
        <w:pStyle w:val="Compact"/>
        <w:numPr>
          <w:ilvl w:val="0"/>
          <w:numId w:val="1003"/>
        </w:numPr>
      </w:pPr>
      <w:r>
        <w:rPr>
          <w:rStyle w:val="VerbatimChar"/>
        </w:rPr>
        <w:t xml:space="preserve">skos:exactMatch</w:t>
      </w:r>
      <w:r>
        <w:t xml:space="preserve">: Verknüpft zwei Konzepte (d.h. Kulturen aus zwei Systemen) bei denen genau dasselbe gemeint ist.</w:t>
      </w:r>
    </w:p>
    <w:p>
      <w:pPr>
        <w:pStyle w:val="Compact"/>
        <w:numPr>
          <w:ilvl w:val="0"/>
          <w:numId w:val="1003"/>
        </w:numPr>
      </w:pPr>
      <w:r>
        <w:rPr>
          <w:rStyle w:val="VerbatimChar"/>
        </w:rPr>
        <w:t xml:space="preserve">skos:narrowMatch</w:t>
      </w:r>
      <w:r>
        <w:t xml:space="preserve"> </w:t>
      </w:r>
      <w:r>
        <w:t xml:space="preserve">und</w:t>
      </w:r>
      <w:r>
        <w:t xml:space="preserve"> </w:t>
      </w:r>
      <w:r>
        <w:rPr>
          <w:rStyle w:val="VerbatimChar"/>
        </w:rPr>
        <w:t xml:space="preserve">skos:broadMatch</w:t>
      </w:r>
      <w:r>
        <w:t xml:space="preserve">: Beschreiben eine hierarchische Zuordnung zwischen zwei Konzepten, wobei die beiden Beziehungen zueinander invers sind.</w:t>
      </w:r>
    </w:p>
    <w:tbl>
      <w:tblPr>
        <w:tblStyle w:val="Table"/>
        <w:tblW w:type="pct" w:w="5000"/>
        <w:tblLayout w:type="fixed"/>
        <w:tblLook w:firstRow="0" w:lastRow="0" w:firstColumn="0" w:lastColumn="0" w:noHBand="0" w:noVBand="0" w:val="0000"/>
      </w:tblPr>
      <w:tblGrid>
        <w:gridCol w:w="7920"/>
      </w:tblGrid>
      <w:tr>
        <w:tc>
          <w:tcPr/>
          <w:bookmarkStart w:id="78" w:name="tbl-mapping-example"/>
          <w:p>
            <w:pPr>
              <w:jc w:val="center"/>
            </w:pPr>
            <w:pPr>
              <w:jc w:val="left"/>
              <w:spacing w:before="200"/>
              <w:pStyle w:val="ImageCaption"/>
            </w:pPr>
            <w:r>
              <w:t xml:space="preserve">Tabelle 10: Beispiele der Mapping-Relationen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Quellsystem</w:t>
                  </w:r>
                </w:p>
              </w:tc>
              <w:tc>
                <w:tcPr/>
                <w:p>
                  <w:pPr>
                    <w:pStyle w:val="Compact"/>
                    <w:jc w:val="left"/>
                    <w:jc w:val="center"/>
                  </w:pPr>
                  <w:r>
                    <w:t xml:space="preserve">Kultur Quellsystem</w:t>
                  </w:r>
                </w:p>
              </w:tc>
              <w:tc>
                <w:tcPr/>
                <w:p>
                  <w:pPr>
                    <w:pStyle w:val="Compact"/>
                    <w:jc w:val="left"/>
                    <w:jc w:val="center"/>
                  </w:pPr>
                  <w:r>
                    <w:t xml:space="preserve">SKOS-Beziehung</w:t>
                  </w:r>
                </w:p>
              </w:tc>
              <w:tc>
                <w:tcPr/>
                <w:p>
                  <w:pPr>
                    <w:pStyle w:val="Compact"/>
                    <w:jc w:val="left"/>
                    <w:jc w:val="center"/>
                  </w:pPr>
                  <w:r>
                    <w:t xml:space="preserve">Zielsystem</w:t>
                  </w:r>
                </w:p>
              </w:tc>
              <w:tc>
                <w:tcPr/>
                <w:p>
                  <w:pPr>
                    <w:pStyle w:val="Compact"/>
                    <w:jc w:val="left"/>
                    <w:jc w:val="center"/>
                  </w:pPr>
                  <w:r>
                    <w:t xml:space="preserve">Kultur Zielsystem</w:t>
                  </w:r>
                </w:p>
              </w:tc>
              <w:tc>
                <w:tcPr/>
                <w:p>
                  <w:pPr>
                    <w:pStyle w:val="Compact"/>
                    <w:jc w:val="left"/>
                    <w:jc w:val="center"/>
                  </w:pPr>
                  <w:r>
                    <w:t xml:space="preserve">Anmerkung</w:t>
                  </w:r>
                </w:p>
              </w:tc>
            </w:tr>
            <w:tr>
              <w:tc>
                <w:tcPr/>
                <w:p>
                  <w:pPr>
                    <w:pStyle w:val="Compact"/>
                    <w:jc w:val="left"/>
                    <w:jc w:val="center"/>
                  </w:pPr>
                  <w:r>
                    <w:t xml:space="preserve">AGIS</w:t>
                  </w:r>
                </w:p>
              </w:tc>
              <w:tc>
                <w:tcPr/>
                <w:p>
                  <w:pPr>
                    <w:pStyle w:val="Compact"/>
                    <w:jc w:val="left"/>
                    <w:jc w:val="center"/>
                  </w:pPr>
                  <w:r>
                    <w:t xml:space="preserve">Sommergerste</w:t>
                  </w:r>
                </w:p>
              </w:tc>
              <w:tc>
                <w:tcPr/>
                <w:p>
                  <w:pPr>
                    <w:pStyle w:val="Compact"/>
                    <w:jc w:val="left"/>
                    <w:jc w:val="center"/>
                  </w:pPr>
                  <w:r>
                    <w:rPr>
                      <w:rStyle w:val="VerbatimChar"/>
                    </w:rPr>
                    <w:t xml:space="preserve">skos:exactMatch</w:t>
                  </w:r>
                </w:p>
              </w:tc>
              <w:tc>
                <w:tcPr/>
                <w:p>
                  <w:pPr>
                    <w:pStyle w:val="Compact"/>
                    <w:jc w:val="left"/>
                    <w:jc w:val="center"/>
                  </w:pPr>
                  <w:r>
                    <w:t xml:space="preserve">NAEBI</w:t>
                  </w:r>
                </w:p>
              </w:tc>
              <w:tc>
                <w:tcPr/>
                <w:p>
                  <w:pPr>
                    <w:pStyle w:val="Compact"/>
                    <w:jc w:val="left"/>
                    <w:jc w:val="center"/>
                  </w:pPr>
                  <w:r>
                    <w:t xml:space="preserve">Sommergerste</w:t>
                  </w:r>
                </w:p>
              </w:tc>
              <w:tc>
                <w:tcPr/>
                <w:p>
                  <w:pPr>
                    <w:pStyle w:val="Compact"/>
                    <w:jc w:val="left"/>
                    <w:jc w:val="center"/>
                  </w:pPr>
                  <w:r>
                    <w:t xml:space="preserve">Die Kulturen im Quell- und Zielsystem sind synonym.</w:t>
                  </w:r>
                </w:p>
              </w:tc>
            </w:tr>
            <w:tr>
              <w:tc>
                <w:tcPr/>
                <w:p>
                  <w:pPr>
                    <w:pStyle w:val="Compact"/>
                    <w:jc w:val="left"/>
                    <w:jc w:val="center"/>
                  </w:pPr>
                  <w:r>
                    <w:t xml:space="preserve">AGIS</w:t>
                  </w:r>
                </w:p>
              </w:tc>
              <w:tc>
                <w:tcPr/>
                <w:p>
                  <w:pPr>
                    <w:pStyle w:val="Compact"/>
                    <w:jc w:val="left"/>
                    <w:jc w:val="center"/>
                  </w:pPr>
                  <w:r>
                    <w:t xml:space="preserve">Wintergerste</w:t>
                  </w:r>
                </w:p>
              </w:tc>
              <w:tc>
                <w:tcPr/>
                <w:p>
                  <w:pPr>
                    <w:pStyle w:val="Compact"/>
                    <w:jc w:val="left"/>
                    <w:jc w:val="center"/>
                  </w:pPr>
                  <w:r>
                    <w:rPr>
                      <w:rStyle w:val="VerbatimChar"/>
                    </w:rPr>
                    <w:t xml:space="preserve">skos:narrowMatch</w:t>
                  </w:r>
                </w:p>
              </w:tc>
              <w:tc>
                <w:tcPr/>
                <w:p>
                  <w:pPr>
                    <w:pStyle w:val="Compact"/>
                    <w:jc w:val="left"/>
                    <w:jc w:val="center"/>
                  </w:pPr>
                  <w:r>
                    <w:t xml:space="preserve">NAEBI</w:t>
                  </w:r>
                </w:p>
              </w:tc>
              <w:tc>
                <w:tcPr/>
                <w:p>
                  <w:pPr>
                    <w:pStyle w:val="Compact"/>
                    <w:jc w:val="left"/>
                    <w:jc w:val="center"/>
                  </w:pPr>
                  <w:r>
                    <w:t xml:space="preserve">Wintergerste in 62a Nitrat-Projekt</w:t>
                  </w:r>
                </w:p>
              </w:tc>
              <w:tc>
                <w:tcPr/>
                <w:p>
                  <w:pPr>
                    <w:pStyle w:val="Compact"/>
                    <w:jc w:val="left"/>
                    <w:jc w:val="center"/>
                  </w:pPr>
                  <w:r>
                    <w:t xml:space="preserve">Die Kultur im Zielsystem ist spezifischer als jene im Quellsystem.</w:t>
                  </w:r>
                </w:p>
              </w:tc>
            </w:tr>
            <w:tr>
              <w:tc>
                <w:tcPr/>
                <w:p>
                  <w:pPr>
                    <w:pStyle w:val="Compact"/>
                    <w:jc w:val="left"/>
                    <w:jc w:val="center"/>
                  </w:pPr>
                  <w:r>
                    <w:t xml:space="preserve">AGIS</w:t>
                  </w:r>
                </w:p>
              </w:tc>
              <w:tc>
                <w:tcPr/>
                <w:p>
                  <w:pPr>
                    <w:pStyle w:val="Compact"/>
                    <w:jc w:val="left"/>
                    <w:jc w:val="center"/>
                  </w:pPr>
                  <w:r>
                    <w:t xml:space="preserve">Emmer, Einkorn</w:t>
                  </w:r>
                </w:p>
              </w:tc>
              <w:tc>
                <w:tcPr/>
                <w:p>
                  <w:pPr>
                    <w:pStyle w:val="Compact"/>
                    <w:jc w:val="left"/>
                    <w:jc w:val="center"/>
                  </w:pPr>
                  <w:r>
                    <w:rPr>
                      <w:rStyle w:val="VerbatimChar"/>
                    </w:rPr>
                    <w:t xml:space="preserve">skos:broadMatch</w:t>
                  </w:r>
                </w:p>
              </w:tc>
              <w:tc>
                <w:tcPr/>
                <w:p>
                  <w:pPr>
                    <w:pStyle w:val="Compact"/>
                    <w:jc w:val="left"/>
                    <w:jc w:val="center"/>
                  </w:pPr>
                  <w:r>
                    <w:t xml:space="preserve">PSM</w:t>
                  </w:r>
                </w:p>
              </w:tc>
              <w:tc>
                <w:tcPr/>
                <w:p>
                  <w:pPr>
                    <w:pStyle w:val="Compact"/>
                    <w:jc w:val="left"/>
                    <w:jc w:val="center"/>
                  </w:pPr>
                  <w:r>
                    <w:t xml:space="preserve">Getreide</w:t>
                  </w:r>
                </w:p>
              </w:tc>
              <w:tc>
                <w:tcPr/>
                <w:p>
                  <w:pPr>
                    <w:pStyle w:val="Compact"/>
                    <w:jc w:val="left"/>
                    <w:jc w:val="center"/>
                  </w:pPr>
                  <w:r>
                    <w:t xml:space="preserve">Die Kultur im Quellsystem ist spezifischer als jene im Zielsystem.</w:t>
                  </w:r>
                </w:p>
              </w:tc>
            </w:tr>
          </w:tbl>
          <w:bookmarkEnd w:id="78"/>
          <w:p/>
        </w:tc>
      </w:tr>
    </w:tbl>
    <w:p>
      <w:pPr>
        <w:pStyle w:val="Textkrper"/>
      </w:pPr>
      <w:r>
        <w:t xml:space="preserve">Die Prädikate</w:t>
      </w:r>
      <w:r>
        <w:t xml:space="preserve"> </w:t>
      </w:r>
      <w:r>
        <w:rPr>
          <w:rStyle w:val="VerbatimChar"/>
        </w:rPr>
        <w:t xml:space="preserve">skos:exactMatch</w:t>
      </w:r>
      <w:r>
        <w:t xml:space="preserve">,</w:t>
      </w:r>
      <w:r>
        <w:t xml:space="preserve"> </w:t>
      </w:r>
      <w:r>
        <w:rPr>
          <w:rStyle w:val="VerbatimChar"/>
        </w:rPr>
        <w:t xml:space="preserve">skos:narrowMatch</w:t>
      </w:r>
      <w:r>
        <w:t xml:space="preserve"> </w:t>
      </w:r>
      <w:r>
        <w:t xml:space="preserve">und</w:t>
      </w:r>
      <w:r>
        <w:t xml:space="preserve"> </w:t>
      </w:r>
      <w:r>
        <w:rPr>
          <w:rStyle w:val="VerbatimChar"/>
        </w:rPr>
        <w:t xml:space="preserve">skos:broadMatch</w:t>
      </w:r>
      <w:r>
        <w:t xml:space="preserve"> </w:t>
      </w:r>
      <w:r>
        <w:t xml:space="preserve">werden im Verarbeitungsprozess direkt an die Kulturen im Graphen angehängt und sind auf LINDAS abfragbar. Die Generierung erfolgt über das SPARQL-Skript</w:t>
      </w:r>
      <w:r>
        <w:t xml:space="preserve"> </w:t>
      </w:r>
      <w:r>
        <w:rPr>
          <w:rStyle w:val="VerbatimChar"/>
        </w:rPr>
        <w:t xml:space="preserve">src/sparql/processing/02_mapping_table_skos_generation.rq</w:t>
      </w:r>
      <w:r>
        <w:t xml:space="preserve"> </w:t>
      </w:r>
      <w:r>
        <w:t xml:space="preserve">mittels</w:t>
      </w:r>
      <w:r>
        <w:t xml:space="preserve"> </w:t>
      </w:r>
      <w:r>
        <w:rPr>
          <w:rStyle w:val="VerbatimChar"/>
        </w:rPr>
        <w:t xml:space="preserve">INSERT</w:t>
      </w:r>
      <w:r>
        <w:t xml:space="preserve">-Befehlen.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krper"/>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Im Datenverarbeitungsprozess werden hierarchische Prädikate (</w:t>
            </w:r>
            <w:r>
              <w:rPr>
                <w:rStyle w:val="VerbatimChar"/>
              </w:rPr>
              <w:t xml:space="preserve">narrowMatch</w:t>
            </w:r>
            <w:r>
              <w:t xml:space="preserve">,</w:t>
            </w:r>
            <w:r>
              <w:t xml:space="preserve"> </w:t>
            </w:r>
            <w:r>
              <w:rPr>
                <w:rStyle w:val="VerbatimChar"/>
              </w:rPr>
              <w:t xml:space="preserve">broadMatch</w:t>
            </w:r>
            <w:r>
              <w:t xml:space="preserve">) nur dann generiert, wenn für eine Kultur aus einem Quellsystem nicht bereits ein</w:t>
            </w:r>
            <w:r>
              <w:t xml:space="preserve"> </w:t>
            </w:r>
            <w:r>
              <w:rPr>
                <w:rStyle w:val="VerbatimChar"/>
              </w:rPr>
              <w:t xml:space="preserve">skos:exactMatch</w:t>
            </w:r>
            <w:r>
              <w:t xml:space="preserve"> </w:t>
            </w:r>
            <w:r>
              <w:t xml:space="preserve">im jeweiligen Zielsystem gefunden wurde. Dies verhindert redundante synonyme und hierarchische Beziehungen für dieselbe Kultur und fördert die Übersichtlichkeit der resultierenden Mapping-Tabelle.</w:t>
            </w:r>
          </w:p>
          <w:p/>
        </w:tc>
      </w:tr>
    </w:tbl>
    <w:p>
      <w:pPr>
        <w:pStyle w:val="Textkrper"/>
      </w:pPr>
      <w:r>
        <w:t xml:space="preserve">Eine vorbereitete SPARQL-Abfrage zur Generierung der vollständigen Mapping-Tabelle (AGIS, NAEBI und PSM) befindet sich</w:t>
      </w:r>
      <w:r>
        <w:t xml:space="preserve"> </w:t>
      </w:r>
      <w:hyperlink r:id="rId82">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p>
    <w:p>
      <w:pPr>
        <w:pStyle w:val="Textkrper"/>
      </w:pPr>
      <w:r>
        <w:t xml:space="preserve">Diese Abfrage kann direkt in der Benutzeroberfläche von</w:t>
      </w:r>
      <w:r>
        <w:t xml:space="preserve"> </w:t>
      </w:r>
      <w:hyperlink r:id="rId75">
        <w:r>
          <w:rPr>
            <w:rStyle w:val="Hyperlink"/>
          </w:rPr>
          <w:t xml:space="preserve">LINDAS</w:t>
        </w:r>
      </w:hyperlink>
      <w:r>
        <w:t xml:space="preserve"> </w:t>
      </w:r>
      <w:r>
        <w:t xml:space="preserve">ausgeführt und als CSV oder JSON exportiert werden. Alternativ lässt sich die Tabelle programmatisch beziehen, siehe</w:t>
      </w:r>
      <w:r>
        <w:t xml:space="preserve"> </w:t>
      </w:r>
      <w:hyperlink w:anchor="sec-lindas-data-integration">
        <w:r>
          <w:rPr>
            <w:rStyle w:val="Hyperlink"/>
          </w:rPr>
          <w:t xml:space="preserve">Kapitel 4.1</w:t>
        </w:r>
      </w:hyperlink>
      <w:r>
        <w:t xml:space="preserve">.</w:t>
      </w:r>
    </w:p>
    <w:bookmarkEnd w:id="83"/>
    <w:bookmarkEnd w:id="84"/>
    <w:bookmarkStart w:id="85"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85"/>
    <w:bookmarkStart w:id="86"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86"/>
    <w:bookmarkStart w:id="87" w:name="sec-copyrights"/>
    <w:p>
      <w:pPr>
        <w:pStyle w:val="berschrift1"/>
      </w:pPr>
      <w:r>
        <w:t xml:space="preserve">7. 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87"/>
    <w:bookmarkStart w:id="104" w:name="sec-appendix-a"/>
    <w:p>
      <w:pPr>
        <w:pStyle w:val="berschrift1"/>
      </w:pPr>
      <w:r>
        <w:t xml:space="preserve">Anhang A - Referenzen</w:t>
      </w:r>
    </w:p>
    <w:bookmarkStart w:id="103" w:name="refs"/>
    <w:bookmarkStart w:id="89" w:name="ref-suibi2025"/>
    <w:p>
      <w:pPr>
        <w:pStyle w:val="Bibliography"/>
      </w:pPr>
      <w:r>
        <w:t xml:space="preserve">Agridea, und Bundesamt für Landwirtschaft BLW. 2025.</w:t>
      </w:r>
      <w:r>
        <w:t xml:space="preserve"> </w:t>
      </w:r>
      <w:r>
        <w:rPr>
          <w:i/>
          <w:iCs/>
        </w:rPr>
        <w:t xml:space="preserve">Wegleitung Suisse-Bilanz: Version 1.20</w:t>
      </w:r>
      <w:r>
        <w:t xml:space="preserve">. Agridea und Bundesamt f</w:t>
      </w:r>
      <w:r>
        <w:t xml:space="preserve">ü</w:t>
      </w:r>
      <w:r>
        <w:t xml:space="preserve">r Landwirtschaft BLW.</w:t>
      </w:r>
      <w:r>
        <w:t xml:space="preserve"> </w:t>
      </w:r>
      <w:hyperlink r:id="rId88">
        <w:r>
          <w:rPr>
            <w:rStyle w:val="Hyperlink"/>
          </w:rPr>
          <w:t xml:space="preserve">https://www.blw.admin.ch/dam/de/sd-web/PCfDBOdwjaOm/WegleitungSuisse-Bilanz1_20_D_DEF.pdf</w:t>
        </w:r>
      </w:hyperlink>
      <w:r>
        <w:t xml:space="preserve">.</w:t>
      </w:r>
    </w:p>
    <w:bookmarkEnd w:id="89"/>
    <w:bookmarkStart w:id="91" w:name="ref-grud2017"/>
    <w:p>
      <w:pPr>
        <w:pStyle w:val="Bibliography"/>
      </w:pPr>
      <w:r>
        <w:t xml:space="preserve">Carlen, C., R. Flisch, C. Gilli, u. a. 2017.</w:t>
      </w:r>
      <w:r>
        <w:t xml:space="preserve"> </w:t>
      </w:r>
      <w:r>
        <w:t xml:space="preserve">«Grundlagen f</w:t>
      </w:r>
      <w:r>
        <w:t xml:space="preserve">ü</w:t>
      </w:r>
      <w:r>
        <w:t xml:space="preserve">r die D</w:t>
      </w:r>
      <w:r>
        <w:t xml:space="preserve">ü</w:t>
      </w:r>
      <w:r>
        <w:t xml:space="preserve">ngung landwirtschaftlicher Kulturen in der Schweiz (GRUD 2017)»</w:t>
      </w:r>
      <w:r>
        <w:t xml:space="preserve">.</w:t>
      </w:r>
      <w:r>
        <w:t xml:space="preserve"> </w:t>
      </w:r>
      <w:r>
        <w:rPr>
          <w:i/>
          <w:iCs/>
        </w:rPr>
        <w:t xml:space="preserve">Agrarforschung Schweiz</w:t>
      </w:r>
      <w:r>
        <w:t xml:space="preserve"> </w:t>
      </w:r>
      <w:r>
        <w:t xml:space="preserve">8 (6).</w:t>
      </w:r>
      <w:r>
        <w:t xml:space="preserve"> </w:t>
      </w:r>
      <w:hyperlink r:id="rId90">
        <w:r>
          <w:rPr>
            <w:rStyle w:val="Hyperlink"/>
          </w:rPr>
          <w:t xml:space="preserve">https://ira.agroscope.ch/de-CH/publication/52563</w:t>
        </w:r>
      </w:hyperlink>
      <w:r>
        <w:t xml:space="preserve">.</w:t>
      </w:r>
    </w:p>
    <w:bookmarkEnd w:id="91"/>
    <w:bookmarkStart w:id="92" w:name="ref-rdf"/>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72">
        <w:r>
          <w:rPr>
            <w:rStyle w:val="Hyperlink"/>
          </w:rPr>
          <w:t xml:space="preserve">https://www.w3.org/TR/rdf11-concepts/</w:t>
        </w:r>
      </w:hyperlink>
      <w:r>
        <w:t xml:space="preserve">.</w:t>
      </w:r>
    </w:p>
    <w:bookmarkEnd w:id="92"/>
    <w:bookmarkStart w:id="94" w:name="ref-eCH-0265:1.0.0"/>
    <w:p>
      <w:pPr>
        <w:pStyle w:val="Bibliography"/>
      </w:pPr>
      <w:r>
        <w:t xml:space="preserve">eCH-Fachgruppe AgriFood</w:t>
      </w:r>
      <w:r>
        <w:t xml:space="preserve">. 2024.</w:t>
      </w:r>
      <w:r>
        <w:t xml:space="preserve"> </w:t>
      </w:r>
      <w:r>
        <w:rPr>
          <w:i/>
          <w:iCs/>
        </w:rPr>
        <w:t xml:space="preserve">eCH-0205</w:t>
      </w:r>
      <w:r>
        <w:rPr>
          <w:i/>
          <w:iCs/>
        </w:rPr>
        <w:t xml:space="preserve"> </w:t>
      </w:r>
      <w:r>
        <w:rPr>
          <w:i/>
          <w:iCs/>
        </w:rPr>
        <w:t xml:space="preserve">Datenstandard Agrardaten – Flächen und Kulturen</w:t>
      </w:r>
      <w:r>
        <w:t xml:space="preserve">. eCH-Standard. Version 1.0.0. Verein eCH.</w:t>
      </w:r>
      <w:r>
        <w:t xml:space="preserve"> </w:t>
      </w:r>
      <w:hyperlink r:id="rId93">
        <w:r>
          <w:rPr>
            <w:rStyle w:val="Hyperlink"/>
          </w:rPr>
          <w:t xml:space="preserve">https://ech.ch/sites/default/files/imce/eCH-Dossier/eCH-Dossier_PDF_Publikationen/Hauptdokument/STAN_d_DEF_2024-02_07_eCH-0265_V1.0.0_Datenstandard_Agrardaten_Fl%C3%A4chenKulturen.pdf</w:t>
        </w:r>
      </w:hyperlink>
      <w:r>
        <w:t xml:space="preserve">.</w:t>
      </w:r>
    </w:p>
    <w:bookmarkEnd w:id="94"/>
    <w:bookmarkStart w:id="96" w:name="ref-eCH-0205:1.0.0"/>
    <w:p>
      <w:pPr>
        <w:pStyle w:val="Bibliography"/>
      </w:pPr>
      <w:r>
        <w:t xml:space="preserve">eCH-Fachgruppe Open Government Data</w:t>
      </w:r>
      <w:r>
        <w:t xml:space="preserve">. 2018.</w:t>
      </w:r>
      <w:r>
        <w:t xml:space="preserve"> </w:t>
      </w:r>
      <w:r>
        <w:rPr>
          <w:i/>
          <w:iCs/>
        </w:rPr>
        <w:t xml:space="preserve">eCH-0205</w:t>
      </w:r>
      <w:r>
        <w:rPr>
          <w:i/>
          <w:iCs/>
        </w:rPr>
        <w:t xml:space="preserve"> </w:t>
      </w:r>
      <w:r>
        <w:rPr>
          <w:i/>
          <w:iCs/>
        </w:rPr>
        <w:t xml:space="preserve">Linked Open Data</w:t>
      </w:r>
      <w:r>
        <w:t xml:space="preserve">. eCH-Hilfsmittel. Version 1.0.0. Verein eCH.</w:t>
      </w:r>
      <w:r>
        <w:t xml:space="preserve"> </w:t>
      </w:r>
      <w:hyperlink r:id="rId95">
        <w:r>
          <w:rPr>
            <w:rStyle w:val="Hyperlink"/>
          </w:rPr>
          <w:t xml:space="preserve">https://www.ech.ch/sites/default/files/dosvers/hauptdokument/AUXI_e_DEF_2018-03-13_eCH-0205_V1.0_Linked%20Open%20Data.pdf</w:t>
        </w:r>
      </w:hyperlink>
      <w:r>
        <w:t xml:space="preserve">.</w:t>
      </w:r>
    </w:p>
    <w:bookmarkEnd w:id="96"/>
    <w:bookmarkStart w:id="98" w:name="ref-francart2020shacl"/>
    <w:p>
      <w:pPr>
        <w:pStyle w:val="Bibliography"/>
      </w:pPr>
      <w:r>
        <w:t xml:space="preserve">Francart, Thomas. 2020.</w:t>
      </w:r>
      <w:r>
        <w:t xml:space="preserve"> </w:t>
      </w:r>
      <w:r>
        <w:rPr>
          <w:i/>
          <w:iCs/>
        </w:rPr>
        <w:t xml:space="preserve">SHACL Play!</w:t>
      </w:r>
      <w:r>
        <w:t xml:space="preserve"> Sparna, released.</w:t>
      </w:r>
      <w:r>
        <w:t xml:space="preserve"> </w:t>
      </w:r>
      <w:hyperlink r:id="rId97">
        <w:r>
          <w:rPr>
            <w:rStyle w:val="Hyperlink"/>
          </w:rPr>
          <w:t xml:space="preserve">https://shacl-play.sparna.fr/</w:t>
        </w:r>
      </w:hyperlink>
      <w:r>
        <w:t xml:space="preserve">.</w:t>
      </w:r>
    </w:p>
    <w:bookmarkEnd w:id="98"/>
    <w:bookmarkStart w:id="100" w:name="ref-shacl"/>
    <w:p>
      <w:pPr>
        <w:pStyle w:val="Bibliography"/>
      </w:pPr>
      <w:r>
        <w:t xml:space="preserve">Knublauch, Holger, und Dimitris Kontokostas. 2017.</w:t>
      </w:r>
      <w:r>
        <w:t xml:space="preserve"> </w:t>
      </w:r>
      <w:r>
        <w:rPr>
          <w:i/>
          <w:iCs/>
        </w:rPr>
        <w:t xml:space="preserve">Shapes Constraint Language (</w:t>
      </w:r>
      <w:r>
        <w:rPr>
          <w:i/>
          <w:iCs/>
        </w:rPr>
        <w:t xml:space="preserve">SHACL</w:t>
      </w:r>
      <w:r>
        <w:rPr>
          <w:i/>
          <w:iCs/>
        </w:rPr>
        <w:t xml:space="preserve">)</w:t>
      </w:r>
      <w:r>
        <w:t xml:space="preserve">. W3C Recommendation. World Wide Web Consortium (W3C).</w:t>
      </w:r>
      <w:r>
        <w:t xml:space="preserve"> </w:t>
      </w:r>
      <w:hyperlink r:id="rId99">
        <w:r>
          <w:rPr>
            <w:rStyle w:val="Hyperlink"/>
          </w:rPr>
          <w:t xml:space="preserve">https://www.w3.org/TR/shacl/</w:t>
        </w:r>
      </w:hyperlink>
      <w:r>
        <w:t xml:space="preserve">.</w:t>
      </w:r>
    </w:p>
    <w:bookmarkEnd w:id="100"/>
    <w:bookmarkStart w:id="102" w:name="ref-owl2"/>
    <w:p>
      <w:pPr>
        <w:pStyle w:val="Bibliography"/>
      </w:pPr>
      <w:r>
        <w:t xml:space="preserve">W3C OWL Working Group. 2012.</w:t>
      </w:r>
      <w:r>
        <w:t xml:space="preserve"> </w:t>
      </w:r>
      <w:r>
        <w:rPr>
          <w:i/>
          <w:iCs/>
        </w:rPr>
        <w:t xml:space="preserve">OWL</w:t>
      </w:r>
      <w:r>
        <w:rPr>
          <w:i/>
          <w:iCs/>
        </w:rPr>
        <w:t xml:space="preserve"> </w:t>
      </w:r>
      <w:r>
        <w:rPr>
          <w:i/>
          <w:iCs/>
        </w:rPr>
        <w:t xml:space="preserve">2 Web Ontology Language Document Overview (Second Edition)</w:t>
      </w:r>
      <w:r>
        <w:t xml:space="preserve">. W3C Recommendation. World Wide Web Consortium (W3C).</w:t>
      </w:r>
      <w:r>
        <w:t xml:space="preserve"> </w:t>
      </w:r>
      <w:hyperlink r:id="rId101">
        <w:r>
          <w:rPr>
            <w:rStyle w:val="Hyperlink"/>
          </w:rPr>
          <w:t xml:space="preserve">https://www.w3.org/TR/owl2-overview/</w:t>
        </w:r>
      </w:hyperlink>
      <w:r>
        <w:t xml:space="preserve">.</w:t>
      </w:r>
    </w:p>
    <w:bookmarkEnd w:id="102"/>
    <w:bookmarkEnd w:id="103"/>
    <w:bookmarkEnd w:id="104"/>
    <w:bookmarkStart w:id="106" w:name="sec-appendix-b"/>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105" w:name="tbl-authors"/>
          <w:p>
            <w:pPr>
              <w:jc w:val="center"/>
            </w:pPr>
            <w:pPr>
              <w:jc w:val="left"/>
              <w:spacing w:before="200"/>
              <w:pStyle w:val="ImageCaption"/>
            </w:pPr>
            <w:r>
              <w:t xml:space="preserve">Tabelle 11: Autoren und Revision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105"/>
          <w:p/>
        </w:tc>
      </w:tr>
    </w:tbl>
    <w:bookmarkEnd w:id="106"/>
    <w:bookmarkStart w:id="117" w:name="sec-appendix-c"/>
    <w:p>
      <w:pPr>
        <w:pStyle w:val="berschrift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116" w:name="tbl-glossary"/>
          <w:p>
            <w:pPr>
              <w:jc w:val="center"/>
            </w:pPr>
            <w:pPr>
              <w:jc w:val="left"/>
              <w:spacing w:before="200"/>
              <w:pStyle w:val="ImageCaption"/>
            </w:pPr>
            <w:r>
              <w:t xml:space="preserve">Tabelle 12:</w:t>
            </w:r>
            <w:r>
              <w:t xml:space="preserve"> </w:t>
            </w:r>
            <w:r>
              <w:rPr>
                <w:b/>
                <w:bCs/>
              </w:rPr>
              <w:t xml:space="preserve">Glossar des Standards eCH-0265:</w:t>
            </w:r>
            <w:r>
              <w:t xml:space="preserve"> </w:t>
            </w:r>
            <w:r>
              <w:t xml:space="preserve">Diese Glossar soll sämtliche verwendeten Fachbegriffe inklusive Abkürzungen des Standards eCH-0265 enthalten.</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hyperlink r:id="rId107">
                    <w:r>
                      <w:rPr>
                        <w:rStyle w:val="VerbatimChar"/>
                      </w:rPr>
                      <w:t xml:space="preserve">term:agis</w:t>
                    </w:r>
                  </w:hyperlink>
                </w:p>
              </w:tc>
              <w:tc>
                <w:tcPr/>
                <w:p>
                  <w:pPr>
                    <w:pStyle w:val="Compact"/>
                    <w:jc w:val="left"/>
                    <w:jc w:val="center"/>
                  </w:pPr>
                  <w:r>
                    <w:rPr>
                      <w:b/>
                      <w:bCs/>
                    </w:rPr>
                    <w:t xml:space="preserve">Agrarpolitisches</w:t>
                  </w:r>
                  <w:r>
                    <w:rPr>
                      <w:b/>
                      <w:bCs/>
                    </w:rPr>
                    <w:t xml:space="preserve"> </w:t>
                  </w:r>
                  <w:r>
                    <w:rPr>
                      <w:b/>
                      <w:bCs/>
                    </w:rPr>
                    <w:t xml:space="preserve">Informationssystem</w:t>
                  </w:r>
                  <w:r>
                    <w:t xml:space="preserve"> </w:t>
                  </w:r>
                  <w:r>
                    <w:t xml:space="preserve">(AGIS)</w:t>
                  </w:r>
                </w:p>
              </w:tc>
              <w:tc>
                <w:tcPr/>
                <w:p>
                  <w:pPr>
                    <w:pStyle w:val="Compact"/>
                    <w:jc w:val="left"/>
                    <w:jc w:val="center"/>
                  </w:pPr>
                  <w:r>
                    <w:t xml:space="preserve">Das agrarpolitische Informationssystem des Bundes, an welches im</w:t>
                  </w:r>
                  <w:r>
                    <w:t xml:space="preserve"> </w:t>
                  </w:r>
                  <w:r>
                    <w:t xml:space="preserve">Rahmen der Strukturdatenerhebung Daten zu Direktzahlungskulturen</w:t>
                  </w:r>
                  <w:r>
                    <w:t xml:space="preserve"> </w:t>
                  </w:r>
                  <w:r>
                    <w:t xml:space="preserve">übermittelt werden.</w:t>
                  </w:r>
                </w:p>
              </w:tc>
            </w:tr>
            <w:tr>
              <w:tc>
                <w:tcPr/>
                <w:p>
                  <w:pPr>
                    <w:pStyle w:val="Compact"/>
                    <w:jc w:val="left"/>
                    <w:jc w:val="center"/>
                  </w:pPr>
                  <w:hyperlink r:id="rId108">
                    <w:r>
                      <w:rPr>
                        <w:rStyle w:val="VerbatimChar"/>
                      </w:rPr>
                      <w:t xml:space="preserve">term:kais</w:t>
                    </w:r>
                  </w:hyperlink>
                </w:p>
              </w:tc>
              <w:tc>
                <w:tcPr/>
                <w:p>
                  <w:pPr>
                    <w:pStyle w:val="Compact"/>
                    <w:jc w:val="left"/>
                    <w:jc w:val="center"/>
                  </w:pPr>
                  <w:r>
                    <w:rPr>
                      <w:b/>
                      <w:bCs/>
                    </w:rPr>
                    <w:t xml:space="preserve">Kantonales Agrarinformationssystem</w:t>
                  </w:r>
                  <w:r>
                    <w:t xml:space="preserve"> </w:t>
                  </w:r>
                  <w:r>
                    <w:t xml:space="preserve">(KAIS)</w:t>
                  </w:r>
                </w:p>
              </w:tc>
              <w:tc>
                <w:tcPr/>
                <w:p>
                  <w:pPr>
                    <w:pStyle w:val="Compact"/>
                    <w:jc w:val="left"/>
                    <w:jc w:val="center"/>
                  </w:pPr>
                  <w:r>
                    <w:t xml:space="preserve">Informationssystem auf Kantonsebene, in welches Bewirtschaftende</w:t>
                  </w:r>
                  <w:r>
                    <w:t xml:space="preserve"> </w:t>
                  </w:r>
                  <w:r>
                    <w:t xml:space="preserve">im Rahmen der Strukturdatenerhebung ihre Daten eintragen.</w:t>
                  </w:r>
                </w:p>
              </w:tc>
            </w:tr>
            <w:tr>
              <w:tc>
                <w:tcPr/>
                <w:p>
                  <w:pPr>
                    <w:pStyle w:val="Compact"/>
                    <w:jc w:val="left"/>
                    <w:jc w:val="center"/>
                  </w:pPr>
                  <w:hyperlink r:id="rId109">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w:t>
                  </w:r>
                  <w:r>
                    <w:t xml:space="preserve"> </w:t>
                  </w:r>
                  <w:r>
                    <w:t xml:space="preserve">der als Triple Store fungiert.</w:t>
                  </w:r>
                </w:p>
              </w:tc>
            </w:tr>
            <w:tr>
              <w:tc>
                <w:tcPr/>
                <w:p>
                  <w:pPr>
                    <w:pStyle w:val="Compact"/>
                    <w:jc w:val="left"/>
                    <w:jc w:val="center"/>
                  </w:pPr>
                  <w:hyperlink r:id="rId110">
                    <w:r>
                      <w:rPr>
                        <w:rStyle w:val="VerbatimChar"/>
                      </w:rPr>
                      <w:t xml:space="preserve">term:nbbs</w:t>
                    </w:r>
                  </w:hyperlink>
                </w:p>
              </w:tc>
              <w:tc>
                <w:tcPr/>
                <w:p>
                  <w:pPr>
                    <w:pStyle w:val="Compact"/>
                    <w:jc w:val="left"/>
                    <w:jc w:val="center"/>
                  </w:pPr>
                  <w:r>
                    <w:rPr>
                      <w:b/>
                      <w:bCs/>
                    </w:rPr>
                    <w:t xml:space="preserve">Nährstoffbilanz-Berechnungsservice</w:t>
                  </w:r>
                  <w:r>
                    <w:t xml:space="preserve"> </w:t>
                  </w:r>
                  <w:r>
                    <w:t xml:space="preserve">(NBBS)</w:t>
                  </w:r>
                </w:p>
              </w:tc>
              <w:tc>
                <w:tcPr/>
                <w:p>
                  <w:pPr>
                    <w:pStyle w:val="Compact"/>
                    <w:jc w:val="left"/>
                    <w:jc w:val="center"/>
                  </w:pPr>
                  <w:r>
                    <w:t xml:space="preserve">Eine vom Bundesamt für Landwirtschaft bereitgestellte RESTful API</w:t>
                  </w:r>
                  <w:r>
                    <w:t xml:space="preserve"> </w:t>
                  </w:r>
                  <w:r>
                    <w:t xml:space="preserve">zur Standardisierung der Suisse-Bilanz-Berechnung.</w:t>
                  </w:r>
                </w:p>
              </w:tc>
            </w:tr>
            <w:tr>
              <w:tc>
                <w:tcPr/>
                <w:p>
                  <w:pPr>
                    <w:pStyle w:val="Compact"/>
                    <w:jc w:val="left"/>
                    <w:jc w:val="center"/>
                  </w:pPr>
                  <w:hyperlink r:id="rId111">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hyperlink r:id="rId112">
                    <w:r>
                      <w:rPr>
                        <w:rStyle w:val="VerbatimChar"/>
                      </w:rPr>
                      <w:t xml:space="preserve">term:skos</w:t>
                    </w:r>
                  </w:hyperlink>
                </w:p>
              </w:tc>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pStyle w:val="Compact"/>
                  </w:pPr>
                </w:p>
              </w:tc>
            </w:tr>
            <w:tr>
              <w:tc>
                <w:tcPr/>
                <w:p>
                  <w:pPr>
                    <w:pStyle w:val="Compact"/>
                    <w:jc w:val="left"/>
                    <w:jc w:val="center"/>
                  </w:pPr>
                  <w:hyperlink r:id="rId113">
                    <w:r>
                      <w:rPr>
                        <w:rStyle w:val="VerbatimChar"/>
                      </w:rPr>
                      <w:t xml:space="preserve">term:srppp</w:t>
                    </w:r>
                  </w:hyperlink>
                </w:p>
              </w:tc>
              <w:tc>
                <w:tcPr/>
                <w:p>
                  <w:pPr>
                    <w:pStyle w:val="Compact"/>
                    <w:jc w:val="left"/>
                    <w:jc w:val="center"/>
                  </w:pPr>
                  <w:r>
                    <w:rPr>
                      <w:b/>
                      <w:bCs/>
                    </w:rPr>
                    <w:t xml:space="preserve">Pflanzenschutzmittelverzeichnis</w:t>
                  </w:r>
                  <w:r>
                    <w:t xml:space="preserve"> </w:t>
                  </w:r>
                  <w:r>
                    <w:t xml:space="preserve">(PSM-V)</w:t>
                  </w:r>
                </w:p>
              </w:tc>
              <w:tc>
                <w:tcPr/>
                <w:p>
                  <w:pPr>
                    <w:pStyle w:val="Compact"/>
                    <w:jc w:val="left"/>
                    <w:jc w:val="center"/>
                  </w:pPr>
                  <w:r>
                    <w:t xml:space="preserve">Das offizielle Register des Bundes, gepflegt vom BLV, das alle in</w:t>
                  </w:r>
                  <w:r>
                    <w:t xml:space="preserve"> </w:t>
                  </w:r>
                  <w:r>
                    <w:t xml:space="preserve">der Schweiz zugelassenen Pflanzenschutzmittel sowie deren</w:t>
                  </w:r>
                  <w:r>
                    <w:t xml:space="preserve"> </w:t>
                  </w:r>
                  <w:r>
                    <w:t xml:space="preserve">rechtmässigen Einsatzbereich auflistet.</w:t>
                  </w:r>
                </w:p>
              </w:tc>
            </w:tr>
            <w:tr>
              <w:tc>
                <w:tcPr/>
                <w:p>
                  <w:pPr>
                    <w:pStyle w:val="Compact"/>
                    <w:jc w:val="left"/>
                    <w:jc w:val="center"/>
                  </w:pPr>
                  <w:hyperlink r:id="rId114">
                    <w:r>
                      <w:rPr>
                        <w:rStyle w:val="VerbatimChar"/>
                      </w:rPr>
                      <w:t xml:space="preserve">term:suibi</w:t>
                    </w:r>
                  </w:hyperlink>
                </w:p>
              </w:tc>
              <w:tc>
                <w:tcPr/>
                <w:p>
                  <w:pPr>
                    <w:pStyle w:val="Compact"/>
                    <w:jc w:val="left"/>
                    <w:jc w:val="center"/>
                  </w:pPr>
                  <w:r>
                    <w:rPr>
                      <w:b/>
                      <w:bCs/>
                    </w:rPr>
                    <w:t xml:space="preserve">Suisse-Bilanz</w:t>
                  </w:r>
                </w:p>
              </w:tc>
              <w:tc>
                <w:tcPr/>
                <w:p>
                  <w:pPr>
                    <w:pStyle w:val="Compact"/>
                    <w:jc w:val="left"/>
                    <w:jc w:val="center"/>
                  </w:pPr>
                  <w:r>
                    <w:t xml:space="preserve">Zentrales Berechnungsinstrument, das den Nährstoffanfall und</w:t>
                  </w:r>
                  <w:r>
                    <w:t xml:space="preserve"> </w:t>
                  </w:r>
                  <w:r>
                    <w:t xml:space="preserve">-bedarf auf Betriebsebene systematisch gegenüberstellt, um eine</w:t>
                  </w:r>
                  <w:r>
                    <w:t xml:space="preserve"> </w:t>
                  </w:r>
                  <w:r>
                    <w:t xml:space="preserve">ausgeglichene Nährstoffbilanz auszuweisen.</w:t>
                  </w:r>
                </w:p>
              </w:tc>
            </w:tr>
            <w:tr>
              <w:tc>
                <w:tcPr/>
                <w:p>
                  <w:pPr>
                    <w:pStyle w:val="Compact"/>
                    <w:jc w:val="left"/>
                    <w:jc w:val="center"/>
                  </w:pPr>
                  <w:hyperlink r:id="rId115">
                    <w:r>
                      <w:rPr>
                        <w:rStyle w:val="VerbatimChar"/>
                      </w:rPr>
                      <w:t xml:space="preserve">term:triple</w:t>
                    </w:r>
                  </w:hyperlink>
                </w:p>
              </w:tc>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w:t>
                  </w:r>
                  <w:r>
                    <w:t xml:space="preserve"> </w:t>
                  </w:r>
                  <w:hyperlink r:id="rId111">
                    <w:r>
                      <w:rPr>
                        <w:rStyle w:val="VerbatimChar"/>
                      </w:rPr>
                      <w:t xml:space="preserve">term:rdf</w:t>
                    </w:r>
                  </w:hyperlink>
                </w:p>
              </w:tc>
            </w:tr>
          </w:tbl>
          <w:bookmarkEnd w:id="116"/>
          <w:p/>
        </w:tc>
      </w:tr>
    </w:tbl>
    <w:bookmarkEnd w:id="117"/>
    <w:bookmarkStart w:id="121" w:name="sec-appendix-d"/>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Geometrien/Flächen</w:t>
      </w:r>
      <w:r>
        <w:rPr>
          <w:rStyle w:val="FootnoteReference"/>
        </w:rPr>
        <w:footnoteReference w:id="118"/>
      </w:r>
      <w:r>
        <w:t xml:space="preserve">, Sorten sowie Direktzahlungsprogrammen sind nicht mehr Teil dieses Dokuments.</w:t>
      </w:r>
      <w:r>
        <w:rPr>
          <w:rStyle w:val="FootnoteReference"/>
        </w:rPr>
        <w:footnoteReference w:id="119"/>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120">
        <w:r>
          <w:rPr>
            <w:rStyle w:val="Hyperlink"/>
          </w:rPr>
          <w:t xml:space="preserve">https://github.com/blw-ofag-ufag/eCH-0265/releases</w:t>
        </w:r>
      </w:hyperlink>
      <w:r>
        <w:t xml:space="preserve">.</w:t>
      </w:r>
    </w:p>
    <w:bookmarkEnd w:id="121"/>
    <w:bookmarkStart w:id="122" w:name="sec-appendix-e"/>
    <w:p>
      <w:pPr>
        <w:pStyle w:val="berschrift1"/>
      </w:pPr>
      <w:r>
        <w:t xml:space="preserve">Anhang E - Abbildungsverzeichnis</w:t>
      </w:r>
    </w:p>
    <w:bookmarkEnd w:id="122"/>
    <w:bookmarkStart w:id="123" w:name="sec-appendix-f"/>
    <w:p>
      <w:pPr>
        <w:pStyle w:val="berschrift1"/>
      </w:pPr>
      <w:r>
        <w:t xml:space="preserve">Anhang F - Tabellenverzeichnis</w:t>
      </w:r>
    </w:p>
    <w:bookmarkEnd w:id="123"/>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39">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jeweiligen Übergruppen abfragen.</w:t>
      </w:r>
    </w:p>
  </w:footnote>
  <w:footnote w:id="45">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(ein Knöterichgewächs) und Quinoa (ein Fuchsschwanzgewächs) sind botanisch nicht mit Getreide (Süssgras) verwandt.</w:t>
      </w:r>
      <w:r>
        <w:t xml:space="preserve"> </w:t>
      </w:r>
      <w:r>
        <w:t xml:space="preserve">Ihr Erntegut und dessen Verwendung ähneln jedoch stark denen von echtem Getreide, daher werden sie manchmal als Pseudogetreide bezeichnet.</w:t>
      </w:r>
    </w:p>
  </w:footnote>
  <w:footnote w:id="118">
    <w:p>
      <w:pPr>
        <w:pStyle w:val="Funotentext"/>
      </w:pPr>
      <w:r>
        <w:rPr>
          <w:rStyle w:val="FootnoteReference"/>
        </w:rPr>
        <w:footnoteRef/>
      </w:r>
      <w:r>
        <w:t xml:space="preserve"> </w:t>
      </w:r>
      <w:r>
        <w:t xml:space="preserve">Die Erhebung von landwirtschaftlichen Nutzflächen wird bereits mit dem minimale Geodatenmodell «Landwirtschaftliche Kulturflächen» (Identifikator 153) spezifiziert:</w:t>
      </w:r>
      <w:r>
        <w:t xml:space="preserve"> </w:t>
      </w:r>
      <w:hyperlink r:id="rId28">
        <w:r>
          <w:rPr>
            <w:rStyle w:val="Hyperlink"/>
          </w:rPr>
          <w:t xml:space="preserve">https://www.blw.admin.ch/de/landwirtschaftliche-kulturflaechen</w:t>
        </w:r>
      </w:hyperlink>
    </w:p>
  </w:footnote>
  <w:footnote w:id="119">
    <w:p>
      <w:pPr>
        <w:pStyle w:val="Funotentext"/>
      </w:pPr>
      <w:r>
        <w:rPr>
          <w:rStyle w:val="FootnoteReference"/>
        </w:rPr>
        <w:footnoteRef/>
      </w:r>
      <w:r>
        <w:t xml:space="preserve"> </w:t>
      </w:r>
      <w:r>
        <w:t xml:space="preserve">Eine spätere Wiederaufnahme von Sorten und Programmen bleibt vorbehalten.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CH"/>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48" Target="media/rId48.png" /><Relationship Type="http://schemas.openxmlformats.org/officeDocument/2006/relationships/image" Id="rId79" Target="media/rId79.png" /><Relationship Type="http://schemas.openxmlformats.org/officeDocument/2006/relationships/hyperlink" Id="rId107" Target="https://agriculture.ld.admin.ch/eCH-0265/2/term/agis" TargetMode="External" /><Relationship Type="http://schemas.openxmlformats.org/officeDocument/2006/relationships/hyperlink" Id="rId108" Target="https://agriculture.ld.admin.ch/eCH-0265/2/term/kais" TargetMode="External" /><Relationship Type="http://schemas.openxmlformats.org/officeDocument/2006/relationships/hyperlink" Id="rId109" Target="https://agriculture.ld.admin.ch/eCH-0265/2/term/lindas" TargetMode="External" /><Relationship Type="http://schemas.openxmlformats.org/officeDocument/2006/relationships/hyperlink" Id="rId110" Target="https://agriculture.ld.admin.ch/eCH-0265/2/term/nbbs" TargetMode="External" /><Relationship Type="http://schemas.openxmlformats.org/officeDocument/2006/relationships/hyperlink" Id="rId111" Target="https://agriculture.ld.admin.ch/eCH-0265/2/term/rdf" TargetMode="External" /><Relationship Type="http://schemas.openxmlformats.org/officeDocument/2006/relationships/hyperlink" Id="rId112" Target="https://agriculture.ld.admin.ch/eCH-0265/2/term/skos" TargetMode="External" /><Relationship Type="http://schemas.openxmlformats.org/officeDocument/2006/relationships/hyperlink" Id="rId113" Target="https://agriculture.ld.admin.ch/eCH-0265/2/term/srppp" TargetMode="External" /><Relationship Type="http://schemas.openxmlformats.org/officeDocument/2006/relationships/hyperlink" Id="rId114" Target="https://agriculture.ld.admin.ch/eCH-0265/2/term/suibi" TargetMode="External" /><Relationship Type="http://schemas.openxmlformats.org/officeDocument/2006/relationships/hyperlink" Id="rId115" Target="https://agriculture.ld.admin.ch/eCH-0265/2/term/triple" TargetMode="External" /><Relationship Type="http://schemas.openxmlformats.org/officeDocument/2006/relationships/hyperlink" Id="rId93"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3" Target="https://eppo.int/" TargetMode="External" /><Relationship Type="http://schemas.openxmlformats.org/officeDocument/2006/relationships/hyperlink" Id="rId29" Target="https://geodienste.ch/" TargetMode="External" /><Relationship Type="http://schemas.openxmlformats.org/officeDocument/2006/relationships/hyperlink" Id="rId82" Target="https://github.com/blw-ofag-ufag/eCH-0265/blob/main/src/sparql/queries/mapping_table.rq" TargetMode="External" /><Relationship Type="http://schemas.openxmlformats.org/officeDocument/2006/relationships/hyperlink" Id="rId120" Target="https://github.com/blw-ofag-ufag/eCH-0265/releases" TargetMode="External" /><Relationship Type="http://schemas.openxmlformats.org/officeDocument/2006/relationships/hyperlink" Id="rId76" Target="https://github.com/blw-ofag-ufag/eCH-0265/tree/main/src/sparql/queries" TargetMode="External" /><Relationship Type="http://schemas.openxmlformats.org/officeDocument/2006/relationships/hyperlink" Id="rId90" Target="https://ira.agroscope.ch/de-CH/publication/52563" TargetMode="External" /><Relationship Type="http://schemas.openxmlformats.org/officeDocument/2006/relationships/hyperlink" Id="rId73" Target="https://lindas.admin.ch/" TargetMode="External" /><Relationship Type="http://schemas.openxmlformats.org/officeDocument/2006/relationships/hyperlink" Id="rId75" Target="https://lindas.admin.ch/sparql/" TargetMode="External" /><Relationship Type="http://schemas.openxmlformats.org/officeDocument/2006/relationships/hyperlink" Id="rId30" Target="https://models.geo.admin.ch/BLW/" TargetMode="External" /><Relationship Type="http://schemas.openxmlformats.org/officeDocument/2006/relationships/hyperlink" Id="rId68" Target="https://psm.admin.ch/" TargetMode="External" /><Relationship Type="http://schemas.openxmlformats.org/officeDocument/2006/relationships/hyperlink" Id="rId39" Target="https://rf-vp.agate.ch/digiflux/naebi/2-0/naebiservice-backend/agronomiccropcategories" TargetMode="External" /><Relationship Type="http://schemas.openxmlformats.org/officeDocument/2006/relationships/hyperlink" Id="rId97" Target="https://shacl-play.sparna.fr/" TargetMode="External" /><Relationship Type="http://schemas.openxmlformats.org/officeDocument/2006/relationships/hyperlink" Id="rId88" Target="https://www.blw.admin.ch/dam/de/sd-web/PCfDBOdwjaOm/WegleitungSuisse-Bilanz1_20_D_DEF.pdf" TargetMode="External" /><Relationship Type="http://schemas.openxmlformats.org/officeDocument/2006/relationships/hyperlink" Id="rId27" Target="https://www.blw.admin.ch/dam/fr/sd-web/QYLa6wGfdK8G/2026%20Merkblatt%20Nr.%206.2%20Fl%C3%A4chenkatalog%20und%20Beitragsberechtigung.pdf" TargetMode="External" /><Relationship Type="http://schemas.openxmlformats.org/officeDocument/2006/relationships/hyperlink" Id="rId28" Target="https://www.blw.admin.ch/de/landwirtschaftliche-kulturflaechen" TargetMode="External" /><Relationship Type="http://schemas.openxmlformats.org/officeDocument/2006/relationships/hyperlink" Id="rId95" Target="https://www.ech.ch/sites/default/files/dosvers/hauptdokument/AUXI_e_DEF_2018-03-13_eCH-0205_V1.0_Linked%20Open%20Data.pdf" TargetMode="External" /><Relationship Type="http://schemas.openxmlformats.org/officeDocument/2006/relationships/hyperlink" Id="rId34" Target="https://www.fedlex.admin.ch/eli/cc/1999/13/de#art_14" TargetMode="External" /><Relationship Type="http://schemas.openxmlformats.org/officeDocument/2006/relationships/hyperlink" Id="rId31" Target="https://www.fedlex.admin.ch/eli/cc/1999/13/de#art_18" TargetMode="External" /><Relationship Type="http://schemas.openxmlformats.org/officeDocument/2006/relationships/hyperlink" Id="rId32" Target="https://www.fedlex.admin.ch/eli/cc/1999/13/de#art_19" TargetMode="External" /><Relationship Type="http://schemas.openxmlformats.org/officeDocument/2006/relationships/hyperlink" Id="rId33" Target="https://www.fedlex.admin.ch/eli/cc/1999/13/de#art_22" TargetMode="External" /><Relationship Type="http://schemas.openxmlformats.org/officeDocument/2006/relationships/hyperlink" Id="rId35" Target="https://www.fedlex.admin.ch/eli/cc/1999/13/de#art_24" TargetMode="External" /><Relationship Type="http://schemas.openxmlformats.org/officeDocument/2006/relationships/hyperlink" Id="rId42" Target="https://www.psm.admin.ch/" TargetMode="External" /><Relationship Type="http://schemas.openxmlformats.org/officeDocument/2006/relationships/hyperlink" Id="rId44" Target="https://www.psm.admin.ch/de/produkte/7430" TargetMode="External" /><Relationship Type="http://schemas.openxmlformats.org/officeDocument/2006/relationships/hyperlink" Id="rId61" Target="https://www.w3.org/TR/owl-guide/" TargetMode="External" /><Relationship Type="http://schemas.openxmlformats.org/officeDocument/2006/relationships/hyperlink" Id="rId101" Target="https://www.w3.org/TR/owl2-overview/" TargetMode="External" /><Relationship Type="http://schemas.openxmlformats.org/officeDocument/2006/relationships/hyperlink" Id="rId60" Target="https://www.w3.org/TR/rdf-schema/" TargetMode="External" /><Relationship Type="http://schemas.openxmlformats.org/officeDocument/2006/relationships/hyperlink" Id="rId72" Target="https://www.w3.org/TR/rdf11-concepts/" TargetMode="External" /><Relationship Type="http://schemas.openxmlformats.org/officeDocument/2006/relationships/hyperlink" Id="rId99" Target="https://www.w3.org/TR/shacl/" TargetMode="External" /><Relationship Type="http://schemas.openxmlformats.org/officeDocument/2006/relationships/hyperlink" Id="rId74" Target="https://www.w3.org/TR/sparql11-query/"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07" Target="https://agriculture.ld.admin.ch/eCH-0265/2/term/agis" TargetMode="External" /><Relationship Type="http://schemas.openxmlformats.org/officeDocument/2006/relationships/hyperlink" Id="rId108" Target="https://agriculture.ld.admin.ch/eCH-0265/2/term/kais" TargetMode="External" /><Relationship Type="http://schemas.openxmlformats.org/officeDocument/2006/relationships/hyperlink" Id="rId109" Target="https://agriculture.ld.admin.ch/eCH-0265/2/term/lindas" TargetMode="External" /><Relationship Type="http://schemas.openxmlformats.org/officeDocument/2006/relationships/hyperlink" Id="rId110" Target="https://agriculture.ld.admin.ch/eCH-0265/2/term/nbbs" TargetMode="External" /><Relationship Type="http://schemas.openxmlformats.org/officeDocument/2006/relationships/hyperlink" Id="rId111" Target="https://agriculture.ld.admin.ch/eCH-0265/2/term/rdf" TargetMode="External" /><Relationship Type="http://schemas.openxmlformats.org/officeDocument/2006/relationships/hyperlink" Id="rId112" Target="https://agriculture.ld.admin.ch/eCH-0265/2/term/skos" TargetMode="External" /><Relationship Type="http://schemas.openxmlformats.org/officeDocument/2006/relationships/hyperlink" Id="rId113" Target="https://agriculture.ld.admin.ch/eCH-0265/2/term/srppp" TargetMode="External" /><Relationship Type="http://schemas.openxmlformats.org/officeDocument/2006/relationships/hyperlink" Id="rId114" Target="https://agriculture.ld.admin.ch/eCH-0265/2/term/suibi" TargetMode="External" /><Relationship Type="http://schemas.openxmlformats.org/officeDocument/2006/relationships/hyperlink" Id="rId115" Target="https://agriculture.ld.admin.ch/eCH-0265/2/term/triple" TargetMode="External" /><Relationship Type="http://schemas.openxmlformats.org/officeDocument/2006/relationships/hyperlink" Id="rId93"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3" Target="https://eppo.int/" TargetMode="External" /><Relationship Type="http://schemas.openxmlformats.org/officeDocument/2006/relationships/hyperlink" Id="rId29" Target="https://geodienste.ch/" TargetMode="External" /><Relationship Type="http://schemas.openxmlformats.org/officeDocument/2006/relationships/hyperlink" Id="rId82" Target="https://github.com/blw-ofag-ufag/eCH-0265/blob/main/src/sparql/queries/mapping_table.rq" TargetMode="External" /><Relationship Type="http://schemas.openxmlformats.org/officeDocument/2006/relationships/hyperlink" Id="rId120" Target="https://github.com/blw-ofag-ufag/eCH-0265/releases" TargetMode="External" /><Relationship Type="http://schemas.openxmlformats.org/officeDocument/2006/relationships/hyperlink" Id="rId76" Target="https://github.com/blw-ofag-ufag/eCH-0265/tree/main/src/sparql/queries" TargetMode="External" /><Relationship Type="http://schemas.openxmlformats.org/officeDocument/2006/relationships/hyperlink" Id="rId90" Target="https://ira.agroscope.ch/de-CH/publication/52563" TargetMode="External" /><Relationship Type="http://schemas.openxmlformats.org/officeDocument/2006/relationships/hyperlink" Id="rId73" Target="https://lindas.admin.ch/" TargetMode="External" /><Relationship Type="http://schemas.openxmlformats.org/officeDocument/2006/relationships/hyperlink" Id="rId75" Target="https://lindas.admin.ch/sparql/" TargetMode="External" /><Relationship Type="http://schemas.openxmlformats.org/officeDocument/2006/relationships/hyperlink" Id="rId30" Target="https://models.geo.admin.ch/BLW/" TargetMode="External" /><Relationship Type="http://schemas.openxmlformats.org/officeDocument/2006/relationships/hyperlink" Id="rId68" Target="https://psm.admin.ch/" TargetMode="External" /><Relationship Type="http://schemas.openxmlformats.org/officeDocument/2006/relationships/hyperlink" Id="rId39" Target="https://rf-vp.agate.ch/digiflux/naebi/2-0/naebiservice-backend/agronomiccropcategories" TargetMode="External" /><Relationship Type="http://schemas.openxmlformats.org/officeDocument/2006/relationships/hyperlink" Id="rId97" Target="https://shacl-play.sparna.fr/" TargetMode="External" /><Relationship Type="http://schemas.openxmlformats.org/officeDocument/2006/relationships/hyperlink" Id="rId88" Target="https://www.blw.admin.ch/dam/de/sd-web/PCfDBOdwjaOm/WegleitungSuisse-Bilanz1_20_D_DEF.pdf" TargetMode="External" /><Relationship Type="http://schemas.openxmlformats.org/officeDocument/2006/relationships/hyperlink" Id="rId27" Target="https://www.blw.admin.ch/dam/fr/sd-web/QYLa6wGfdK8G/2026%20Merkblatt%20Nr.%206.2%20Fl%C3%A4chenkatalog%20und%20Beitragsberechtigung.pdf" TargetMode="External" /><Relationship Type="http://schemas.openxmlformats.org/officeDocument/2006/relationships/hyperlink" Id="rId28" Target="https://www.blw.admin.ch/de/landwirtschaftliche-kulturflaechen" TargetMode="External" /><Relationship Type="http://schemas.openxmlformats.org/officeDocument/2006/relationships/hyperlink" Id="rId95" Target="https://www.ech.ch/sites/default/files/dosvers/hauptdokument/AUXI_e_DEF_2018-03-13_eCH-0205_V1.0_Linked%20Open%20Data.pdf" TargetMode="External" /><Relationship Type="http://schemas.openxmlformats.org/officeDocument/2006/relationships/hyperlink" Id="rId34" Target="https://www.fedlex.admin.ch/eli/cc/1999/13/de#art_14" TargetMode="External" /><Relationship Type="http://schemas.openxmlformats.org/officeDocument/2006/relationships/hyperlink" Id="rId31" Target="https://www.fedlex.admin.ch/eli/cc/1999/13/de#art_18" TargetMode="External" /><Relationship Type="http://schemas.openxmlformats.org/officeDocument/2006/relationships/hyperlink" Id="rId32" Target="https://www.fedlex.admin.ch/eli/cc/1999/13/de#art_19" TargetMode="External" /><Relationship Type="http://schemas.openxmlformats.org/officeDocument/2006/relationships/hyperlink" Id="rId33" Target="https://www.fedlex.admin.ch/eli/cc/1999/13/de#art_22" TargetMode="External" /><Relationship Type="http://schemas.openxmlformats.org/officeDocument/2006/relationships/hyperlink" Id="rId35" Target="https://www.fedlex.admin.ch/eli/cc/1999/13/de#art_24" TargetMode="External" /><Relationship Type="http://schemas.openxmlformats.org/officeDocument/2006/relationships/hyperlink" Id="rId42" Target="https://www.psm.admin.ch/" TargetMode="External" /><Relationship Type="http://schemas.openxmlformats.org/officeDocument/2006/relationships/hyperlink" Id="rId44" Target="https://www.psm.admin.ch/de/produkte/7430" TargetMode="External" /><Relationship Type="http://schemas.openxmlformats.org/officeDocument/2006/relationships/hyperlink" Id="rId61" Target="https://www.w3.org/TR/owl-guide/" TargetMode="External" /><Relationship Type="http://schemas.openxmlformats.org/officeDocument/2006/relationships/hyperlink" Id="rId101" Target="https://www.w3.org/TR/owl2-overview/" TargetMode="External" /><Relationship Type="http://schemas.openxmlformats.org/officeDocument/2006/relationships/hyperlink" Id="rId60" Target="https://www.w3.org/TR/rdf-schema/" TargetMode="External" /><Relationship Type="http://schemas.openxmlformats.org/officeDocument/2006/relationships/hyperlink" Id="rId72" Target="https://www.w3.org/TR/rdf11-concepts/" TargetMode="External" /><Relationship Type="http://schemas.openxmlformats.org/officeDocument/2006/relationships/hyperlink" Id="rId99" Target="https://www.w3.org/TR/shacl/" TargetMode="External" /><Relationship Type="http://schemas.openxmlformats.org/officeDocument/2006/relationships/hyperlink" Id="rId74" Target="https://www.w3.org/TR/sparql11-query/"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eCH-0265 Landwirtschaftliche Kulturen</dc:title>
  <dc:creator>eCH Fachgruppe AgriFood</dc:creator>
  <dc:language>de-CH</dc:language>
  <cp:keywords>Landwirtschaft, Informatik, Behörden</cp:keywords>
  <dcterms:created xsi:type="dcterms:W3CDTF">2026-09-17T18:52:23Z</dcterms:created>
  <dcterms:modified xsi:type="dcterms:W3CDTF">2026-09-17T18:52:23Z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itation">
    <vt:lpwstr/>
  </property>
  <property fmtid="{D5CDD505-2E9C-101B-9397-08002B2CF9AE}" pid="8" name="date">
    <vt:lpwstr>17. September 2026</vt:lpwstr>
  </property>
  <property fmtid="{D5CDD505-2E9C-101B-9397-08002B2CF9AE}" pid="9" name="date-format">
    <vt:lpwstr>long</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True</vt:lpwstr>
  </property>
  <property fmtid="{D5CDD505-2E9C-101B-9397-08002B2CF9AE}" pid="16" name="toc-title">
    <vt:lpwstr>Inhaltsverzeichnis</vt:lpwstr>
  </property>
</Properties>
</file>