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79.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17.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47"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6"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6"/>
    <w:bookmarkStart w:id="37"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7">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8">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30">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6"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3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6"/>
          <w:p/>
        </w:tc>
      </w:tr>
    </w:tbl>
    <w:bookmarkEnd w:id="37"/>
    <w:bookmarkStart w:id="41"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8"/>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40"/>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41"/>
    <w:bookmarkStart w:id="46" w:name="sec-plant-protection"/>
    <w:p>
      <w:pPr>
        <w:pStyle w:val="berschrift2"/>
      </w:pPr>
      <w:r>
        <w:t xml:space="preserve">1.4 Pflanzenschutz</w:t>
      </w:r>
    </w:p>
    <w:p>
      <w:pPr>
        <w:pStyle w:val="FirstParagraph"/>
      </w:pPr>
      <w:r>
        <w:t xml:space="preserve">Das</w:t>
      </w:r>
      <w:r>
        <w:t xml:space="preserve"> </w:t>
      </w:r>
      <w:hyperlink r:id="rId42">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3">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4">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5"/>
      </w:r>
      <w:r>
        <w:t xml:space="preserve"> </w:t>
      </w:r>
      <w:r>
        <w:t xml:space="preserve">Die korrekte Nachbildung dieser Polyhierarchie ist in den Daten folglich essenziell, um Zulassungen maschinell korrekt zu verarbeiten.</w:t>
      </w:r>
    </w:p>
    <w:bookmarkEnd w:id="46"/>
    <w:bookmarkEnd w:id="47"/>
    <w:bookmarkStart w:id="53" w:name="sec-data-model"/>
    <w:p>
      <w:pPr>
        <w:pStyle w:val="berschrift1"/>
      </w:pPr>
      <w:r>
        <w:t xml:space="preserve">2. Datenmodell</w:t>
      </w:r>
    </w:p>
    <w:bookmarkStart w:id="52"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uml"/>
          <w:p>
            <w:pPr>
              <w:pStyle w:val="Compact"/>
              <w:jc w:val="center"/>
            </w:pPr>
            <w:r>
              <w:drawing>
                <wp:inline>
                  <wp:extent cx="6299200" cy="1703881"/>
                  <wp:effectExtent b="0" l="0" r="0" t="0"/>
                  <wp:docPr descr="" title="" id="49" name="Picture"/>
                  <a:graphic>
                    <a:graphicData uri="http://schemas.openxmlformats.org/drawingml/2006/picture">
                      <pic:pic>
                        <pic:nvPicPr>
                          <pic:cNvPr descr="../assets/img/uml.png" id="50" name="Picture"/>
                          <pic:cNvPicPr>
                            <a:picLocks noChangeArrowheads="1" noChangeAspect="1"/>
                          </pic:cNvPicPr>
                        </pic:nvPicPr>
                        <pic:blipFill>
                          <a:blip r:embed="rId48"/>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51"/>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2"/>
    <w:bookmarkEnd w:id="53"/>
    <w:bookmarkStart w:id="71" w:name="sec-classes"/>
    <w:p>
      <w:pPr>
        <w:pStyle w:val="berschrift1"/>
      </w:pPr>
      <w:r>
        <w:t xml:space="preserve">3. Klassen</w:t>
      </w:r>
    </w:p>
    <w:bookmarkStart w:id="55"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4"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6"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59"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8"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8"/>
          <w:p/>
        </w:tc>
      </w:tr>
    </w:tbl>
    <w:bookmarkEnd w:id="59"/>
    <w:bookmarkStart w:id="63"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60">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61">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2"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Der Name der Kultur ist in genau vier Sprachen (de, fr, it, en) erfasst und beginnt jeweils mit einem Grossbuchstaben. Der Name bleibt eine möglichst schlanke Gattungsbezeichnung und ist ohne Klammern und Kommas geschrieben. Synonyme gehören in schema:alternateName und Spezifizierungen sowie Beispiellisten in schema:description.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4..*</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2"/>
          <w:p/>
        </w:tc>
      </w:tr>
    </w:tbl>
    <w:bookmarkEnd w:id="63"/>
    <w:bookmarkStart w:id="65"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4"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7"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6"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6"/>
          <w:p/>
        </w:tc>
      </w:tr>
    </w:tbl>
    <w:bookmarkEnd w:id="67"/>
    <w:bookmarkStart w:id="70" w:name="sec-nodeshape-plantprotectioncrop"/>
    <w:p>
      <w:pPr>
        <w:pStyle w:val="berschrift2"/>
      </w:pPr>
      <w:r>
        <w:t xml:space="preserve">3.7 Pflanzenschutzmittel-Kultur</w:t>
      </w:r>
    </w:p>
    <w:p>
      <w:pPr>
        <w:pStyle w:val="FirstParagraph"/>
      </w:pPr>
      <w:r>
        <w:t xml:space="preserve">Kultur, wie sie im</w:t>
      </w:r>
      <w:r>
        <w:t xml:space="preserve"> </w:t>
      </w:r>
      <w:hyperlink r:id="rId68">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9"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9"/>
          <w:p/>
        </w:tc>
      </w:tr>
    </w:tbl>
    <w:bookmarkEnd w:id="70"/>
    <w:bookmarkEnd w:id="71"/>
    <w:bookmarkStart w:id="84"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2">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3">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7"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4">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5">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6">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7"/>
    <w:bookmarkStart w:id="83"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8"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8"/>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2">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5">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3"/>
    <w:bookmarkEnd w:id="84"/>
    <w:bookmarkStart w:id="85"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5"/>
    <w:bookmarkStart w:id="86"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6"/>
    <w:bookmarkStart w:id="87"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7"/>
    <w:bookmarkStart w:id="104" w:name="sec-appendix-a"/>
    <w:p>
      <w:pPr>
        <w:pStyle w:val="berschrift1"/>
      </w:pPr>
      <w:r>
        <w:t xml:space="preserve">Anhang A - Referenzen</w:t>
      </w:r>
    </w:p>
    <w:bookmarkStart w:id="103" w:name="refs"/>
    <w:bookmarkStart w:id="89"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8">
        <w:r>
          <w:rPr>
            <w:rStyle w:val="Hyperlink"/>
          </w:rPr>
          <w:t xml:space="preserve">https://www.blw.admin.ch/dam/de/sd-web/PCfDBOdwjaOm/WegleitungSuisse-Bilanz1_20_D_DEF.pdf</w:t>
        </w:r>
      </w:hyperlink>
      <w:r>
        <w:t xml:space="preserve">.</w:t>
      </w:r>
    </w:p>
    <w:bookmarkEnd w:id="89"/>
    <w:bookmarkStart w:id="91"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90">
        <w:r>
          <w:rPr>
            <w:rStyle w:val="Hyperlink"/>
          </w:rPr>
          <w:t xml:space="preserve">https://ira.agroscope.ch/de-CH/publication/52563</w:t>
        </w:r>
      </w:hyperlink>
      <w:r>
        <w:t xml:space="preserve">.</w:t>
      </w:r>
    </w:p>
    <w:bookmarkEnd w:id="91"/>
    <w:bookmarkStart w:id="92"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2">
        <w:r>
          <w:rPr>
            <w:rStyle w:val="Hyperlink"/>
          </w:rPr>
          <w:t xml:space="preserve">https://www.w3.org/TR/rdf11-concepts/</w:t>
        </w:r>
      </w:hyperlink>
      <w:r>
        <w:t xml:space="preserve">.</w:t>
      </w:r>
    </w:p>
    <w:bookmarkEnd w:id="92"/>
    <w:bookmarkStart w:id="94"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3">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4"/>
    <w:bookmarkStart w:id="96"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5">
        <w:r>
          <w:rPr>
            <w:rStyle w:val="Hyperlink"/>
          </w:rPr>
          <w:t xml:space="preserve">https://www.ech.ch/sites/default/files/dosvers/hauptdokument/AUXI_e_DEF_2018-03-13_eCH-0205_V1.0_Linked%20Open%20Data.pdf</w:t>
        </w:r>
      </w:hyperlink>
      <w:r>
        <w:t xml:space="preserve">.</w:t>
      </w:r>
    </w:p>
    <w:bookmarkEnd w:id="96"/>
    <w:bookmarkStart w:id="98"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7">
        <w:r>
          <w:rPr>
            <w:rStyle w:val="Hyperlink"/>
          </w:rPr>
          <w:t xml:space="preserve">https://shacl-play.sparna.fr/</w:t>
        </w:r>
      </w:hyperlink>
      <w:r>
        <w:t xml:space="preserve">.</w:t>
      </w:r>
    </w:p>
    <w:bookmarkEnd w:id="98"/>
    <w:bookmarkStart w:id="100"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9">
        <w:r>
          <w:rPr>
            <w:rStyle w:val="Hyperlink"/>
          </w:rPr>
          <w:t xml:space="preserve">https://www.w3.org/TR/shacl/</w:t>
        </w:r>
      </w:hyperlink>
      <w:r>
        <w:t xml:space="preserve">.</w:t>
      </w:r>
    </w:p>
    <w:bookmarkEnd w:id="100"/>
    <w:bookmarkStart w:id="102"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101">
        <w:r>
          <w:rPr>
            <w:rStyle w:val="Hyperlink"/>
          </w:rPr>
          <w:t xml:space="preserve">https://www.w3.org/TR/owl2-overview/</w:t>
        </w:r>
      </w:hyperlink>
      <w:r>
        <w:t xml:space="preserve">.</w:t>
      </w:r>
    </w:p>
    <w:bookmarkEnd w:id="102"/>
    <w:bookmarkEnd w:id="103"/>
    <w:bookmarkEnd w:id="104"/>
    <w:bookmarkStart w:id="106"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5"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5"/>
          <w:p/>
        </w:tc>
      </w:tr>
    </w:tbl>
    <w:bookmarkEnd w:id="106"/>
    <w:bookmarkStart w:id="117"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6"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7">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8">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9">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10">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11">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2">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3">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4">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5">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11">
                    <w:r>
                      <w:rPr>
                        <w:rStyle w:val="VerbatimChar"/>
                      </w:rPr>
                      <w:t xml:space="preserve">term:rdf</w:t>
                    </w:r>
                  </w:hyperlink>
                </w:p>
              </w:tc>
            </w:tr>
          </w:tbl>
          <w:bookmarkEnd w:id="116"/>
          <w:p/>
        </w:tc>
      </w:tr>
    </w:tbl>
    <w:bookmarkEnd w:id="117"/>
    <w:bookmarkStart w:id="121"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8"/>
      </w:r>
      <w:r>
        <w:t xml:space="preserve">, Sorten sowie Direktzahlungsprogrammen sind nicht mehr Teil dieses Dokuments.</w:t>
      </w:r>
      <w:r>
        <w:rPr>
          <w:rStyle w:val="FootnoteReference"/>
        </w:rPr>
        <w:footnoteReference w:id="11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20">
        <w:r>
          <w:rPr>
            <w:rStyle w:val="Hyperlink"/>
          </w:rPr>
          <w:t xml:space="preserve">https://github.com/blw-ofag-ufag/eCH-0265/releases</w:t>
        </w:r>
      </w:hyperlink>
      <w:r>
        <w:t xml:space="preserve">.</w:t>
      </w:r>
    </w:p>
    <w:bookmarkEnd w:id="121"/>
    <w:bookmarkStart w:id="122" w:name="sec-appendix-e"/>
    <w:p>
      <w:pPr>
        <w:pStyle w:val="berschrift1"/>
      </w:pPr>
      <w:r>
        <w:t xml:space="preserve">Anhang E - Abbildungsverzeichnis</w:t>
      </w:r>
    </w:p>
    <w:bookmarkEnd w:id="122"/>
    <w:bookmarkStart w:id="123" w:name="sec-appendix-f"/>
    <w:p>
      <w:pPr>
        <w:pStyle w:val="berschrift1"/>
      </w:pPr>
      <w:r>
        <w:t xml:space="preserve">Anhang F - Tabellenverzeichnis</w:t>
      </w:r>
    </w:p>
    <w:bookmarkEnd w:id="123"/>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5">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(ein Knöterichgewächs) und Quinoa (ein Fuchsschwanzgewächs) sind botanisch nicht mit Getreide (Süssgras) verwandt.</w:t>
      </w:r>
      <w:r>
        <w:t xml:space="preserve"> </w:t>
      </w:r>
      <w:r>
        <w:t xml:space="preserve">Ihr Erntegut und dessen Verwendung ähneln jedoch stark denen von echtem Getreide, daher werden sie manchmal als Pseudogetreide bezeichnet.</w:t>
      </w:r>
    </w:p>
  </w:footnote>
  <w:footnote w:id="11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8">
        <w:r>
          <w:rPr>
            <w:rStyle w:val="Hyperlink"/>
          </w:rPr>
          <w:t xml:space="preserve">https://www.blw.admin.ch/de/landwirtschaftliche-kulturflaechen</w:t>
        </w:r>
      </w:hyperlink>
    </w:p>
  </w:footnote>
  <w:footnote w:id="11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CH"/>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79" Target="media/rId79.png" /><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2026-09-17T12:17:21Z</dcterms:created>
  <dcterms:modified xsi:type="dcterms:W3CDTF">2026-09-17T12:17:21Z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17.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