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48.png" ContentType="image/png"/>
  <Override PartName="/word/media/rId79.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Author"/>
      </w:pPr>
      <w:r>
        <w:t xml:space="preserve">eCH Fachgruppe AgriFood</w:t>
      </w:r>
    </w:p>
    <w:p>
      <w:pPr>
        <w:pStyle w:val="Date"/>
      </w:pPr>
      <w:r>
        <w:t xml:space="preserve">10. September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5" w:name="sec-note"/>
    <w:p>
      <w:pPr>
        <w:pStyle w:val="berschrift1"/>
      </w:pPr>
      <w:r>
        <w:t xml:space="preserve">Hinweis</w:t>
      </w:r>
    </w:p>
    <w:p>
      <w:pPr>
        <w:pStyle w:val="FirstParagraph"/>
      </w:pPr>
      <w:r>
        <w:t xml:space="preserve">Im vorliegenden Dokument wird bei der Bezeichnung von Personen eine geschlechtsneutrale Formulierung verwendet.</w:t>
      </w:r>
      <w:r>
        <w:t xml:space="preserve"> </w:t>
      </w:r>
      <w:r>
        <w:t xml:space="preserve">Basis bildet der Leitfaden der Bundeskanzlei.</w:t>
      </w:r>
      <w:r>
        <w:t xml:space="preserve"> </w:t>
      </w:r>
      <w:r>
        <w:t xml:space="preserve">Je nach Situation kommen Paarformen (Bürgerinnen und Bürger), geschlechtsabstrakte Formen (versicherte Person), geschlechtsneutrale Formen (Versicherte) oder Umschreibungen ohne Personenbezug zum Einsatz.</w:t>
      </w:r>
      <w:r>
        <w:t xml:space="preserve"> </w:t>
      </w:r>
      <w:r>
        <w:t xml:space="preserve">Das generische Maskulin (Bürger) ist nicht zulässig.</w:t>
      </w:r>
      <w:r>
        <w:t xml:space="preserve"> </w:t>
      </w:r>
      <w:r>
        <w:t xml:space="preserve">Vollformen werden in fortlaufenden Texten verwendet, also in Texten, die aus ausformulierten Sätzen bestehen.</w:t>
      </w:r>
      <w:r>
        <w:t xml:space="preserve"> </w:t>
      </w:r>
      <w:r>
        <w:t xml:space="preserve">In verknappten Textpassagen, namentlich in Tabellen, können Kurzformen verwendet werden.</w:t>
      </w:r>
      <w:r>
        <w:t xml:space="preserve"> </w:t>
      </w:r>
      <w:r>
        <w:t xml:space="preserve">Dabei wird die Kurzform mit Schrägstrich, aber ohne Auslassungsstrich verwendet (Referent/in).</w:t>
      </w:r>
      <w:r>
        <w:t xml:space="preserve"> </w:t>
      </w:r>
      <w:r>
        <w:t xml:space="preserve">Genderstern und ähnliche Schreibweisen werden nicht verwendet.</w:t>
      </w:r>
    </w:p>
    <w:bookmarkEnd w:id="25"/>
    <w:bookmarkStart w:id="47" w:name="sec-introduction"/>
    <w:p>
      <w:pPr>
        <w:pStyle w:val="berschrift1"/>
      </w:pPr>
      <w:r>
        <w:t xml:space="preserve">1. Einleitung</w:t>
      </w:r>
    </w:p>
    <w:p>
      <w:pPr>
        <w:pStyle w:val="FirstParagraph"/>
      </w:pPr>
      <w:r>
        <w:t xml:space="preserve">Die Definitionen für landwirtschaftliche Kulturen wurden historisch unabhängig voneinander für spezifische gesetzliche Aufträge und Systeme entwickelt.</w:t>
      </w:r>
      <w:r>
        <w:t xml:space="preserve"> </w:t>
      </w:r>
      <w:r>
        <w:t xml:space="preserve">Die fehlende systemübergreifende Harmonisierung (mit einer</w:t>
      </w:r>
      <w:r>
        <w:t xml:space="preserve"> </w:t>
      </w:r>
      <w:r>
        <w:rPr>
          <w:i/>
          <w:iCs/>
        </w:rPr>
        <w:t xml:space="preserve">Single Source of Truth</w:t>
      </w:r>
      <w:r>
        <w:t xml:space="preserve">) erschwert jedoch die Informationsverarbeitung über jeweilige Systemgrenzen hinaus.</w:t>
      </w:r>
    </w:p>
    <w:p>
      <w:pPr>
        <w:pStyle w:val="Textkrper"/>
      </w:pPr>
      <w:r>
        <w:t xml:space="preserve">Das vorliegende Hilfsmittel formuliert keine Vorgaben, sondern unterstützt gezielt die reibungslose Datenintegration über verschiedene Fachbereiche und Organisationen hinweg.</w:t>
      </w:r>
      <w:r>
        <w:t xml:space="preserve"> </w:t>
      </w:r>
      <w:r>
        <w:t xml:space="preserve">Zu diesem Zweck stehen fertige Kulturentabellen sowie die dazugehörigen Mapping-Tabellen zur Verfügung.</w:t>
      </w:r>
      <w:r>
        <w:t xml:space="preserve"> </w:t>
      </w:r>
      <w:r>
        <w:t xml:space="preserve">Alle definierten Ressourcen sind als</w:t>
      </w:r>
      <w:r>
        <w:t xml:space="preserve"> </w:t>
      </w:r>
      <w:r>
        <w:rPr>
          <w:i/>
          <w:iCs/>
        </w:rPr>
        <w:t xml:space="preserve">Linked Data</w:t>
      </w:r>
      <w:r>
        <w:t xml:space="preserve"> </w:t>
      </w:r>
      <w:r>
        <w:t xml:space="preserve">modelliert und lassen sich vollständig automatisiert beziehen, was eine effiziente Überführung von Daten aus einem System in ein anderes ermöglicht.</w:t>
      </w:r>
    </w:p>
    <w:bookmarkStart w:id="26" w:name="sec-what-is-a-crop"/>
    <w:p>
      <w:pPr>
        <w:pStyle w:val="berschrift2"/>
      </w:pPr>
      <w:r>
        <w:t xml:space="preserve">1.1 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r>
        <w:t xml:space="preserve">(</w:t>
      </w:r>
      <w:hyperlink w:anchor="ref-eCH-0265:1.0.0">
        <w:r>
          <w:rPr>
            <w:rStyle w:val="Hyperlink"/>
          </w:rPr>
          <w:t xml:space="preserve">eCH-Fachgruppe AgriFood</w:t>
        </w:r>
        <w:r>
          <w:rPr>
            <w:rStyle w:val="Hyperlink"/>
          </w:rPr>
          <w:t xml:space="preserve"> </w:t>
        </w:r>
        <w:r>
          <w:rPr>
            <w:rStyle w:val="Hyperlink"/>
          </w:rPr>
          <w:t xml:space="preserve">2024</w:t>
        </w:r>
      </w:hyperlink>
      <w:r>
        <w:t xml:space="preserve">)</w:t>
      </w:r>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Taxonomie abzugrenzen.</w:t>
      </w:r>
      <w:r>
        <w:t xml:space="preserve"> </w:t>
      </w:r>
      <w:r>
        <w:t xml:space="preserve">Die botanische Systematik klassifiziert einzelne Pflanzen.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6"/>
    <w:bookmarkStart w:id="37" w:name="sec-direct-payments"/>
    <w:p>
      <w:pPr>
        <w:pStyle w:val="berschrift2"/>
      </w:pPr>
      <w:r>
        <w:t xml:space="preserve">1.2 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Alle Kulturen mit Direktzahlungscode müssen jährlich an AGIS übermittelt werden – unabhängig davon, ob sie für Beiträge berechtigt sind oder nicht (vgl.</w:t>
      </w:r>
      <w:r>
        <w:t xml:space="preserve"> </w:t>
      </w:r>
      <w:hyperlink r:id="rId27">
        <w:r>
          <w:rPr>
            <w:rStyle w:val="Hyperlink"/>
          </w:rPr>
          <w:t xml:space="preserve">Flächenkatalog und Beitragsberechtigung</w:t>
        </w:r>
      </w:hyperlink>
      <w:r>
        <w:t xml:space="preserve">).</w:t>
      </w:r>
      <w:r>
        <w:t xml:space="preserve"> </w:t>
      </w:r>
      <w:r>
        <w:t xml:space="preserve">In AGIS stehen also alle aktuell gültigen und historisierten Direktzahlungskulturen und deren Beitragsberechtigungen für Bund 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 (siehe</w:t>
      </w:r>
      <w:r>
        <w:t xml:space="preserve"> </w:t>
      </w:r>
      <w:hyperlink r:id="rId28">
        <w:r>
          <w:rPr>
            <w:rStyle w:val="Hyperlink"/>
          </w:rPr>
          <w:t xml:space="preserve">«landwirtschaftliche Kulturflächen»</w:t>
        </w:r>
      </w:hyperlink>
      <w:r>
        <w:t xml:space="preserve">).</w:t>
      </w:r>
      <w:r>
        <w:t xml:space="preserve"> </w:t>
      </w:r>
      <w:r>
        <w:t xml:space="preserve">Die Kantone erfassen diese Geodaten gemäss dem minimalen Geodatenmodell 153.1 «Nutzungsflächen» und stellen die Daten via dem interkantonalen Portal</w:t>
      </w:r>
      <w:r>
        <w:t xml:space="preserve"> </w:t>
      </w:r>
      <w:hyperlink r:id="rId29">
        <w:r>
          <w:rPr>
            <w:rStyle w:val="Hyperlink"/>
          </w:rPr>
          <w:t xml:space="preserve">geodienste.ch</w:t>
        </w:r>
      </w:hyperlink>
      <w:r>
        <w:t xml:space="preserve"> </w:t>
      </w:r>
      <w:r>
        <w:t xml:space="preserve">zur Verfügung.</w:t>
      </w:r>
      <w:r>
        <w:t xml:space="preserve"> </w:t>
      </w:r>
      <w:r>
        <w:t xml:space="preserve">Die im Rahmen der Geodaten verwendeten Kulturkategorien sind als XML-File auf</w:t>
      </w:r>
      <w:r>
        <w:t xml:space="preserve"> </w:t>
      </w:r>
      <w:hyperlink r:id="rId30">
        <w:r>
          <w:rPr>
            <w:rStyle w:val="Hyperlink"/>
          </w:rPr>
          <w:t xml:space="preserve">https://models.geo.admin.ch/BLW/</w:t>
        </w:r>
      </w:hyperlink>
      <w:r>
        <w:t xml:space="preserve"> </w:t>
      </w:r>
      <w:r>
        <w:t xml:space="preserve">publiziert, wobei weitere (aggregierende) Kulturkategorien definiert wurden und die Attribute nicht zu 100% deckungsgleich zu denjenigen der Direktzahlungskulturen der Strukturdatenerhebung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w:t>
      </w:r>
      <w:r>
        <w:t xml:space="preserve"> </w:t>
      </w:r>
      <w:r>
        <w:t xml:space="preserve">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6" w:name="tbl-directpaymentcrops-categories"/>
          <w:p>
            <w:pPr>
              <w:jc w:val="center"/>
            </w:pPr>
            <w:pPr>
              <w:jc w:val="left"/>
              <w:spacing w:before="200"/>
              <w:pStyle w:val="ImageCaption"/>
            </w:pPr>
            <w:r>
              <w:t xml:space="preserve">Tabelle 1: Anzahl Direktzahlungskulturen (N) je Kulturkategorie (Kategorie) mit Referenzen auf die geltende Definition in der landwirtschaftlichen Begriffsverordnung (LBV), wo möglich.</w:t>
            </w:r>
          </w:p>
          <w:tbl>
            <w:tblPr>
              <w:tblStyle w:val="Table"/>
              <w:tblW w:type="pct" w:w="5000"/>
              <w:tblLayout w:type="fixed"/>
              <w:tblLook w:firstRow="1" w:lastRow="0" w:firstColumn="0" w:lastColumn="0" w:noHBand="0" w:noVBand="0" w:val="0020"/>
            </w:tblPr>
            <w:tblGrid>
              <w:gridCol w:w="396"/>
              <w:gridCol w:w="2772"/>
              <w:gridCol w:w="1584"/>
              <w:gridCol w:w="3168"/>
            </w:tblGrid>
            <w:tr>
              <w:trPr>
                <w:tblHeader w:val="on"/>
              </w:trPr>
              <w:tc>
                <w:tcPr/>
                <w:p>
                  <w:pPr>
                    <w:pStyle w:val="Compact"/>
                    <w:jc w:val="left"/>
                    <w:jc w:val="center"/>
                  </w:pPr>
                  <w:r>
                    <w:t xml:space="preserve">N</w:t>
                  </w:r>
                </w:p>
              </w:tc>
              <w:tc>
                <w:tcPr/>
                <w:p>
                  <w:pPr>
                    <w:pStyle w:val="Compact"/>
                    <w:jc w:val="left"/>
                    <w:jc w:val="center"/>
                  </w:pPr>
                  <w:r>
                    <w:t xml:space="preserve">Kategorie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31">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32">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33">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4">
                    <w:r>
                      <w:rPr>
                        <w:rStyle w:val="Hyperlink"/>
                      </w:rPr>
                      <w:t xml:space="preserve">Art. 14 Abs. 1 Bst. e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5">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6"/>
          <w:p/>
        </w:tc>
      </w:tr>
    </w:tbl>
    <w:bookmarkEnd w:id="37"/>
    <w:bookmarkStart w:id="41" w:name="sec-nutrient-balance"/>
    <w:p>
      <w:pPr>
        <w:pStyle w:val="berschrift2"/>
      </w:pPr>
      <w:r>
        <w:t xml:space="preserve">1.3 Nährstoffbilanz</w:t>
      </w:r>
    </w:p>
    <w:p>
      <w:pPr>
        <w:pStyle w:val="FirstParagraph"/>
      </w:pPr>
      <w:r>
        <w:t xml:space="preserve">Um umweltbelastende Nährstoffverluste zu reduzieren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8"/>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nbbs-hierarchy"/>
          <w:p>
            <w:pPr>
              <w:jc w:val="center"/>
            </w:pPr>
            <w:pPr>
              <w:jc w:val="left"/>
              <w:spacing w:before="200"/>
              <w:pStyle w:val="ImageCaption"/>
            </w:pPr>
            <w:r>
              <w:t xml:space="preserve">Tabelle 2: Hierarchische Struktur der Kulturen im Nährstoffbilanz-Berechnungsservice und Anzahl der Elemente (N) je Klasse, Stand Juli 2026.</w:t>
            </w:r>
          </w:p>
          <w:tbl>
            <w:tblPr>
              <w:tblStyle w:val="Table"/>
              <w:tblW w:type="pct" w:w="5000"/>
              <w:tblLayout w:type="fixed"/>
              <w:tblLook w:firstRow="1" w:lastRow="0" w:firstColumn="0" w:lastColumn="0" w:noHBand="0" w:noVBand="0" w:val="0020"/>
            </w:tblPr>
            <w:tblGrid>
              <w:gridCol w:w="396"/>
              <w:gridCol w:w="2376"/>
              <w:gridCol w:w="2772"/>
              <w:gridCol w:w="2376"/>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40"/>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41"/>
    <w:bookmarkStart w:id="46" w:name="sec-plant-protection"/>
    <w:p>
      <w:pPr>
        <w:pStyle w:val="berschrift2"/>
      </w:pPr>
      <w:r>
        <w:t xml:space="preserve">1.4 Pflanzenschutz</w:t>
      </w:r>
    </w:p>
    <w:p>
      <w:pPr>
        <w:pStyle w:val="FirstParagraph"/>
      </w:pPr>
      <w:r>
        <w:t xml:space="preserve">Das</w:t>
      </w:r>
      <w:r>
        <w:t xml:space="preserve"> </w:t>
      </w:r>
      <w:hyperlink r:id="rId42">
        <w:r>
          <w:rPr>
            <w:rStyle w:val="Hyperlink"/>
          </w:rPr>
          <w:t xml:space="preserve">Pflanzenschutzmittelverzeichnis (PSMV)</w:t>
        </w:r>
      </w:hyperlink>
      <w:r>
        <w:t xml:space="preserve"> </w:t>
      </w:r>
      <w:r>
        <w:t xml:space="preserve">ist das offizielle Register des Bundes, das alle in der Schweiz zugelassenen Pflanzenschutzmittel auflistet.</w:t>
      </w:r>
      <w:r>
        <w:t xml:space="preserve"> </w:t>
      </w:r>
      <w:r>
        <w:t xml:space="preserve">Es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hyperlink r:id="rId43">
        <w:r>
          <w:rPr>
            <w:rStyle w:val="Hyperlink"/>
            <w:i/>
            <w:iCs/>
          </w:rPr>
          <w:t xml:space="preserve">European Plant Protection Organization</w:t>
        </w:r>
        <w:r>
          <w:rPr>
            <w:rStyle w:val="Hyperlink"/>
          </w:rPr>
          <w:t xml:space="preserve"> </w:t>
        </w:r>
        <w:r>
          <w:rPr>
            <w:rStyle w:val="Hyperlink"/>
          </w:rPr>
          <w:t xml:space="preserve">(EPPO)</w:t>
        </w:r>
      </w:hyperlink>
      <w:r>
        <w:t xml:space="preserve"> </w:t>
      </w:r>
      <w:r>
        <w:t xml:space="preserve">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44">
        <w:r>
          <w:rPr>
            <w:rStyle w:val="Hyperlink"/>
          </w:rPr>
          <w:t xml:space="preserve">«Ariane C»</w:t>
        </w:r>
      </w:hyperlink>
      <w:r>
        <w:t xml:space="preserve"> </w:t>
      </w:r>
      <w:r>
        <w:t xml:space="preserve">darf gegen «ein- und mehrjährige Dicotyledonen» in «Getreiden» eingesetzt werden.</w:t>
      </w:r>
      <w:r>
        <w:t xml:space="preserve"> </w:t>
      </w:r>
      <w:r>
        <w:t xml:space="preserve">Damit darf es auf alle Kulturen angewendet, welche vom PSMV als Getreide klassifiziert sind.</w:t>
      </w:r>
      <w:r>
        <w:t xml:space="preserve"> </w:t>
      </w:r>
      <w:r>
        <w:t xml:space="preserve">Mais, Buchweizen und Quinoa gehört in diesem System aber explizit nicht zu den Getreiden – in der Systematik des NBBS aber schon.</w:t>
      </w:r>
      <w:r>
        <w:rPr>
          <w:rStyle w:val="FootnoteReference"/>
        </w:rPr>
        <w:footnoteReference w:id="45"/>
      </w:r>
      <w:r>
        <w:t xml:space="preserve"> </w:t>
      </w:r>
      <w:r>
        <w:t xml:space="preserve">Die korrekte Nachbildung dieser Polyhierarchie ist in den Daten folglich essenziell, um Zulassungen maschinell korrekt zu verarbeiten.</w:t>
      </w:r>
    </w:p>
    <w:bookmarkEnd w:id="46"/>
    <w:bookmarkEnd w:id="47"/>
    <w:bookmarkStart w:id="53" w:name="sec-data-model"/>
    <w:p>
      <w:pPr>
        <w:pStyle w:val="berschrift1"/>
      </w:pPr>
      <w:r>
        <w:t xml:space="preserve">2. Datenmodell</w:t>
      </w:r>
    </w:p>
    <w:bookmarkStart w:id="52" w:name="sec-linked-data"/>
    <w:p>
      <w:pPr>
        <w:pStyle w:val="berschrift2"/>
      </w:pPr>
      <w:r>
        <w:t xml:space="preserve">2.1 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uml"/>
          <w:p>
            <w:pPr>
              <w:pStyle w:val="Compact"/>
              <w:jc w:val="center"/>
            </w:pPr>
            <w:r>
              <w:drawing>
                <wp:inline>
                  <wp:extent cx="6299200" cy="1703881"/>
                  <wp:effectExtent b="0" l="0" r="0" t="0"/>
                  <wp:docPr descr="" title="" id="49" name="Picture"/>
                  <a:graphic>
                    <a:graphicData uri="http://schemas.openxmlformats.org/drawingml/2006/picture">
                      <pic:pic>
                        <pic:nvPicPr>
                          <pic:cNvPr descr="../assets/img/uml.png" id="50" name="Picture"/>
                          <pic:cNvPicPr>
                            <a:picLocks noChangeArrowheads="1" noChangeAspect="1"/>
                          </pic:cNvPicPr>
                        </pic:nvPicPr>
                        <pic:blipFill>
                          <a:blip r:embed="rId48"/>
                          <a:stretch>
                            <a:fillRect/>
                          </a:stretch>
                        </pic:blipFill>
                        <pic:spPr bwMode="auto">
                          <a:xfrm>
                            <a:off x="0" y="0"/>
                            <a:ext cx="6299200" cy="170388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UML-Diagramm des Datenmodells von eCH-0265. Dieses Diagramm wurde automatisch mithilfe von SHACL PLAY!</w:t>
            </w:r>
            <w:r>
              <w:t xml:space="preserve"> </w:t>
            </w:r>
            <w:r>
              <w:t xml:space="preserve">(</w:t>
            </w:r>
            <w:hyperlink w:anchor="ref-francart2020shacl">
              <w:r>
                <w:rPr>
                  <w:rStyle w:val="Hyperlink"/>
                </w:rPr>
                <w:t xml:space="preserve">Francart 2020</w:t>
              </w:r>
            </w:hyperlink>
            <w:r>
              <w:t xml:space="preserve">)</w:t>
            </w:r>
            <w:r>
              <w:t xml:space="preserve"> </w:t>
            </w:r>
            <w:r>
              <w:t xml:space="preserve">aus den SHACL-Spezifikationen generiert.</w:t>
            </w:r>
          </w:p>
          <w:bookmarkEnd w:id="51"/>
        </w:tc>
      </w:tr>
    </w:tbl>
    <w:p>
      <w:pPr>
        <w:pStyle w:val="Textkrper"/>
      </w:pPr>
      <w:hyperlink w:anchor="fig-uml">
        <w:r>
          <w:rPr>
            <w:rStyle w:val="Hyperlink"/>
          </w:rPr>
          <w:t xml:space="preserve">Abbildung 1</w:t>
        </w:r>
      </w:hyperlink>
      <w:r>
        <w:t xml:space="preserve"> </w:t>
      </w:r>
      <w:r>
        <w:t xml:space="preserve">veranschaulicht die grundlegende Architektur des semantischen Modells: Im Zentrum steht eine generische Referenzklasse (</w:t>
      </w:r>
      <w:r>
        <w:rPr>
          <w:rStyle w:val="VerbatimChar"/>
        </w:rPr>
        <w:t xml:space="preserve">eCH-0265:CultivationType</w:t>
      </w:r>
      <w:r>
        <w:t xml:space="preserve">).</w:t>
      </w:r>
      <w:r>
        <w:t xml:space="preserve"> </w:t>
      </w:r>
      <w:r>
        <w:t xml:space="preserve">Die Kulturhierarchien der drei verschiedenen Bereiche (Direktzahlungen, Nährstoffbilanz und Pflanzenschutz) sind jeweils als SKOS-Konzeptschema modelliert.</w:t>
      </w:r>
      <w:r>
        <w:t xml:space="preserve"> </w:t>
      </w:r>
      <w:r>
        <w:t xml:space="preserve">Jede Kultur kann dabei auf die zentrale Referenzklasse</w:t>
      </w:r>
      <w:r>
        <w:t xml:space="preserve"> </w:t>
      </w:r>
      <w:r>
        <w:t xml:space="preserve">“zeigen”</w:t>
      </w:r>
      <w:r>
        <w:t xml:space="preserve">.</w:t>
      </w:r>
      <w:r>
        <w:t xml:space="preserve"> </w:t>
      </w:r>
      <w:r>
        <w:t xml:space="preserve">Dieser modulare Aufbau erlaubt es, die historisch gewachsenen, in sich geschlossenen Kategoriensysteme unter Beibehaltung ihrer spezifischen fachlichen und rechtlichen Eigenschaften in einem gemeinsamen Graphen abzubilden und trotzdem miteinander zu verknüpfen.</w:t>
      </w:r>
    </w:p>
    <w:bookmarkEnd w:id="52"/>
    <w:bookmarkEnd w:id="53"/>
    <w:bookmarkStart w:id="71" w:name="sec-classes"/>
    <w:p>
      <w:pPr>
        <w:pStyle w:val="berschrift1"/>
      </w:pPr>
      <w:r>
        <w:t xml:space="preserve">3. Klassen</w:t>
      </w:r>
    </w:p>
    <w:bookmarkStart w:id="55" w:name="sec-nodeshape-nutrientbalancecrop"/>
    <w:p>
      <w:pPr>
        <w:pStyle w:val="berschrift2"/>
      </w:pPr>
      <w:r>
        <w:t xml:space="preserve">3.1 Agronomische Kulturkategorie</w:t>
      </w:r>
    </w:p>
    <w:p>
      <w:pPr>
        <w:pStyle w:val="FirstParagraph"/>
      </w:pPr>
      <w:r>
        <w:t xml:space="preserve">Unterste Hierarchieebene, welche die eigentlichen Kulturen mit spezifischen agronomischen Eigenschaften für die Suisse-Bilanz beinhaltet.</w:t>
      </w:r>
    </w:p>
    <w:tbl>
      <w:tblPr>
        <w:tblStyle w:val="Table"/>
        <w:tblW w:type="pct" w:w="5000"/>
        <w:tblLayout w:type="fixed"/>
        <w:tblLook w:firstRow="0" w:lastRow="0" w:firstColumn="0" w:lastColumn="0" w:noHBand="0" w:noVBand="0" w:val="0000"/>
      </w:tblPr>
      <w:tblGrid>
        <w:gridCol w:w="7920"/>
      </w:tblGrid>
      <w:tr>
        <w:tc>
          <w:tcPr/>
          <w:bookmarkStart w:id="54" w:name="tbl-nodeshape-nutrientbalancecrop"/>
          <w:p>
            <w:pPr>
              <w:jc w:val="center"/>
            </w:pPr>
            <w:pPr>
              <w:jc w:val="left"/>
              <w:spacing w:before="200"/>
              <w:pStyle w:val="ImageCaption"/>
            </w:pPr>
            <w:r>
              <w:t xml:space="preserve">Tabelle 3: Eigenschaften Agronomische Kulturkategorie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Unterkategorie</w:t>
                  </w:r>
                </w:p>
              </w:tc>
              <w:tc>
                <w:tcPr/>
                <w:p>
                  <w:pPr>
                    <w:pStyle w:val="Compact"/>
                    <w:jc w:val="left"/>
                    <w:jc w:val="center"/>
                  </w:pPr>
                  <w:r>
                    <w:rPr>
                      <w:rStyle w:val="VerbatimChar"/>
                    </w:rPr>
                    <w:t xml:space="preserve">eCH-0265:cultivationSubCategory</w:t>
                  </w:r>
                </w:p>
              </w:tc>
              <w:tc>
                <w:tcPr/>
                <w:p>
                  <w:pPr>
                    <w:pStyle w:val="Compact"/>
                    <w:jc w:val="left"/>
                    <w:jc w:val="center"/>
                  </w:pPr>
                  <w:hyperlink w:anchor="X318f3d654350c04a3b29f639c18fafc8bac97f3">
                    <w:r>
                      <w:rPr>
                        <w:rStyle w:val="VerbatimChar"/>
                      </w:rPr>
                      <w:t xml:space="preserve">eCH-0265:NutrientBalanceCropSubCategory</w:t>
                    </w:r>
                  </w:hyperlink>
                </w:p>
              </w:tc>
              <w:tc>
                <w:tcPr/>
                <w:p>
                  <w:pPr>
                    <w:pStyle w:val="Compact"/>
                    <w:jc w:val="right"/>
                    <w:jc w:val="center"/>
                  </w:pPr>
                  <w:r>
                    <w:t xml:space="preserve">1..1</w:t>
                  </w:r>
                </w:p>
              </w:tc>
            </w:tr>
            <w:tr>
              <w:tc>
                <w:tcPr/>
                <w:p>
                  <w:pPr>
                    <w:pStyle w:val="Compact"/>
                    <w:jc w:val="left"/>
                    <w:jc w:val="center"/>
                  </w:pPr>
                  <w:r>
                    <w:rPr>
                      <w:b/>
                      <w:bCs/>
                    </w:rPr>
                    <w:t xml:space="preserve">Kategorie</w:t>
                  </w:r>
                </w:p>
              </w:tc>
              <w:tc>
                <w:tcPr/>
                <w:p>
                  <w:pPr>
                    <w:pStyle w:val="Compact"/>
                    <w:jc w:val="left"/>
                    <w:jc w:val="center"/>
                  </w:pPr>
                  <w:r>
                    <w:rPr>
                      <w:rStyle w:val="VerbatimChar"/>
                    </w:rPr>
                    <w:t xml:space="preserve">eCH-0265:cultivationCategory</w:t>
                  </w:r>
                </w:p>
              </w:tc>
              <w:tc>
                <w:tcPr/>
                <w:p>
                  <w:pPr>
                    <w:pStyle w:val="Compact"/>
                    <w:jc w:val="left"/>
                    <w:jc w:val="center"/>
                  </w:pPr>
                  <w:hyperlink w:anchor="Xb583bbcab91a77c05f48f6e7709fef2fa37530a">
                    <w:r>
                      <w:rPr>
                        <w:rStyle w:val="VerbatimChar"/>
                      </w:rPr>
                      <w:t xml:space="preserve">eCH-0265:NutrientBalanceCropCategory</w:t>
                    </w:r>
                  </w:hyperlink>
                </w:p>
              </w:tc>
              <w:tc>
                <w:tcPr/>
                <w:p>
                  <w:pPr>
                    <w:pStyle w:val="Compact"/>
                    <w:jc w:val="right"/>
                    <w:jc w:val="center"/>
                  </w:pPr>
                  <w:r>
                    <w:t xml:space="preserve">1..1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4"/>
          <w:p/>
        </w:tc>
      </w:tr>
    </w:tbl>
    <w:bookmarkEnd w:id="55"/>
    <w:bookmarkStart w:id="57" w:name="sec-nodeshape-directpaymentcrop"/>
    <w:p>
      <w:pPr>
        <w:pStyle w:val="berschrift2"/>
      </w:pPr>
      <w:r>
        <w:t xml:space="preserve">3.2 Direktzahlungskultur</w:t>
      </w:r>
    </w:p>
    <w:p>
      <w:pPr>
        <w:pStyle w:val="FirstParagraph"/>
      </w:pPr>
      <w:r>
        <w:t xml:space="preserve">Beschreibt eine Liste der «Kulturen», die gemäss Direktzahlungsverordnung (DZV) im Bereich Landwirtschaft relevant sind. Diese «Kulturen» werden für den Direktzahlungsvollzug verwendet. Sie entsprechen den Hauptkulturen.</w:t>
      </w:r>
    </w:p>
    <w:tbl>
      <w:tblPr>
        <w:tblStyle w:val="Table"/>
        <w:tblW w:type="pct" w:w="5000"/>
        <w:tblLayout w:type="fixed"/>
        <w:tblLook w:firstRow="0" w:lastRow="0" w:firstColumn="0" w:lastColumn="0" w:noHBand="0" w:noVBand="0" w:val="0000"/>
      </w:tblPr>
      <w:tblGrid>
        <w:gridCol w:w="7920"/>
      </w:tblGrid>
      <w:tr>
        <w:tc>
          <w:tcPr/>
          <w:bookmarkStart w:id="56" w:name="tbl-nodeshape-directpaymentcrop"/>
          <w:p>
            <w:pPr>
              <w:jc w:val="center"/>
            </w:pPr>
            <w:pPr>
              <w:jc w:val="left"/>
              <w:spacing w:before="200"/>
              <w:pStyle w:val="ImageCaption"/>
            </w:pPr>
            <w:r>
              <w:t xml:space="preserve">Tabelle 4: Eigenschaften Direktzahlungskultur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skos:broader</w:t>
                  </w:r>
                </w:p>
              </w:tc>
              <w:tc>
                <w:tcPr/>
                <w:p>
                  <w:pPr>
                    <w:pStyle w:val="Compact"/>
                    <w:jc w:val="left"/>
                    <w:jc w:val="center"/>
                  </w:pPr>
                  <w:hyperlink w:anchor="sec-nodeshape-directpaymentareacategory">
                    <w:r>
                      <w:rPr>
                        <w:rStyle w:val="VerbatimChar"/>
                      </w:rPr>
                      <w:t xml:space="preserve">eCH-0265:DirectPaymentAreaCategory</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Die offizielle Bezeichnung dieser Direktzahlungskultur, abgeglichen mit der Landwirtschaftlichen Begriffsverordnung (LBV).</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6"/>
          <w:p/>
        </w:tc>
      </w:tr>
    </w:tbl>
    <w:bookmarkEnd w:id="57"/>
    <w:bookmarkStart w:id="59" w:name="sec-nodeshape-directpaymentareacategory"/>
    <w:p>
      <w:pPr>
        <w:pStyle w:val="berschrift2"/>
      </w:pPr>
      <w:r>
        <w:t xml:space="preserve">3.3 Flächenkategorie Direktzahlung</w:t>
      </w:r>
    </w:p>
    <w:tbl>
      <w:tblPr>
        <w:tblStyle w:val="Table"/>
        <w:tblW w:type="pct" w:w="5000"/>
        <w:tblLayout w:type="fixed"/>
        <w:tblLook w:firstRow="0" w:lastRow="0" w:firstColumn="0" w:lastColumn="0" w:noHBand="0" w:noVBand="0" w:val="0000"/>
      </w:tblPr>
      <w:tblGrid>
        <w:gridCol w:w="7920"/>
      </w:tblGrid>
      <w:tr>
        <w:tc>
          <w:tcPr/>
          <w:bookmarkStart w:id="58" w:name="tbl-nodeshape-directpaymentareacategory"/>
          <w:p>
            <w:pPr>
              <w:jc w:val="center"/>
            </w:pPr>
            <w:pPr>
              <w:jc w:val="left"/>
              <w:spacing w:before="200"/>
              <w:pStyle w:val="ImageCaption"/>
            </w:pPr>
            <w:r>
              <w:t xml:space="preserve">Tabelle 5: Eigenschaften Flächenkategorie Direktzahlung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pP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58"/>
          <w:p/>
        </w:tc>
      </w:tr>
    </w:tbl>
    <w:bookmarkEnd w:id="59"/>
    <w:bookmarkStart w:id="63" w:name="sec-nodeshape-cultivationtype"/>
    <w:p>
      <w:pPr>
        <w:pStyle w:val="berschrift2"/>
      </w:pPr>
      <w:r>
        <w:t xml:space="preserve">3.4 Nutzungstyp</w:t>
      </w:r>
    </w:p>
    <w:p>
      <w:pPr>
        <w:pStyle w:val="FirstParagraph"/>
      </w:pPr>
      <w:r>
        <w:t xml:space="preserve">Die Kernklasse für die Klassifikation von «Kulturen», bzw. Landnutzungen. Eine (teilweise) Übersetzung anderer Kulturarten ist über die mit dieser Klasse modellierte Hierarchie möglich. Für die allgemeine Hierarchiemodellierung wird das</w:t>
      </w:r>
      <w:r>
        <w:t xml:space="preserve"> </w:t>
      </w:r>
      <w:hyperlink r:id="rId60">
        <w:r>
          <w:rPr>
            <w:rStyle w:val="Hyperlink"/>
            <w:i/>
            <w:iCs/>
          </w:rPr>
          <w:t xml:space="preserve">RDF-Schema</w:t>
        </w:r>
        <w:r>
          <w:rPr>
            <w:rStyle w:val="Hyperlink"/>
          </w:rPr>
          <w:t xml:space="preserve"> </w:t>
        </w:r>
        <w:r>
          <w:rPr>
            <w:rStyle w:val="Hyperlink"/>
          </w:rPr>
          <w:t xml:space="preserve">(RDFS)</w:t>
        </w:r>
      </w:hyperlink>
      <w:r>
        <w:t xml:space="preserve"> </w:t>
      </w:r>
      <w:r>
        <w:t xml:space="preserve">sowie die</w:t>
      </w:r>
      <w:r>
        <w:t xml:space="preserve"> </w:t>
      </w:r>
      <w:hyperlink r:id="rId61">
        <w:r>
          <w:rPr>
            <w:rStyle w:val="Hyperlink"/>
            <w:i/>
            <w:iCs/>
          </w:rPr>
          <w:t xml:space="preserve">Web Ontology Language</w:t>
        </w:r>
        <w:r>
          <w:rPr>
            <w:rStyle w:val="Hyperlink"/>
          </w:rPr>
          <w:t xml:space="preserve"> </w:t>
        </w:r>
        <w:r>
          <w:rPr>
            <w:rStyle w:val="Hyperlink"/>
          </w:rPr>
          <w:t xml:space="preserve">(OWL)</w:t>
        </w:r>
      </w:hyperlink>
      <w:r>
        <w:t xml:space="preserve"> </w:t>
      </w:r>
      <w:r>
        <w:t xml:space="preserve">verwendet.</w:t>
      </w:r>
    </w:p>
    <w:tbl>
      <w:tblPr>
        <w:tblStyle w:val="Table"/>
        <w:tblW w:type="pct" w:w="5000"/>
        <w:tblLayout w:type="fixed"/>
        <w:tblLook w:firstRow="0" w:lastRow="0" w:firstColumn="0" w:lastColumn="0" w:noHBand="0" w:noVBand="0" w:val="0000"/>
      </w:tblPr>
      <w:tblGrid>
        <w:gridCol w:w="7920"/>
      </w:tblGrid>
      <w:tr>
        <w:tc>
          <w:tcPr/>
          <w:bookmarkStart w:id="62" w:name="tbl-nodeshape-cultivationtype"/>
          <w:p>
            <w:pPr>
              <w:jc w:val="center"/>
            </w:pPr>
            <w:pPr>
              <w:jc w:val="left"/>
              <w:spacing w:before="200"/>
              <w:pStyle w:val="ImageCaption"/>
            </w:pPr>
            <w:r>
              <w:t xml:space="preserve">Tabelle 6: Eigenschaften Nutzungstyp</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Name</w:t>
                  </w:r>
                  <w:r>
                    <w:t xml:space="preserve">: Der Name der Kultur ist in genau vier Sprachen (de, fr, it, en) erfasst und beginnt jeweils mit einem Grossbuchstaben. Der Name bleibt eine möglichst schlanke Gattungsbezeichnung und ist ohne Klammern und Kommas geschrieben. Synonyme gehören in schema:alternateName und Spezifizierungen sowie Beispiellisten in schema:description.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4..*</w:t>
                  </w:r>
                </w:p>
              </w:tc>
            </w:tr>
            <w:tr>
              <w:tc>
                <w:tcPr/>
                <w:p>
                  <w:pPr>
                    <w:pStyle w:val="Compact"/>
                    <w:jc w:val="left"/>
                    <w:jc w:val="center"/>
                  </w:pPr>
                  <w:r>
                    <w:rPr>
                      <w:b/>
                      <w:bCs/>
                    </w:rPr>
                    <w:t xml:space="preserve">Alias</w:t>
                  </w: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Übergeordneter Nutzungstyp</w:t>
                  </w:r>
                </w:p>
              </w:tc>
              <w:tc>
                <w:tcPr/>
                <w:p>
                  <w:pPr>
                    <w:pStyle w:val="Compact"/>
                    <w:jc w:val="left"/>
                    <w:jc w:val="center"/>
                  </w:pPr>
                  <w:r>
                    <w:rPr>
                      <w:rStyle w:val="VerbatimChar"/>
                    </w:rPr>
                    <w:t xml:space="preserve">rdfs:subClassOf</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owl:Class</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odeshape-cultivationtype">
                    <w:r>
                      <w:rPr>
                        <w:rStyle w:val="VerbatimChar"/>
                      </w:rPr>
                      <w:t xml:space="preserve">eCH-0265:CultivationType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62"/>
          <w:p/>
        </w:tc>
      </w:tr>
    </w:tbl>
    <w:bookmarkEnd w:id="63"/>
    <w:bookmarkStart w:id="65" w:name="Xb583bbcab91a77c05f48f6e7709fef2fa37530a"/>
    <w:p>
      <w:pPr>
        <w:pStyle w:val="berschrift2"/>
      </w:pPr>
      <w:r>
        <w:t xml:space="preserve">3.5 Nährstoffbilanz-Kultivierungskategorie</w:t>
      </w:r>
    </w:p>
    <w:p>
      <w:pPr>
        <w:pStyle w:val="FirstParagraph"/>
      </w:pPr>
      <w:r>
        <w:t xml:space="preserve">Oberste Hierarchieebene der Kulturen im Nährstoffbilanz-Berechnungsservice, dient der reinen Strukturierung.</w:t>
      </w:r>
    </w:p>
    <w:tbl>
      <w:tblPr>
        <w:tblStyle w:val="Table"/>
        <w:tblW w:type="pct" w:w="5000"/>
        <w:tblLayout w:type="fixed"/>
        <w:tblLook w:firstRow="0" w:lastRow="0" w:firstColumn="0" w:lastColumn="0" w:noHBand="0" w:noVBand="0" w:val="0000"/>
      </w:tblPr>
      <w:tblGrid>
        <w:gridCol w:w="7920"/>
      </w:tblGrid>
      <w:tr>
        <w:tc>
          <w:tcPr/>
          <w:bookmarkStart w:id="64" w:name="X9721563c21b877d99a8fda7cad756ff14e98198"/>
          <w:p>
            <w:pPr>
              <w:jc w:val="center"/>
            </w:pPr>
            <w:pPr>
              <w:jc w:val="left"/>
              <w:spacing w:before="200"/>
              <w:pStyle w:val="ImageCaption"/>
            </w:pPr>
            <w:r>
              <w:t xml:space="preserve">Tabelle 7: Eigenschaften Nährstoffbilanz-Kultivierungskategorie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Oberstes Konzept von</w:t>
                  </w:r>
                </w:p>
              </w:tc>
              <w:tc>
                <w:tcPr/>
                <w:p>
                  <w:pPr>
                    <w:pStyle w:val="Compact"/>
                    <w:jc w:val="left"/>
                    <w:jc w:val="center"/>
                  </w:pPr>
                  <w:r>
                    <w:rPr>
                      <w:rStyle w:val="VerbatimChar"/>
                    </w:rPr>
                    <w:t xml:space="preserve">skos:topConceptOf</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4"/>
          <w:p/>
        </w:tc>
      </w:tr>
    </w:tbl>
    <w:bookmarkEnd w:id="65"/>
    <w:bookmarkStart w:id="67" w:name="X318f3d654350c04a3b29f639c18fafc8bac97f3"/>
    <w:p>
      <w:pPr>
        <w:pStyle w:val="berschrift2"/>
      </w:pPr>
      <w:r>
        <w:t xml:space="preserve">3.6 Nährstoffbilanz-Kultivierungsunterkategorie</w:t>
      </w:r>
    </w:p>
    <w:p>
      <w:pPr>
        <w:pStyle w:val="FirstParagraph"/>
      </w:pPr>
      <w:r>
        <w:t xml:space="preserve">Mittlere Hierarchieebene der Kulturen im Nährstoffbilanz-Berechnungsservice.</w:t>
      </w:r>
    </w:p>
    <w:tbl>
      <w:tblPr>
        <w:tblStyle w:val="Table"/>
        <w:tblW w:type="pct" w:w="5000"/>
        <w:tblLayout w:type="fixed"/>
        <w:tblLook w:firstRow="0" w:lastRow="0" w:firstColumn="0" w:lastColumn="0" w:noHBand="0" w:noVBand="0" w:val="0000"/>
      </w:tblPr>
      <w:tblGrid>
        <w:gridCol w:w="7920"/>
      </w:tblGrid>
      <w:tr>
        <w:tc>
          <w:tcPr/>
          <w:bookmarkStart w:id="66" w:name="X3dab50c73df4e4cfdc91672bef2b4c19dc306eb"/>
          <w:p>
            <w:pPr>
              <w:jc w:val="center"/>
            </w:pPr>
            <w:pPr>
              <w:jc w:val="left"/>
              <w:spacing w:before="200"/>
              <w:pStyle w:val="ImageCaption"/>
            </w:pPr>
            <w:r>
              <w:t xml:space="preserve">Tabelle 8: Eigenschaften Nährstoffbilanz-Kultivierungsunterkategorie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6"/>
          <w:p/>
        </w:tc>
      </w:tr>
    </w:tbl>
    <w:bookmarkEnd w:id="67"/>
    <w:bookmarkStart w:id="70" w:name="sec-nodeshape-plantprotectioncrop"/>
    <w:p>
      <w:pPr>
        <w:pStyle w:val="berschrift2"/>
      </w:pPr>
      <w:r>
        <w:t xml:space="preserve">3.7 Pflanzenschutzmittel-Kultur</w:t>
      </w:r>
    </w:p>
    <w:p>
      <w:pPr>
        <w:pStyle w:val="FirstParagraph"/>
      </w:pPr>
      <w:r>
        <w:t xml:space="preserve">Kultur, wie sie im</w:t>
      </w:r>
      <w:r>
        <w:t xml:space="preserve"> </w:t>
      </w:r>
      <w:hyperlink r:id="rId68">
        <w:r>
          <w:rPr>
            <w:rStyle w:val="Hyperlink"/>
          </w:rPr>
          <w:t xml:space="preserve">Pflanzenschutzmittelverzeichnis</w:t>
        </w:r>
      </w:hyperlink>
      <w:r>
        <w:t xml:space="preserve"> </w:t>
      </w:r>
      <w:r>
        <w:t xml:space="preserve">modelliert ist. Diese Kulturen sind über die Attribute</w:t>
      </w:r>
      <w:r>
        <w:t xml:space="preserve"> </w:t>
      </w:r>
      <w:r>
        <w:rPr>
          <w:rStyle w:val="VerbatimChar"/>
        </w:rPr>
        <w:t xml:space="preserve">schema:isPartOf</w:t>
      </w:r>
      <w:r>
        <w:t xml:space="preserve"> </w:t>
      </w:r>
      <w:r>
        <w:t xml:space="preserve">sowie</w:t>
      </w:r>
      <w:r>
        <w:t xml:space="preserve"> </w:t>
      </w:r>
      <w:r>
        <w:rPr>
          <w:rStyle w:val="VerbatimChar"/>
        </w:rPr>
        <w:t xml:space="preserve">schema:hasPart</w:t>
      </w:r>
      <w:r>
        <w:t xml:space="preserve"> </w:t>
      </w:r>
      <w:r>
        <w:t xml:space="preserve">hierarchisch organisiert.</w:t>
      </w:r>
    </w:p>
    <w:tbl>
      <w:tblPr>
        <w:tblStyle w:val="Table"/>
        <w:tblW w:type="pct" w:w="5000"/>
        <w:tblLayout w:type="fixed"/>
        <w:tblLook w:firstRow="0" w:lastRow="0" w:firstColumn="0" w:lastColumn="0" w:noHBand="0" w:noVBand="0" w:val="0000"/>
      </w:tblPr>
      <w:tblGrid>
        <w:gridCol w:w="7920"/>
      </w:tblGrid>
      <w:tr>
        <w:tc>
          <w:tcPr/>
          <w:bookmarkStart w:id="69" w:name="tbl-nodeshape-plantprotectioncrop"/>
          <w:p>
            <w:pPr>
              <w:jc w:val="center"/>
            </w:pPr>
            <w:pPr>
              <w:jc w:val="left"/>
              <w:spacing w:before="200"/>
              <w:pStyle w:val="ImageCaption"/>
            </w:pPr>
            <w:r>
              <w:t xml:space="preserve">Tabelle 9: Eigenschaften Pflanzenschutzmittel-Kultur</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Konzeptschema</w:t>
                  </w:r>
                </w:p>
              </w:tc>
              <w:tc>
                <w:tcPr/>
                <w:p>
                  <w:pPr>
                    <w:pStyle w:val="Compact"/>
                    <w:jc w:val="left"/>
                    <w:jc w:val="center"/>
                  </w:pPr>
                  <w:r>
                    <w:rPr>
                      <w:rStyle w:val="VerbatimChar"/>
                    </w:rPr>
                    <w:t xml:space="preserve">skos:inScheme</w:t>
                  </w:r>
                </w:p>
              </w:tc>
              <w:tc>
                <w:tcPr/>
                <w:p>
                  <w:pPr>
                    <w:pStyle w:val="Compact"/>
                    <w:jc w:val="left"/>
                    <w:jc w:val="center"/>
                  </w:pP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skos:broader</w:t>
                  </w:r>
                </w:p>
              </w:tc>
              <w:tc>
                <w:tcPr/>
                <w:p>
                  <w:pPr>
                    <w:pStyle w:val="Compact"/>
                    <w:jc w:val="left"/>
                    <w:jc w:val="center"/>
                  </w:pPr>
                  <w:r>
                    <w:rPr>
                      <w:rStyle w:val="VerbatimChar"/>
                    </w:rPr>
                    <w:t xml:space="preserve">skos:Concept</w:t>
                  </w:r>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Kultivierungstyp</w:t>
                  </w:r>
                  <w:r>
                    <w:t xml:space="preserve">: Der dieser bereichsspezifischen Kultur korrespondierende Kultivierungstyp in der Kulturenontologie.</w:t>
                  </w:r>
                </w:p>
              </w:tc>
              <w:tc>
                <w:tcPr/>
                <w:p>
                  <w:pPr>
                    <w:pStyle w:val="Compact"/>
                    <w:jc w:val="left"/>
                    <w:jc w:val="center"/>
                  </w:pPr>
                  <w:r>
                    <w:rPr>
                      <w:rStyle w:val="VerbatimChar"/>
                    </w:rPr>
                    <w:t xml:space="preserve">eCH-0265:exactMatch</w:t>
                  </w:r>
                </w:p>
              </w:tc>
              <w:tc>
                <w:tcPr/>
                <w:p>
                  <w:pPr>
                    <w:pStyle w:val="Compact"/>
                    <w:jc w:val="left"/>
                    <w:jc w:val="center"/>
                  </w:pPr>
                  <w:hyperlink w:anchor="sec-nodeshape-cultivationtype">
                    <w:r>
                      <w:rPr>
                        <w:rStyle w:val="VerbatimChar"/>
                      </w:rPr>
                      <w:t xml:space="preserve">eCH-0265:CultivationType</w:t>
                    </w:r>
                  </w:hyperlink>
                </w:p>
              </w:tc>
              <w:tc>
                <w:tcPr/>
                <w:p>
                  <w:pPr>
                    <w:pStyle w:val="Compact"/>
                    <w:jc w:val="right"/>
                    <w:jc w:val="center"/>
                  </w:pPr>
                  <w:r>
                    <w:t xml:space="preserve">0..1</w:t>
                  </w:r>
                </w:p>
              </w:tc>
            </w:tr>
          </w:tbl>
          <w:bookmarkEnd w:id="69"/>
          <w:p/>
        </w:tc>
      </w:tr>
    </w:tbl>
    <w:bookmarkEnd w:id="70"/>
    <w:bookmarkEnd w:id="71"/>
    <w:bookmarkStart w:id="84" w:name="sec-data-retrieval"/>
    <w:p>
      <w:pPr>
        <w:pStyle w:val="berschrift1"/>
      </w:pPr>
      <w:r>
        <w:t xml:space="preserve">4. Instruktionen zur Datenintegration</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w:t>
      </w:r>
      <w:r>
        <w:t xml:space="preserve"> </w:t>
      </w:r>
      <w:hyperlink r:id="rId72">
        <w:r>
          <w:rPr>
            <w:rStyle w:val="Hyperlink"/>
          </w:rPr>
          <w:t xml:space="preserve">Resource Description Framework (RDF)</w:t>
        </w:r>
      </w:hyperlink>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73">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bookmarkStart w:id="77" w:name="sec-lindas-data-integration"/>
    <w:p>
      <w:pPr>
        <w:pStyle w:val="berschrift2"/>
      </w:pPr>
      <w:r>
        <w:t xml:space="preserve">4.1 Bezug der Stammdaten über LINDAS</w:t>
      </w:r>
    </w:p>
    <w:p>
      <w:pPr>
        <w:pStyle w:val="FirstParagraph"/>
      </w:pPr>
      <w:r>
        <w:t xml:space="preserve">Die Kulturenstammdaten können als Linked Data mittels der Abfragesprache</w:t>
      </w:r>
      <w:r>
        <w:t xml:space="preserve"> </w:t>
      </w:r>
      <w:hyperlink r:id="rId74">
        <w:r>
          <w:rPr>
            <w:rStyle w:val="Hyperlink"/>
          </w:rPr>
          <w:t xml:space="preserve">SPARQL 1.1 Query Language</w:t>
        </w:r>
      </w:hyperlink>
      <w:r>
        <w:t xml:space="preserve"> </w:t>
      </w:r>
      <w:r>
        <w:t xml:space="preserve">direkt aus dem LINDAS-Triplestore bezogen werden.</w:t>
      </w:r>
      <w:r>
        <w:t xml:space="preserve"> </w:t>
      </w:r>
      <w:r>
        <w:t xml:space="preserve">Das nachfolgende generische Beispiel zeigt eine einfache Abfrage, welche sämtliche Nutzungstypen mit deren deutschem Namen zurückgibt:</w:t>
      </w:r>
    </w:p>
    <w:p>
      <w:pPr>
        <w:pStyle w:val="SourceCode"/>
      </w:pPr>
      <w:r>
        <w:rPr>
          <w:rStyle w:val="VerbatimChar"/>
        </w:rPr>
        <w:t xml:space="preserve"># Table of all cultivation types and their German name</w:t>
      </w:r>
      <w:r>
        <w:br/>
      </w:r>
      <w:r>
        <w:rPr>
          <w:rStyle w:val="VerbatimChar"/>
        </w:rPr>
        <w:t xml:space="preserve">PREFIX eCH-0265: &lt;https://agriculture.ld.admin.ch/eCH-0265/2/&gt;</w:t>
      </w:r>
      <w:r>
        <w:br/>
      </w:r>
      <w:r>
        <w:rPr>
          <w:rStyle w:val="VerbatimChar"/>
        </w:rPr>
        <w:t xml:space="preserve">PREFIX schema: &lt;http://schema.org/&gt;</w:t>
      </w:r>
      <w:r>
        <w:br/>
      </w:r>
      <w:r>
        <w:br/>
      </w:r>
      <w:r>
        <w:rPr>
          <w:rStyle w:val="VerbatimChar"/>
        </w:rPr>
        <w:t xml:space="preserve">SELECT *</w:t>
      </w:r>
      <w:r>
        <w:br/>
      </w:r>
      <w:r>
        <w:rPr>
          <w:rStyle w:val="VerbatimChar"/>
        </w:rPr>
        <w:t xml:space="preserve">FROM &lt;https://lindas.admin.ch/foag/ech/0265/2&gt;</w:t>
      </w:r>
      <w:r>
        <w:br/>
      </w:r>
      <w:r>
        <w:rPr>
          <w:rStyle w:val="VerbatimChar"/>
        </w:rPr>
        <w:t xml:space="preserve">WHERE {</w:t>
      </w:r>
      <w:r>
        <w:br/>
      </w:r>
      <w:r>
        <w:rPr>
          <w:rStyle w:val="VerbatimChar"/>
        </w:rPr>
        <w:t xml:space="preserve">  ?crop a eCH-0265:CultivationType ;</w:t>
      </w:r>
      <w:r>
        <w:br/>
      </w:r>
      <w:r>
        <w:rPr>
          <w:rStyle w:val="VerbatimChar"/>
        </w:rPr>
        <w:t xml:space="preserve">    schema:name ?name .</w:t>
      </w:r>
      <w:r>
        <w:br/>
      </w:r>
      <w:r>
        <w:rPr>
          <w:rStyle w:val="VerbatimChar"/>
        </w:rPr>
        <w:t xml:space="preserve">  FILTER(LANG(?name) = "de")</w:t>
      </w:r>
      <w:r>
        <w:br/>
      </w:r>
      <w:r>
        <w:rPr>
          <w:rStyle w:val="VerbatimChar"/>
        </w:rPr>
        <w:t xml:space="preserve">}</w:t>
      </w:r>
      <w:r>
        <w:br/>
      </w:r>
      <w:r>
        <w:rPr>
          <w:rStyle w:val="VerbatimChar"/>
        </w:rPr>
        <w:t xml:space="preserve">ORDER BY ?name</w:t>
      </w:r>
    </w:p>
    <w:p>
      <w:pPr>
        <w:pStyle w:val="FirstParagraph"/>
      </w:pPr>
      <w:r>
        <w:t xml:space="preserve">Auf</w:t>
      </w:r>
      <w:r>
        <w:t xml:space="preserve"> </w:t>
      </w:r>
      <w:hyperlink r:id="rId75">
        <w:r>
          <w:rPr>
            <w:rStyle w:val="Hyperlink"/>
          </w:rPr>
          <w:t xml:space="preserve">https://lindas.admin.ch/sparql/</w:t>
        </w:r>
      </w:hyperlink>
      <w:r>
        <w:t xml:space="preserve"> </w:t>
      </w:r>
      <w:r>
        <w:t xml:space="preserve">können solche Abfragen manuell über eine graphische Benutzeroberfläche ausgeführt werden.</w:t>
      </w:r>
    </w:p>
    <w:p>
      <w:pPr>
        <w:pStyle w:val="Textkrper"/>
      </w:pPr>
      <w:r>
        <w:t xml:space="preserve">Weitere praxisnahe Abfragebeispiele stehen im</w:t>
      </w:r>
      <w:r>
        <w:t xml:space="preserve"> </w:t>
      </w:r>
      <w:hyperlink r:id="rId76">
        <w:r>
          <w:rPr>
            <w:rStyle w:val="Hyperlink"/>
          </w:rPr>
          <w:t xml:space="preserve">GitHub Repository unter src/sparql/queries</w:t>
        </w:r>
      </w:hyperlink>
      <w:r>
        <w:t xml:space="preserve"> </w:t>
      </w:r>
      <w:r>
        <w:t xml:space="preserve">zur Verfügung.</w:t>
      </w:r>
    </w:p>
    <w:p>
      <w:pPr>
        <w:pStyle w:val="Textkrper"/>
      </w:pPr>
      <w:r>
        <w:t xml:space="preserve">Für den automatisierten Datenabruf und die Systemintegration kann der LINDAS-Endpunkt über einen HTTP-POST-Request angesprochen werden.</w:t>
      </w:r>
      <w:r>
        <w:t xml:space="preserve"> </w:t>
      </w:r>
      <w:r>
        <w:t xml:space="preserve">Dabei wird die SPARQL-Abfrage direkt im Body der Anfrage übermittelt.</w:t>
      </w:r>
      <w:r>
        <w:t xml:space="preserve"> </w:t>
      </w:r>
      <w:r>
        <w:t xml:space="preserve">Ein entsprechendes Aufrufbeispiel mit</w:t>
      </w:r>
      <w:r>
        <w:t xml:space="preserve"> </w:t>
      </w:r>
      <w:r>
        <w:rPr>
          <w:rStyle w:val="VerbatimChar"/>
        </w:rPr>
        <w:t xml:space="preserve">curl</w:t>
      </w:r>
      <w:r>
        <w:t xml:space="preserve"> </w:t>
      </w:r>
      <w:r>
        <w:t xml:space="preserve">sieht folgendermassen aus:</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w:t>
      </w:r>
      <w:r>
        <w:rPr>
          <w:rStyle w:val="StringTok"/>
        </w:rPr>
        <w:t xml:space="preserve">"https://lindas.admin.ch/query"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application/sparql-query"</w:t>
      </w:r>
      <w:r>
        <w:rPr>
          <w:rStyle w:val="NormalTok"/>
        </w:rPr>
        <w:t xml:space="preserve">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"Accept: application/sparql-results+json"</w:t>
      </w:r>
      <w:r>
        <w:rPr>
          <w:rStyle w:val="NormalTok"/>
        </w:rPr>
        <w:t xml:space="preserve"> </w:t>
      </w:r>
      <w:r>
        <w:rPr>
          <w:rStyle w:val="DataTypeTok"/>
        </w:rPr>
        <w:t xml:space="preserve">\</w:t>
      </w:r>
      <w:r>
        <w:br/>
      </w:r>
      <w:r>
        <w:rPr>
          <w:rStyle w:val="NormalTok"/>
        </w:rPr>
        <w:t xml:space="preserve">     </w:t>
      </w:r>
      <w:r>
        <w:rPr>
          <w:rStyle w:val="AttributeTok"/>
        </w:rPr>
        <w:t xml:space="preserve">--data-binary</w:t>
      </w:r>
      <w:r>
        <w:rPr>
          <w:rStyle w:val="NormalTok"/>
        </w:rPr>
        <w:t xml:space="preserve"> @query.rq </w:t>
      </w:r>
      <w:r>
        <w:rPr>
          <w:rStyle w:val="AttributeTok"/>
        </w:rPr>
        <w:t xml:space="preserve">-o</w:t>
      </w:r>
      <w:r>
        <w:rPr>
          <w:rStyle w:val="NormalTok"/>
        </w:rPr>
        <w:t xml:space="preserve"> data.json</w:t>
      </w:r>
    </w:p>
    <w:p>
      <w:pPr>
        <w:pStyle w:val="FirstParagraph"/>
      </w:pPr>
      <w:r>
        <w:t xml:space="preserve">Dieser Aufruf setzt voraus, dass eine gültige SPARQL-Abfrage in der lokalen Datei</w:t>
      </w:r>
      <w:r>
        <w:t xml:space="preserve"> </w:t>
      </w:r>
      <w:r>
        <w:rPr>
          <w:rStyle w:val="VerbatimChar"/>
        </w:rPr>
        <w:t xml:space="preserve">query.rq</w:t>
      </w:r>
      <w:r>
        <w:t xml:space="preserve"> </w:t>
      </w:r>
      <w:r>
        <w:t xml:space="preserve">vorliegt.</w:t>
      </w:r>
      <w:r>
        <w:t xml:space="preserve"> </w:t>
      </w:r>
      <w:r>
        <w:t xml:space="preserve">Je nach Anforderung lässt sich das Rückgabeformat über den</w:t>
      </w:r>
      <w:r>
        <w:t xml:space="preserve"> </w:t>
      </w:r>
      <w:r>
        <w:rPr>
          <w:rStyle w:val="VerbatimChar"/>
        </w:rPr>
        <w:t xml:space="preserve">Accept</w:t>
      </w:r>
      <w:r>
        <w:t xml:space="preserve">-Header steuern.</w:t>
      </w:r>
      <w:r>
        <w:t xml:space="preserve"> </w:t>
      </w:r>
      <w:r>
        <w:t xml:space="preserve">Für</w:t>
      </w:r>
      <w:r>
        <w:t xml:space="preserve"> </w:t>
      </w:r>
      <w:r>
        <w:rPr>
          <w:rStyle w:val="VerbatimChar"/>
        </w:rPr>
        <w:t xml:space="preserve">SELECT</w:t>
      </w:r>
      <w:r>
        <w:t xml:space="preserve">-Abfragen unterstützt LINDAS standardmässig strukturierte Formate wie JSON (</w:t>
      </w:r>
      <w:r>
        <w:rPr>
          <w:rStyle w:val="VerbatimChar"/>
        </w:rPr>
        <w:t xml:space="preserve">application/sparql-results+json</w:t>
      </w:r>
      <w:r>
        <w:t xml:space="preserve">), XML (</w:t>
      </w:r>
      <w:r>
        <w:rPr>
          <w:rStyle w:val="VerbatimChar"/>
        </w:rPr>
        <w:t xml:space="preserve">application/sparql-results+xml</w:t>
      </w:r>
      <w:r>
        <w:t xml:space="preserve">) und CSV (</w:t>
      </w:r>
      <w:r>
        <w:rPr>
          <w:rStyle w:val="VerbatimChar"/>
        </w:rPr>
        <w:t xml:space="preserve">text/csv</w:t>
      </w:r>
      <w:r>
        <w:t xml:space="preserve">).</w:t>
      </w:r>
    </w:p>
    <w:bookmarkEnd w:id="77"/>
    <w:bookmarkStart w:id="83" w:name="sec-mapping-tables"/>
    <w:p>
      <w:pPr>
        <w:pStyle w:val="berschrift2"/>
      </w:pPr>
      <w:r>
        <w:t xml:space="preserve">4.2 Bezug von Mapping-Tabellen</w:t>
      </w:r>
    </w:p>
    <w:p>
      <w:pPr>
        <w:pStyle w:val="FirstParagraph"/>
      </w:pPr>
      <w:r>
        <w:t xml:space="preserve">Um die Beziehungen zwischen den Kulturen der unterschiedlichen Systeme aufzuzeigen, werden Mapping-Tabellen bereitgestellt. Diese dienen als «Übersetzung» zwischen dem Direktzahlungssystem (AGIS), dem Nährstoffbilanz-Berechnungsservice (NAEBI) und dem Pflanzenschutzmittelverzeichnis (PSM).</w:t>
      </w:r>
    </w:p>
    <w:p>
      <w:pPr>
        <w:pStyle w:val="Textkrper"/>
      </w:pPr>
      <w:r>
        <w:t xml:space="preserve">Die Relationen der Kulturen zueinander werden durch Beziehungen des</w:t>
      </w:r>
      <w:r>
        <w:t xml:space="preserve"> </w:t>
      </w:r>
      <w:r>
        <w:rPr>
          <w:i/>
          <w:iCs/>
        </w:rPr>
        <w:t xml:space="preserve">Simple Knowledge Organization System</w:t>
      </w:r>
      <w:r>
        <w:t xml:space="preserve"> </w:t>
      </w:r>
      <w:r>
        <w:t xml:space="preserve">(SKOS) klassifiziert:</w:t>
      </w:r>
    </w:p>
    <w:p>
      <w:pPr>
        <w:pStyle w:val="Compact"/>
        <w:numPr>
          <w:ilvl w:val="0"/>
          <w:numId w:val="1003"/>
        </w:numPr>
      </w:pPr>
      <w:r>
        <w:rPr>
          <w:rStyle w:val="VerbatimChar"/>
        </w:rPr>
        <w:t xml:space="preserve">skos:exactMatch</w:t>
      </w:r>
      <w:r>
        <w:t xml:space="preserve">: Verknüpft zwei Konzepte (d.h. Kulturen aus zwei Systemen) bei denen genau dasselbe gemeint ist.</w:t>
      </w:r>
    </w:p>
    <w:p>
      <w:pPr>
        <w:pStyle w:val="Compact"/>
        <w:numPr>
          <w:ilvl w:val="0"/>
          <w:numId w:val="1003"/>
        </w:numPr>
      </w:pPr>
      <w:r>
        <w:rPr>
          <w:rStyle w:val="VerbatimChar"/>
        </w:rPr>
        <w:t xml:space="preserve">skos:narrowMatch</w:t>
      </w:r>
      <w:r>
        <w:t xml:space="preserve"> </w:t>
      </w:r>
      <w:r>
        <w:t xml:space="preserve">und</w:t>
      </w:r>
      <w:r>
        <w:t xml:space="preserve"> </w:t>
      </w:r>
      <w:r>
        <w:rPr>
          <w:rStyle w:val="VerbatimChar"/>
        </w:rPr>
        <w:t xml:space="preserve">skos:broadMatch</w:t>
      </w:r>
      <w:r>
        <w:t xml:space="preserve">: Beschreiben eine hierarchische Zuordnung zwischen zwei Konzepten, wobei die beiden Beziehungen zueinander invers sind.</w:t>
      </w:r>
    </w:p>
    <w:tbl>
      <w:tblPr>
        <w:tblStyle w:val="Table"/>
        <w:tblW w:type="pct" w:w="5000"/>
        <w:tblLayout w:type="fixed"/>
        <w:tblLook w:firstRow="0" w:lastRow="0" w:firstColumn="0" w:lastColumn="0" w:noHBand="0" w:noVBand="0" w:val="0000"/>
      </w:tblPr>
      <w:tblGrid>
        <w:gridCol w:w="7920"/>
      </w:tblGrid>
      <w:tr>
        <w:tc>
          <w:tcPr/>
          <w:bookmarkStart w:id="78" w:name="tbl-mapping-example"/>
          <w:p>
            <w:pPr>
              <w:jc w:val="center"/>
            </w:pPr>
            <w:pPr>
              <w:jc w:val="left"/>
              <w:spacing w:before="200"/>
              <w:pStyle w:val="ImageCaption"/>
            </w:pPr>
            <w:r>
              <w:t xml:space="preserve">Tabelle 10: Beispiele der Mapping-Relationen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Quellsystem</w:t>
                  </w:r>
                </w:p>
              </w:tc>
              <w:tc>
                <w:tcPr/>
                <w:p>
                  <w:pPr>
                    <w:pStyle w:val="Compact"/>
                    <w:jc w:val="left"/>
                    <w:jc w:val="center"/>
                  </w:pPr>
                  <w:r>
                    <w:t xml:space="preserve">Kultur Quellsystem</w:t>
                  </w:r>
                </w:p>
              </w:tc>
              <w:tc>
                <w:tcPr/>
                <w:p>
                  <w:pPr>
                    <w:pStyle w:val="Compact"/>
                    <w:jc w:val="left"/>
                    <w:jc w:val="center"/>
                  </w:pPr>
                  <w:r>
                    <w:t xml:space="preserve">SKOS-Beziehung</w:t>
                  </w:r>
                </w:p>
              </w:tc>
              <w:tc>
                <w:tcPr/>
                <w:p>
                  <w:pPr>
                    <w:pStyle w:val="Compact"/>
                    <w:jc w:val="left"/>
                    <w:jc w:val="center"/>
                  </w:pPr>
                  <w:r>
                    <w:t xml:space="preserve">Zielsystem</w:t>
                  </w:r>
                </w:p>
              </w:tc>
              <w:tc>
                <w:tcPr/>
                <w:p>
                  <w:pPr>
                    <w:pStyle w:val="Compact"/>
                    <w:jc w:val="left"/>
                    <w:jc w:val="center"/>
                  </w:pPr>
                  <w:r>
                    <w:t xml:space="preserve">Kultur Zielsystem</w:t>
                  </w:r>
                </w:p>
              </w:tc>
              <w:tc>
                <w:tcPr/>
                <w:p>
                  <w:pPr>
                    <w:pStyle w:val="Compact"/>
                    <w:jc w:val="left"/>
                    <w:jc w:val="center"/>
                  </w:pPr>
                  <w:r>
                    <w:t xml:space="preserve">Anmerkung</w:t>
                  </w:r>
                </w:p>
              </w:tc>
            </w:tr>
            <w:tr>
              <w:tc>
                <w:tcPr/>
                <w:p>
                  <w:pPr>
                    <w:pStyle w:val="Compact"/>
                    <w:jc w:val="left"/>
                    <w:jc w:val="center"/>
                  </w:pPr>
                  <w:r>
                    <w:t xml:space="preserve">AGIS</w:t>
                  </w:r>
                </w:p>
              </w:tc>
              <w:tc>
                <w:tcPr/>
                <w:p>
                  <w:pPr>
                    <w:pStyle w:val="Compact"/>
                    <w:jc w:val="left"/>
                    <w:jc w:val="center"/>
                  </w:pPr>
                  <w:r>
                    <w:t xml:space="preserve">Sommergerste</w:t>
                  </w:r>
                </w:p>
              </w:tc>
              <w:tc>
                <w:tcPr/>
                <w:p>
                  <w:pPr>
                    <w:pStyle w:val="Compact"/>
                    <w:jc w:val="left"/>
                    <w:jc w:val="center"/>
                  </w:pPr>
                  <w:r>
                    <w:rPr>
                      <w:rStyle w:val="VerbatimChar"/>
                    </w:rPr>
                    <w:t xml:space="preserve">skos:exactMatch</w:t>
                  </w:r>
                </w:p>
              </w:tc>
              <w:tc>
                <w:tcPr/>
                <w:p>
                  <w:pPr>
                    <w:pStyle w:val="Compact"/>
                    <w:jc w:val="left"/>
                    <w:jc w:val="center"/>
                  </w:pPr>
                  <w:r>
                    <w:t xml:space="preserve">NAEBI</w:t>
                  </w:r>
                </w:p>
              </w:tc>
              <w:tc>
                <w:tcPr/>
                <w:p>
                  <w:pPr>
                    <w:pStyle w:val="Compact"/>
                    <w:jc w:val="left"/>
                    <w:jc w:val="center"/>
                  </w:pPr>
                  <w:r>
                    <w:t xml:space="preserve">Sommergerste</w:t>
                  </w:r>
                </w:p>
              </w:tc>
              <w:tc>
                <w:tcPr/>
                <w:p>
                  <w:pPr>
                    <w:pStyle w:val="Compact"/>
                    <w:jc w:val="left"/>
                    <w:jc w:val="center"/>
                  </w:pPr>
                  <w:r>
                    <w:t xml:space="preserve">Die Kulturen im Quell- und Zielsystem sind synonym.</w:t>
                  </w:r>
                </w:p>
              </w:tc>
            </w:tr>
            <w:tr>
              <w:tc>
                <w:tcPr/>
                <w:p>
                  <w:pPr>
                    <w:pStyle w:val="Compact"/>
                    <w:jc w:val="left"/>
                    <w:jc w:val="center"/>
                  </w:pPr>
                  <w:r>
                    <w:t xml:space="preserve">AGIS</w:t>
                  </w:r>
                </w:p>
              </w:tc>
              <w:tc>
                <w:tcPr/>
                <w:p>
                  <w:pPr>
                    <w:pStyle w:val="Compact"/>
                    <w:jc w:val="left"/>
                    <w:jc w:val="center"/>
                  </w:pPr>
                  <w:r>
                    <w:t xml:space="preserve">Wintergerste</w:t>
                  </w:r>
                </w:p>
              </w:tc>
              <w:tc>
                <w:tcPr/>
                <w:p>
                  <w:pPr>
                    <w:pStyle w:val="Compact"/>
                    <w:jc w:val="left"/>
                    <w:jc w:val="center"/>
                  </w:pPr>
                  <w:r>
                    <w:rPr>
                      <w:rStyle w:val="VerbatimChar"/>
                    </w:rPr>
                    <w:t xml:space="preserve">skos:narrowMatch</w:t>
                  </w:r>
                </w:p>
              </w:tc>
              <w:tc>
                <w:tcPr/>
                <w:p>
                  <w:pPr>
                    <w:pStyle w:val="Compact"/>
                    <w:jc w:val="left"/>
                    <w:jc w:val="center"/>
                  </w:pPr>
                  <w:r>
                    <w:t xml:space="preserve">NAEBI</w:t>
                  </w:r>
                </w:p>
              </w:tc>
              <w:tc>
                <w:tcPr/>
                <w:p>
                  <w:pPr>
                    <w:pStyle w:val="Compact"/>
                    <w:jc w:val="left"/>
                    <w:jc w:val="center"/>
                  </w:pPr>
                  <w:r>
                    <w:t xml:space="preserve">Wintergerste in 62a Nitrat-Projekt</w:t>
                  </w:r>
                </w:p>
              </w:tc>
              <w:tc>
                <w:tcPr/>
                <w:p>
                  <w:pPr>
                    <w:pStyle w:val="Compact"/>
                    <w:jc w:val="left"/>
                    <w:jc w:val="center"/>
                  </w:pPr>
                  <w:r>
                    <w:t xml:space="preserve">Die Kultur im Zielsystem ist spezifischer als jene im Quellsystem.</w:t>
                  </w:r>
                </w:p>
              </w:tc>
            </w:tr>
            <w:tr>
              <w:tc>
                <w:tcPr/>
                <w:p>
                  <w:pPr>
                    <w:pStyle w:val="Compact"/>
                    <w:jc w:val="left"/>
                    <w:jc w:val="center"/>
                  </w:pPr>
                  <w:r>
                    <w:t xml:space="preserve">AGIS</w:t>
                  </w:r>
                </w:p>
              </w:tc>
              <w:tc>
                <w:tcPr/>
                <w:p>
                  <w:pPr>
                    <w:pStyle w:val="Compact"/>
                    <w:jc w:val="left"/>
                    <w:jc w:val="center"/>
                  </w:pPr>
                  <w:r>
                    <w:t xml:space="preserve">Emmer, Einkorn</w:t>
                  </w:r>
                </w:p>
              </w:tc>
              <w:tc>
                <w:tcPr/>
                <w:p>
                  <w:pPr>
                    <w:pStyle w:val="Compact"/>
                    <w:jc w:val="left"/>
                    <w:jc w:val="center"/>
                  </w:pPr>
                  <w:r>
                    <w:rPr>
                      <w:rStyle w:val="VerbatimChar"/>
                    </w:rPr>
                    <w:t xml:space="preserve">skos:broadMatch</w:t>
                  </w:r>
                </w:p>
              </w:tc>
              <w:tc>
                <w:tcPr/>
                <w:p>
                  <w:pPr>
                    <w:pStyle w:val="Compact"/>
                    <w:jc w:val="left"/>
                    <w:jc w:val="center"/>
                  </w:pPr>
                  <w:r>
                    <w:t xml:space="preserve">PSM</w:t>
                  </w:r>
                </w:p>
              </w:tc>
              <w:tc>
                <w:tcPr/>
                <w:p>
                  <w:pPr>
                    <w:pStyle w:val="Compact"/>
                    <w:jc w:val="left"/>
                    <w:jc w:val="center"/>
                  </w:pPr>
                  <w:r>
                    <w:t xml:space="preserve">Getreide</w:t>
                  </w:r>
                </w:p>
              </w:tc>
              <w:tc>
                <w:tcPr/>
                <w:p>
                  <w:pPr>
                    <w:pStyle w:val="Compact"/>
                    <w:jc w:val="left"/>
                    <w:jc w:val="center"/>
                  </w:pPr>
                  <w:r>
                    <w:t xml:space="preserve">Die Kultur im Quellsystem ist spezifischer als jene im Zielsystem.</w:t>
                  </w:r>
                </w:p>
              </w:tc>
            </w:tr>
          </w:tbl>
          <w:bookmarkEnd w:id="78"/>
          <w:p/>
        </w:tc>
      </w:tr>
    </w:tbl>
    <w:p>
      <w:pPr>
        <w:pStyle w:val="Textkrper"/>
      </w:pPr>
      <w:r>
        <w:t xml:space="preserve">Die Prädikate</w:t>
      </w:r>
      <w:r>
        <w:t xml:space="preserve"> </w:t>
      </w:r>
      <w:r>
        <w:rPr>
          <w:rStyle w:val="VerbatimChar"/>
        </w:rPr>
        <w:t xml:space="preserve">skos:exactMatch</w:t>
      </w:r>
      <w:r>
        <w:t xml:space="preserve">,</w:t>
      </w:r>
      <w:r>
        <w:t xml:space="preserve"> </w:t>
      </w:r>
      <w:r>
        <w:rPr>
          <w:rStyle w:val="VerbatimChar"/>
        </w:rPr>
        <w:t xml:space="preserve">skos:narrowMatch</w:t>
      </w:r>
      <w:r>
        <w:t xml:space="preserve"> </w:t>
      </w:r>
      <w:r>
        <w:t xml:space="preserve">und</w:t>
      </w:r>
      <w:r>
        <w:t xml:space="preserve"> </w:t>
      </w:r>
      <w:r>
        <w:rPr>
          <w:rStyle w:val="VerbatimChar"/>
        </w:rPr>
        <w:t xml:space="preserve">skos:broadMatch</w:t>
      </w:r>
      <w:r>
        <w:t xml:space="preserve"> </w:t>
      </w:r>
      <w:r>
        <w:t xml:space="preserve">werden im Verarbeitungsprozess direkt an die Kulturen im Graphen angehängt und sind auf LINDAS abfragbar. Die Generierung erfolgt über das SPARQL-Skript</w:t>
      </w:r>
      <w:r>
        <w:t xml:space="preserve"> </w:t>
      </w:r>
      <w:r>
        <w:rPr>
          <w:rStyle w:val="VerbatimChar"/>
        </w:rPr>
        <w:t xml:space="preserve">src/sparql/processing/02_mapping_table_skos_generation.rq</w:t>
      </w:r>
      <w:r>
        <w:t xml:space="preserve"> </w:t>
      </w:r>
      <w:r>
        <w:t xml:space="preserve">mittels</w:t>
      </w:r>
      <w:r>
        <w:t xml:space="preserve"> </w:t>
      </w:r>
      <w:r>
        <w:rPr>
          <w:rStyle w:val="VerbatimChar"/>
        </w:rPr>
        <w:t xml:space="preserve">INSERT</w:t>
      </w:r>
      <w:r>
        <w:t xml:space="preserve">-Befehlen.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krper"/>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Textkrper"/>
            </w:pPr>
            <w:pPr>
              <w:spacing w:before="16" w:after="16"/>
            </w:pPr>
            <w:r>
              <w:t xml:space="preserve">Im Datenverarbeitungsprozess werden hierarchische Prädikate (</w:t>
            </w:r>
            <w:r>
              <w:rPr>
                <w:rStyle w:val="VerbatimChar"/>
              </w:rPr>
              <w:t xml:space="preserve">narrowMatch</w:t>
            </w:r>
            <w:r>
              <w:t xml:space="preserve">,</w:t>
            </w:r>
            <w:r>
              <w:t xml:space="preserve"> </w:t>
            </w:r>
            <w:r>
              <w:rPr>
                <w:rStyle w:val="VerbatimChar"/>
              </w:rPr>
              <w:t xml:space="preserve">broadMatch</w:t>
            </w:r>
            <w:r>
              <w:t xml:space="preserve">) nur dann generiert, wenn für eine Kultur aus einem Quellsystem nicht bereits ein</w:t>
            </w:r>
            <w:r>
              <w:t xml:space="preserve"> </w:t>
            </w:r>
            <w:r>
              <w:rPr>
                <w:rStyle w:val="VerbatimChar"/>
              </w:rPr>
              <w:t xml:space="preserve">skos:exactMatch</w:t>
            </w:r>
            <w:r>
              <w:t xml:space="preserve"> </w:t>
            </w:r>
            <w:r>
              <w:t xml:space="preserve">im jeweiligen Zielsystem gefunden wurde. Dies verhindert redundante synonyme und hierarchische Beziehungen für dieselbe Kultur und fördert die Übersichtlichkeit der resultierenden Mapping-Tabelle.</w:t>
            </w:r>
          </w:p>
          <w:p/>
        </w:tc>
      </w:tr>
    </w:tbl>
    <w:p>
      <w:pPr>
        <w:pStyle w:val="Textkrper"/>
      </w:pPr>
      <w:r>
        <w:t xml:space="preserve">Eine vorbereitete SPARQL-Abfrage zur Generierung der vollständigen Mapping-Tabelle (AGIS, NAEBI und PSM) befindet sich</w:t>
      </w:r>
      <w:r>
        <w:t xml:space="preserve"> </w:t>
      </w:r>
      <w:hyperlink r:id="rId82">
        <w:r>
          <w:rPr>
            <w:rStyle w:val="Hyperlink"/>
          </w:rPr>
          <w:t xml:space="preserve">im eCH-0265 Repository unter</w:t>
        </w:r>
        <w:r>
          <w:rPr>
            <w:rStyle w:val="Hyperlink"/>
          </w:rPr>
          <w:t xml:space="preserve"> </w:t>
        </w:r>
        <w:r>
          <w:rPr>
            <w:rStyle w:val="VerbatimChar"/>
          </w:rPr>
          <w:t xml:space="preserve">src/sparql/queries/mapping_table.rq</w:t>
        </w:r>
      </w:hyperlink>
      <w:r>
        <w:t xml:space="preserve">.</w:t>
      </w:r>
    </w:p>
    <w:p>
      <w:pPr>
        <w:pStyle w:val="Textkrper"/>
      </w:pPr>
      <w:r>
        <w:t xml:space="preserve">Diese Abfrage kann direkt in der Benutzeroberfläche von</w:t>
      </w:r>
      <w:r>
        <w:t xml:space="preserve"> </w:t>
      </w:r>
      <w:hyperlink r:id="rId75">
        <w:r>
          <w:rPr>
            <w:rStyle w:val="Hyperlink"/>
          </w:rPr>
          <w:t xml:space="preserve">LINDAS</w:t>
        </w:r>
      </w:hyperlink>
      <w:r>
        <w:t xml:space="preserve"> </w:t>
      </w:r>
      <w:r>
        <w:t xml:space="preserve">ausgeführt und als CSV oder JSON exportiert werden. Alternativ lässt sich die Tabelle programmatisch beziehen, siehe</w:t>
      </w:r>
      <w:r>
        <w:t xml:space="preserve"> </w:t>
      </w:r>
      <w:hyperlink w:anchor="sec-lindas-data-integration">
        <w:r>
          <w:rPr>
            <w:rStyle w:val="Hyperlink"/>
          </w:rPr>
          <w:t xml:space="preserve">Kapitel 4.1</w:t>
        </w:r>
      </w:hyperlink>
      <w:r>
        <w:t xml:space="preserve">.</w:t>
      </w:r>
    </w:p>
    <w:bookmarkEnd w:id="83"/>
    <w:bookmarkEnd w:id="84"/>
    <w:bookmarkStart w:id="85" w:name="sec-safety-consideration"/>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85"/>
    <w:bookmarkStart w:id="86" w:name="sec-disclaimer"/>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86"/>
    <w:bookmarkStart w:id="87" w:name="sec-copyrights"/>
    <w:p>
      <w:pPr>
        <w:pStyle w:val="berschrift1"/>
      </w:pPr>
      <w:r>
        <w:t xml:space="preserve">7. 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w:t>
      </w:r>
      <w:r>
        <w:t xml:space="preserve"> </w:t>
      </w:r>
      <w:r>
        <w:t xml:space="preserve">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87"/>
    <w:bookmarkStart w:id="104" w:name="sec-appendix-a"/>
    <w:p>
      <w:pPr>
        <w:pStyle w:val="berschrift1"/>
      </w:pPr>
      <w:r>
        <w:t xml:space="preserve">Anhang A - Referenzen</w:t>
      </w:r>
    </w:p>
    <w:bookmarkStart w:id="103" w:name="refs"/>
    <w:bookmarkStart w:id="89"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88">
        <w:r>
          <w:rPr>
            <w:rStyle w:val="Hyperlink"/>
          </w:rPr>
          <w:t xml:space="preserve">https://www.blw.admin.ch/dam/de/sd-web/PCfDBOdwjaOm/WegleitungSuisse-Bilanz1_20_D_DEF.pdf</w:t>
        </w:r>
      </w:hyperlink>
      <w:r>
        <w:t xml:space="preserve">.</w:t>
      </w:r>
    </w:p>
    <w:bookmarkEnd w:id="89"/>
    <w:bookmarkStart w:id="91"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90">
        <w:r>
          <w:rPr>
            <w:rStyle w:val="Hyperlink"/>
          </w:rPr>
          <w:t xml:space="preserve">https://ira.agroscope.ch/de-CH/publication/52563</w:t>
        </w:r>
      </w:hyperlink>
      <w:r>
        <w:t xml:space="preserve">.</w:t>
      </w:r>
    </w:p>
    <w:bookmarkEnd w:id="91"/>
    <w:bookmarkStart w:id="92"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72">
        <w:r>
          <w:rPr>
            <w:rStyle w:val="Hyperlink"/>
          </w:rPr>
          <w:t xml:space="preserve">https://www.w3.org/TR/rdf11-concepts/</w:t>
        </w:r>
      </w:hyperlink>
      <w:r>
        <w:t xml:space="preserve">.</w:t>
      </w:r>
    </w:p>
    <w:bookmarkEnd w:id="92"/>
    <w:bookmarkStart w:id="94" w:name="ref-eCH-0265:1.0.0"/>
    <w:p>
      <w:pPr>
        <w:pStyle w:val="Bibliography"/>
      </w:pPr>
      <w:r>
        <w:t xml:space="preserve">eCH-Fachgruppe AgriFood</w:t>
      </w:r>
      <w:r>
        <w:t xml:space="preserve">. 2024.</w:t>
      </w:r>
      <w:r>
        <w:t xml:space="preserve"> </w:t>
      </w:r>
      <w:r>
        <w:rPr>
          <w:i/>
          <w:iCs/>
        </w:rPr>
        <w:t xml:space="preserve">eCH-0205</w:t>
      </w:r>
      <w:r>
        <w:rPr>
          <w:i/>
          <w:iCs/>
        </w:rPr>
        <w:t xml:space="preserve"> </w:t>
      </w:r>
      <w:r>
        <w:rPr>
          <w:i/>
          <w:iCs/>
        </w:rPr>
        <w:t xml:space="preserve">Datenstandard Agrardaten – Flächen und Kulturen</w:t>
      </w:r>
      <w:r>
        <w:t xml:space="preserve">. eCH-Standard. Version 1.0.0. Verein eCH.</w:t>
      </w:r>
      <w:r>
        <w:t xml:space="preserve"> </w:t>
      </w:r>
      <w:hyperlink r:id="rId93">
        <w:r>
          <w:rPr>
            <w:rStyle w:val="Hyperlink"/>
          </w:rPr>
          <w:t xml:space="preserve">https://ech.ch/sites/default/files/imce/eCH-Dossier/eCH-Dossier_PDF_Publikationen/Hauptdokument/STAN_d_DEF_2024-02_07_eCH-0265_V1.0.0_Datenstandard_Agrardaten_Fl%C3%A4chenKulturen.pdf</w:t>
        </w:r>
      </w:hyperlink>
      <w:r>
        <w:t xml:space="preserve">.</w:t>
      </w:r>
    </w:p>
    <w:bookmarkEnd w:id="94"/>
    <w:bookmarkStart w:id="96"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95">
        <w:r>
          <w:rPr>
            <w:rStyle w:val="Hyperlink"/>
          </w:rPr>
          <w:t xml:space="preserve">https://www.ech.ch/sites/default/files/dosvers/hauptdokument/AUXI_e_DEF_2018-03-13_eCH-0205_V1.0_Linked%20Open%20Data.pdf</w:t>
        </w:r>
      </w:hyperlink>
      <w:r>
        <w:t xml:space="preserve">.</w:t>
      </w:r>
    </w:p>
    <w:bookmarkEnd w:id="96"/>
    <w:bookmarkStart w:id="98" w:name="ref-francart2020shacl"/>
    <w:p>
      <w:pPr>
        <w:pStyle w:val="Bibliography"/>
      </w:pPr>
      <w:r>
        <w:t xml:space="preserve">Francart, Thomas. 2020.</w:t>
      </w:r>
      <w:r>
        <w:t xml:space="preserve"> </w:t>
      </w:r>
      <w:r>
        <w:rPr>
          <w:i/>
          <w:iCs/>
        </w:rPr>
        <w:t xml:space="preserve">SHACL Play!</w:t>
      </w:r>
      <w:r>
        <w:t xml:space="preserve"> Sparna, released.</w:t>
      </w:r>
      <w:r>
        <w:t xml:space="preserve"> </w:t>
      </w:r>
      <w:hyperlink r:id="rId97">
        <w:r>
          <w:rPr>
            <w:rStyle w:val="Hyperlink"/>
          </w:rPr>
          <w:t xml:space="preserve">https://shacl-play.sparna.fr/</w:t>
        </w:r>
      </w:hyperlink>
      <w:r>
        <w:t xml:space="preserve">.</w:t>
      </w:r>
    </w:p>
    <w:bookmarkEnd w:id="98"/>
    <w:bookmarkStart w:id="100"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99">
        <w:r>
          <w:rPr>
            <w:rStyle w:val="Hyperlink"/>
          </w:rPr>
          <w:t xml:space="preserve">https://www.w3.org/TR/shacl/</w:t>
        </w:r>
      </w:hyperlink>
      <w:r>
        <w:t xml:space="preserve">.</w:t>
      </w:r>
    </w:p>
    <w:bookmarkEnd w:id="100"/>
    <w:bookmarkStart w:id="102"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101">
        <w:r>
          <w:rPr>
            <w:rStyle w:val="Hyperlink"/>
          </w:rPr>
          <w:t xml:space="preserve">https://www.w3.org/TR/owl2-overview/</w:t>
        </w:r>
      </w:hyperlink>
      <w:r>
        <w:t xml:space="preserve">.</w:t>
      </w:r>
    </w:p>
    <w:bookmarkEnd w:id="102"/>
    <w:bookmarkEnd w:id="103"/>
    <w:bookmarkEnd w:id="104"/>
    <w:bookmarkStart w:id="106" w:name="sec-appendix-b"/>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105" w:name="tbl-authors"/>
          <w:p>
            <w:pPr>
              <w:jc w:val="center"/>
            </w:pPr>
            <w:pPr>
              <w:jc w:val="left"/>
              <w:spacing w:before="200"/>
              <w:pStyle w:val="ImageCaption"/>
            </w:pPr>
            <w:r>
              <w:t xml:space="preserve">Tabelle 11: Autoren und Revision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105"/>
          <w:p/>
        </w:tc>
      </w:tr>
    </w:tbl>
    <w:bookmarkEnd w:id="106"/>
    <w:bookmarkStart w:id="117" w:name="sec-appendix-c"/>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116" w:name="tbl-glossary"/>
          <w:p>
            <w:pPr>
              <w:jc w:val="center"/>
            </w:pPr>
            <w:pPr>
              <w:jc w:val="left"/>
              <w:spacing w:before="200"/>
              <w:pStyle w:val="ImageCaption"/>
            </w:pPr>
            <w:r>
              <w:t xml:space="preserve">Tabelle 12:</w:t>
            </w:r>
            <w:r>
              <w:t xml:space="preserve"> </w:t>
            </w:r>
            <w:r>
              <w:rPr>
                <w:b/>
                <w:bCs/>
              </w:rPr>
              <w:t xml:space="preserve">Glossar des Standards eCH-0265:</w:t>
            </w:r>
            <w:r>
              <w:t xml:space="preserve"> </w:t>
            </w:r>
            <w:r>
              <w:t xml:space="preserve">Diese Glossar soll sämtliche verwendeten Fachbegriffe inklusive Abkürzungen des Standards eCH-0265 enthalten.</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Begriff</w:t>
                  </w:r>
                </w:p>
              </w:tc>
              <w:tc>
                <w:tcPr/>
                <w:p>
                  <w:pPr>
                    <w:pStyle w:val="Compact"/>
                    <w:jc w:val="left"/>
                    <w:jc w:val="center"/>
                  </w:pPr>
                  <w:r>
                    <w:t xml:space="preserve">Beschreibung</w:t>
                  </w:r>
                </w:p>
              </w:tc>
            </w:tr>
            <w:tr>
              <w:tc>
                <w:tcPr/>
                <w:p>
                  <w:pPr>
                    <w:pStyle w:val="Compact"/>
                    <w:jc w:val="left"/>
                    <w:jc w:val="center"/>
                  </w:pPr>
                  <w:hyperlink r:id="rId107">
                    <w:r>
                      <w:rPr>
                        <w:rStyle w:val="VerbatimChar"/>
                      </w:rPr>
                      <w:t xml:space="preserve">term:agis</w:t>
                    </w:r>
                  </w:hyperlink>
                </w:p>
              </w:tc>
              <w:tc>
                <w:tcPr/>
                <w:p>
                  <w:pPr>
                    <w:pStyle w:val="Compact"/>
                    <w:jc w:val="left"/>
                    <w:jc w:val="center"/>
                  </w:pPr>
                  <w:r>
                    <w:rPr>
                      <w:b/>
                      <w:bCs/>
                    </w:rPr>
                    <w:t xml:space="preserve">Agrarpolitisches</w:t>
                  </w:r>
                  <w:r>
                    <w:rPr>
                      <w:b/>
                      <w:bCs/>
                    </w:rPr>
                    <w:t xml:space="preserve"> </w:t>
                  </w:r>
                  <w:r>
                    <w:rPr>
                      <w:b/>
                      <w:bCs/>
                    </w:rPr>
                    <w:t xml:space="preserve">Informationssystem</w:t>
                  </w:r>
                  <w:r>
                    <w:t xml:space="preserve"> </w:t>
                  </w:r>
                  <w:r>
                    <w:t xml:space="preserve">(AGIS)</w:t>
                  </w:r>
                </w:p>
              </w:tc>
              <w:tc>
                <w:tcPr/>
                <w:p>
                  <w:pPr>
                    <w:pStyle w:val="Compact"/>
                    <w:jc w:val="left"/>
                    <w:jc w:val="center"/>
                  </w:pPr>
                  <w:r>
                    <w:t xml:space="preserve">Das agrarpolitische Informationssystem des Bundes, an welches im</w:t>
                  </w:r>
                  <w:r>
                    <w:t xml:space="preserve"> </w:t>
                  </w:r>
                  <w:r>
                    <w:t xml:space="preserve">Rahmen der Strukturdatenerhebung Daten zu Direktzahlungskulturen</w:t>
                  </w:r>
                  <w:r>
                    <w:t xml:space="preserve"> </w:t>
                  </w:r>
                  <w:r>
                    <w:t xml:space="preserve">übermittelt werden.</w:t>
                  </w:r>
                </w:p>
              </w:tc>
            </w:tr>
            <w:tr>
              <w:tc>
                <w:tcPr/>
                <w:p>
                  <w:pPr>
                    <w:pStyle w:val="Compact"/>
                    <w:jc w:val="left"/>
                    <w:jc w:val="center"/>
                  </w:pPr>
                  <w:hyperlink r:id="rId108">
                    <w:r>
                      <w:rPr>
                        <w:rStyle w:val="VerbatimChar"/>
                      </w:rPr>
                      <w:t xml:space="preserve">term:kais</w:t>
                    </w:r>
                  </w:hyperlink>
                </w:p>
              </w:tc>
              <w:tc>
                <w:tcPr/>
                <w:p>
                  <w:pPr>
                    <w:pStyle w:val="Compact"/>
                    <w:jc w:val="left"/>
                    <w:jc w:val="center"/>
                  </w:pPr>
                  <w:r>
                    <w:rPr>
                      <w:b/>
                      <w:bCs/>
                    </w:rPr>
                    <w:t xml:space="preserve">Kantonales Agrarinformationssystem</w:t>
                  </w:r>
                  <w:r>
                    <w:t xml:space="preserve"> </w:t>
                  </w:r>
                  <w:r>
                    <w:t xml:space="preserve">(KAIS)</w:t>
                  </w:r>
                </w:p>
              </w:tc>
              <w:tc>
                <w:tcPr/>
                <w:p>
                  <w:pPr>
                    <w:pStyle w:val="Compact"/>
                    <w:jc w:val="left"/>
                    <w:jc w:val="center"/>
                  </w:pPr>
                  <w:r>
                    <w:t xml:space="preserve">Informationssystem auf Kantonsebene, in welches Bewirtschaftende</w:t>
                  </w:r>
                  <w:r>
                    <w:t xml:space="preserve"> </w:t>
                  </w:r>
                  <w:r>
                    <w:t xml:space="preserve">im Rahmen der Strukturdatenerhebung ihre Daten eintragen.</w:t>
                  </w:r>
                </w:p>
              </w:tc>
            </w:tr>
            <w:tr>
              <w:tc>
                <w:tcPr/>
                <w:p>
                  <w:pPr>
                    <w:pStyle w:val="Compact"/>
                    <w:jc w:val="left"/>
                    <w:jc w:val="center"/>
                  </w:pPr>
                  <w:hyperlink r:id="rId109">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Der offizielle Linked-Data-Dienst der Schweizer Bundesverwaltung,</w:t>
                  </w:r>
                  <w:r>
                    <w:t xml:space="preserve"> </w:t>
                  </w:r>
                  <w:r>
                    <w:t xml:space="preserve">der als Triple Store fungiert.</w:t>
                  </w:r>
                </w:p>
              </w:tc>
            </w:tr>
            <w:tr>
              <w:tc>
                <w:tcPr/>
                <w:p>
                  <w:pPr>
                    <w:pStyle w:val="Compact"/>
                    <w:jc w:val="left"/>
                    <w:jc w:val="center"/>
                  </w:pPr>
                  <w:hyperlink r:id="rId110">
                    <w:r>
                      <w:rPr>
                        <w:rStyle w:val="VerbatimChar"/>
                      </w:rPr>
                      <w:t xml:space="preserve">term:nbbs</w:t>
                    </w:r>
                  </w:hyperlink>
                </w:p>
              </w:tc>
              <w:tc>
                <w:tcPr/>
                <w:p>
                  <w:pPr>
                    <w:pStyle w:val="Compact"/>
                    <w:jc w:val="left"/>
                    <w:jc w:val="center"/>
                  </w:pPr>
                  <w:r>
                    <w:rPr>
                      <w:b/>
                      <w:bCs/>
                    </w:rPr>
                    <w:t xml:space="preserve">Nährstoffbilanz-Berechnungsservice</w:t>
                  </w:r>
                  <w:r>
                    <w:t xml:space="preserve"> </w:t>
                  </w:r>
                  <w:r>
                    <w:t xml:space="preserve">(NBBS)</w:t>
                  </w:r>
                </w:p>
              </w:tc>
              <w:tc>
                <w:tcPr/>
                <w:p>
                  <w:pPr>
                    <w:pStyle w:val="Compact"/>
                    <w:jc w:val="left"/>
                    <w:jc w:val="center"/>
                  </w:pPr>
                  <w:r>
                    <w:t xml:space="preserve">Eine vom Bundesamt für Landwirtschaft bereitgestellte RESTful API</w:t>
                  </w:r>
                  <w:r>
                    <w:t xml:space="preserve"> </w:t>
                  </w:r>
                  <w:r>
                    <w:t xml:space="preserve">zur Standardisierung der Suisse-Bilanz-Berechnung.</w:t>
                  </w:r>
                </w:p>
              </w:tc>
            </w:tr>
            <w:tr>
              <w:tc>
                <w:tcPr/>
                <w:p>
                  <w:pPr>
                    <w:pStyle w:val="Compact"/>
                    <w:jc w:val="left"/>
                    <w:jc w:val="center"/>
                  </w:pPr>
                  <w:hyperlink r:id="rId111">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Ein zentraler Standard des World Wide Web Consortiums (W3C) zur</w:t>
                  </w:r>
                  <w:r>
                    <w:t xml:space="preserve"> </w:t>
                  </w:r>
                  <w:r>
                    <w:t xml:space="preserve">Modellierung von Datenstrukturen im Web. Informationen werden</w:t>
                  </w:r>
                  <w:r>
                    <w:t xml:space="preserve"> </w:t>
                  </w:r>
                  <w:r>
                    <w:t xml:space="preserve">nicht in klassischen Tabellen, sondern als vernetzte Graphen</w:t>
                  </w:r>
                  <w:r>
                    <w:t xml:space="preserve"> </w:t>
                  </w:r>
                  <w:r>
                    <w:t xml:space="preserve">abgebildet.</w:t>
                  </w:r>
                </w:p>
              </w:tc>
            </w:tr>
            <w:tr>
              <w:tc>
                <w:tcPr/>
                <w:p>
                  <w:pPr>
                    <w:pStyle w:val="Compact"/>
                    <w:jc w:val="left"/>
                    <w:jc w:val="center"/>
                  </w:pPr>
                  <w:hyperlink r:id="rId112">
                    <w:r>
                      <w:rPr>
                        <w:rStyle w:val="VerbatimChar"/>
                      </w:rPr>
                      <w:t xml:space="preserve">term:skos</w:t>
                    </w:r>
                  </w:hyperlink>
                </w:p>
              </w:tc>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pStyle w:val="Compact"/>
                  </w:pPr>
                </w:p>
              </w:tc>
            </w:tr>
            <w:tr>
              <w:tc>
                <w:tcPr/>
                <w:p>
                  <w:pPr>
                    <w:pStyle w:val="Compact"/>
                    <w:jc w:val="left"/>
                    <w:jc w:val="center"/>
                  </w:pPr>
                  <w:hyperlink r:id="rId113">
                    <w:r>
                      <w:rPr>
                        <w:rStyle w:val="VerbatimChar"/>
                      </w:rPr>
                      <w:t xml:space="preserve">term:srppp</w:t>
                    </w:r>
                  </w:hyperlink>
                </w:p>
              </w:tc>
              <w:tc>
                <w:tcPr/>
                <w:p>
                  <w:pPr>
                    <w:pStyle w:val="Compact"/>
                    <w:jc w:val="left"/>
                    <w:jc w:val="center"/>
                  </w:pPr>
                  <w:r>
                    <w:rPr>
                      <w:b/>
                      <w:bCs/>
                    </w:rPr>
                    <w:t xml:space="preserve">Pflanzenschutzmittelverzeichnis</w:t>
                  </w:r>
                  <w:r>
                    <w:t xml:space="preserve"> </w:t>
                  </w:r>
                  <w:r>
                    <w:t xml:space="preserve">(PSM-V)</w:t>
                  </w:r>
                </w:p>
              </w:tc>
              <w:tc>
                <w:tcPr/>
                <w:p>
                  <w:pPr>
                    <w:pStyle w:val="Compact"/>
                    <w:jc w:val="left"/>
                    <w:jc w:val="center"/>
                  </w:pPr>
                  <w:r>
                    <w:t xml:space="preserve">Das offizielle Register des Bundes, gepflegt vom BLV, das alle in</w:t>
                  </w:r>
                  <w:r>
                    <w:t xml:space="preserve"> </w:t>
                  </w:r>
                  <w:r>
                    <w:t xml:space="preserve">der Schweiz zugelassenen Pflanzenschutzmittel sowie deren</w:t>
                  </w:r>
                  <w:r>
                    <w:t xml:space="preserve"> </w:t>
                  </w:r>
                  <w:r>
                    <w:t xml:space="preserve">rechtmässigen Einsatzbereich auflistet.</w:t>
                  </w:r>
                </w:p>
              </w:tc>
            </w:tr>
            <w:tr>
              <w:tc>
                <w:tcPr/>
                <w:p>
                  <w:pPr>
                    <w:pStyle w:val="Compact"/>
                    <w:jc w:val="left"/>
                    <w:jc w:val="center"/>
                  </w:pPr>
                  <w:hyperlink r:id="rId114">
                    <w:r>
                      <w:rPr>
                        <w:rStyle w:val="VerbatimChar"/>
                      </w:rPr>
                      <w:t xml:space="preserve">term:suibi</w:t>
                    </w:r>
                  </w:hyperlink>
                </w:p>
              </w:tc>
              <w:tc>
                <w:tcPr/>
                <w:p>
                  <w:pPr>
                    <w:pStyle w:val="Compact"/>
                    <w:jc w:val="left"/>
                    <w:jc w:val="center"/>
                  </w:pPr>
                  <w:r>
                    <w:rPr>
                      <w:b/>
                      <w:bCs/>
                    </w:rPr>
                    <w:t xml:space="preserve">Suisse-Bilanz</w:t>
                  </w:r>
                </w:p>
              </w:tc>
              <w:tc>
                <w:tcPr/>
                <w:p>
                  <w:pPr>
                    <w:pStyle w:val="Compact"/>
                    <w:jc w:val="left"/>
                    <w:jc w:val="center"/>
                  </w:pPr>
                  <w:r>
                    <w:t xml:space="preserve">Zentrales Berechnungsinstrument, das den Nährstoffanfall und</w:t>
                  </w:r>
                  <w:r>
                    <w:t xml:space="preserve"> </w:t>
                  </w:r>
                  <w:r>
                    <w:t xml:space="preserve">-bedarf auf Betriebsebene systematisch gegenüberstellt, um eine</w:t>
                  </w:r>
                  <w:r>
                    <w:t xml:space="preserve"> </w:t>
                  </w:r>
                  <w:r>
                    <w:t xml:space="preserve">ausgeglichene Nährstoffbilanz auszuweisen.</w:t>
                  </w:r>
                </w:p>
              </w:tc>
            </w:tr>
            <w:tr>
              <w:tc>
                <w:tcPr/>
                <w:p>
                  <w:pPr>
                    <w:pStyle w:val="Compact"/>
                    <w:jc w:val="left"/>
                    <w:jc w:val="center"/>
                  </w:pPr>
                  <w:hyperlink r:id="rId115">
                    <w:r>
                      <w:rPr>
                        <w:rStyle w:val="VerbatimChar"/>
                      </w:rPr>
                      <w:t xml:space="preserve">term:triple</w:t>
                    </w:r>
                  </w:hyperlink>
                </w:p>
              </w:tc>
              <w:tc>
                <w:tcPr/>
                <w:p>
                  <w:pPr>
                    <w:pStyle w:val="Compact"/>
                    <w:jc w:val="left"/>
                    <w:jc w:val="center"/>
                  </w:pPr>
                  <w:r>
                    <w:rPr>
                      <w:b/>
                      <w:bCs/>
                    </w:rPr>
                    <w:t xml:space="preserve">Tripel</w:t>
                  </w:r>
                </w:p>
              </w:tc>
              <w:tc>
                <w:tcPr/>
                <w:p>
                  <w:pPr>
                    <w:jc w:val="left"/>
                    <w:jc w:val="center"/>
                  </w:pPr>
                  <w:r>
                    <w:t xml:space="preserve">Die Grundstruktur einer Aussage in RDF, bestehend aus Subjekt,</w:t>
                  </w:r>
                  <w:r>
                    <w:t xml:space="preserve"> </w:t>
                  </w:r>
                  <w:r>
                    <w:t xml:space="preserve">Prädikat und Objekt.</w:t>
                  </w:r>
                </w:p>
                <w:p>
                  <w:pPr>
                    <w:jc w:val="left"/>
                    <w:jc w:val="center"/>
                  </w:pPr>
                  <w:r>
                    <w:rPr>
                      <w:i/>
                      <w:iCs/>
                    </w:rPr>
                    <w:t xml:space="preserve">Oberbegriff</w:t>
                  </w:r>
                  <w:r>
                    <w:t xml:space="preserve">:</w:t>
                  </w:r>
                  <w:r>
                    <w:t xml:space="preserve"> </w:t>
                  </w:r>
                  <w:hyperlink r:id="rId111">
                    <w:r>
                      <w:rPr>
                        <w:rStyle w:val="VerbatimChar"/>
                      </w:rPr>
                      <w:t xml:space="preserve">term:rdf</w:t>
                    </w:r>
                  </w:hyperlink>
                </w:p>
              </w:tc>
            </w:tr>
          </w:tbl>
          <w:bookmarkEnd w:id="116"/>
          <w:p/>
        </w:tc>
      </w:tr>
    </w:tbl>
    <w:bookmarkEnd w:id="117"/>
    <w:bookmarkStart w:id="121" w:name="sec-appendix-d"/>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118"/>
      </w:r>
      <w:r>
        <w:t xml:space="preserve">, Sorten sowie Direktzahlungsprogrammen sind nicht mehr Teil dieses Dokuments.</w:t>
      </w:r>
      <w:r>
        <w:rPr>
          <w:rStyle w:val="FootnoteReference"/>
        </w:rPr>
        <w:footnoteReference w:id="119"/>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120">
        <w:r>
          <w:rPr>
            <w:rStyle w:val="Hyperlink"/>
          </w:rPr>
          <w:t xml:space="preserve">https://github.com/blw-ofag-ufag/eCH-0265/releases</w:t>
        </w:r>
      </w:hyperlink>
      <w:r>
        <w:t xml:space="preserve">.</w:t>
      </w:r>
    </w:p>
    <w:bookmarkEnd w:id="121"/>
    <w:bookmarkStart w:id="122" w:name="sec-appendix-e"/>
    <w:p>
      <w:pPr>
        <w:pStyle w:val="berschrift1"/>
      </w:pPr>
      <w:r>
        <w:t xml:space="preserve">Anhang E - Abbildungsverzeichnis</w:t>
      </w:r>
    </w:p>
    <w:bookmarkEnd w:id="122"/>
    <w:bookmarkStart w:id="123" w:name="sec-appendix-f"/>
    <w:p>
      <w:pPr>
        <w:pStyle w:val="berschrift1"/>
      </w:pPr>
      <w:r>
        <w:t xml:space="preserve">Anhang F - Tabellenverzeichnis</w:t>
      </w:r>
    </w:p>
    <w:bookmarkEnd w:id="123"/>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9">
        <w:r>
          <w:rPr>
            <w:rStyle w:val="Hyperlink"/>
          </w:rPr>
          <w:t xml:space="preserve">https://rf-vp.agate.ch/digiflux/naebi/2-0/naebiservice-backend/agronomiccropcategories</w:t>
        </w:r>
      </w:hyperlink>
      <w:r>
        <w:t xml:space="preserve"> </w:t>
      </w:r>
      <w:r>
        <w:t xml:space="preserve">abrufbar.</w:t>
      </w:r>
      <w:r>
        <w:t xml:space="preserve"> </w:t>
      </w:r>
      <w:r>
        <w:t xml:space="preserve">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45">
    <w:p>
      <w:pPr>
        <w:pStyle w:val="Funotentext"/>
      </w:pPr>
      <w:r>
        <w:rPr>
          <w:rStyle w:val="FootnoteReference"/>
        </w:rPr>
        <w:footnoteRef/>
      </w:r>
      <w:r>
        <w:t xml:space="preserve"> </w:t>
      </w:r>
      <w:r>
        <w:t xml:space="preserve">Botanisch gesehen ist Mais ein Getreide (Süssgras), unterscheidet sich in der ackerbaulichen Praxis als Hackfrucht jedoch merklich von klassischen Getreidearten.</w:t>
      </w:r>
      <w:r>
        <w:t xml:space="preserve"> </w:t>
      </w:r>
      <w:r>
        <w:t xml:space="preserve">Buchweizen und Quinoa sind botanisch nicht mit Getreide verwandt.</w:t>
      </w:r>
      <w:r>
        <w:t xml:space="preserve"> </w:t>
      </w:r>
      <w:r>
        <w:t xml:space="preserve">Ihr Erntegut und dessen Verwendung ähneln jedoch stark denen von echtem Getreide, daher werden sie manchmal als Pseudogetreide bezeichnet.</w:t>
      </w:r>
    </w:p>
  </w:footnote>
  <w:footnote w:id="118">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28">
        <w:r>
          <w:rPr>
            <w:rStyle w:val="Hyperlink"/>
          </w:rPr>
          <w:t xml:space="preserve">https://www.blw.admin.ch/de/landwirtschaftliche-kulturflaechen</w:t>
        </w:r>
      </w:hyperlink>
    </w:p>
  </w:footnote>
  <w:footnote w:id="119">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de-CH"/>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48" Target="media/rId48.png" /><Relationship Type="http://schemas.openxmlformats.org/officeDocument/2006/relationships/image" Id="rId79" Target="media/rId79.png" /><Relationship Type="http://schemas.openxmlformats.org/officeDocument/2006/relationships/hyperlink" Id="rId107" Target="https://agriculture.ld.admin.ch/eCH-0265/2/term/agis" TargetMode="External" /><Relationship Type="http://schemas.openxmlformats.org/officeDocument/2006/relationships/hyperlink" Id="rId108" Target="https://agriculture.ld.admin.ch/eCH-0265/2/term/kais" TargetMode="External" /><Relationship Type="http://schemas.openxmlformats.org/officeDocument/2006/relationships/hyperlink" Id="rId109" Target="https://agriculture.ld.admin.ch/eCH-0265/2/term/lindas" TargetMode="External" /><Relationship Type="http://schemas.openxmlformats.org/officeDocument/2006/relationships/hyperlink" Id="rId110" Target="https://agriculture.ld.admin.ch/eCH-0265/2/term/nbbs" TargetMode="External" /><Relationship Type="http://schemas.openxmlformats.org/officeDocument/2006/relationships/hyperlink" Id="rId111" Target="https://agriculture.ld.admin.ch/eCH-0265/2/term/rdf" TargetMode="External" /><Relationship Type="http://schemas.openxmlformats.org/officeDocument/2006/relationships/hyperlink" Id="rId112" Target="https://agriculture.ld.admin.ch/eCH-0265/2/term/skos" TargetMode="External" /><Relationship Type="http://schemas.openxmlformats.org/officeDocument/2006/relationships/hyperlink" Id="rId113" Target="https://agriculture.ld.admin.ch/eCH-0265/2/term/srppp" TargetMode="External" /><Relationship Type="http://schemas.openxmlformats.org/officeDocument/2006/relationships/hyperlink" Id="rId114" Target="https://agriculture.ld.admin.ch/eCH-0265/2/term/suibi" TargetMode="External" /><Relationship Type="http://schemas.openxmlformats.org/officeDocument/2006/relationships/hyperlink" Id="rId115" Target="https://agriculture.ld.admin.ch/eCH-0265/2/term/triple" TargetMode="External" /><Relationship Type="http://schemas.openxmlformats.org/officeDocument/2006/relationships/hyperlink" Id="rId93"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3" Target="https://eppo.int/" TargetMode="External" /><Relationship Type="http://schemas.openxmlformats.org/officeDocument/2006/relationships/hyperlink" Id="rId29" Target="https://geodienste.ch/" TargetMode="External" /><Relationship Type="http://schemas.openxmlformats.org/officeDocument/2006/relationships/hyperlink" Id="rId82" Target="https://github.com/blw-ofag-ufag/eCH-0265/blob/main/src/sparql/queries/mapping_table.rq" TargetMode="External" /><Relationship Type="http://schemas.openxmlformats.org/officeDocument/2006/relationships/hyperlink" Id="rId120" Target="https://github.com/blw-ofag-ufag/eCH-0265/releases" TargetMode="External" /><Relationship Type="http://schemas.openxmlformats.org/officeDocument/2006/relationships/hyperlink" Id="rId76" Target="https://github.com/blw-ofag-ufag/eCH-0265/tree/main/src/sparql/queries" TargetMode="External" /><Relationship Type="http://schemas.openxmlformats.org/officeDocument/2006/relationships/hyperlink" Id="rId90" Target="https://ira.agroscope.ch/de-CH/publication/52563" TargetMode="External" /><Relationship Type="http://schemas.openxmlformats.org/officeDocument/2006/relationships/hyperlink" Id="rId73" Target="https://lindas.admin.ch/" TargetMode="External" /><Relationship Type="http://schemas.openxmlformats.org/officeDocument/2006/relationships/hyperlink" Id="rId75" Target="https://lindas.admin.ch/sparql/" TargetMode="External" /><Relationship Type="http://schemas.openxmlformats.org/officeDocument/2006/relationships/hyperlink" Id="rId30" Target="https://models.geo.admin.ch/BLW/" TargetMode="External" /><Relationship Type="http://schemas.openxmlformats.org/officeDocument/2006/relationships/hyperlink" Id="rId68" Target="https://psm.admin.ch/" TargetMode="External" /><Relationship Type="http://schemas.openxmlformats.org/officeDocument/2006/relationships/hyperlink" Id="rId39" Target="https://rf-vp.agate.ch/digiflux/naebi/2-0/naebiservice-backend/agronomiccropcategories" TargetMode="External" /><Relationship Type="http://schemas.openxmlformats.org/officeDocument/2006/relationships/hyperlink" Id="rId97" Target="https://shacl-play.sparna.fr/" TargetMode="External" /><Relationship Type="http://schemas.openxmlformats.org/officeDocument/2006/relationships/hyperlink" Id="rId88" Target="https://www.blw.admin.ch/dam/de/sd-web/PCfDBOdwjaOm/WegleitungSuisse-Bilanz1_20_D_DEF.pdf" TargetMode="External" /><Relationship Type="http://schemas.openxmlformats.org/officeDocument/2006/relationships/hyperlink" Id="rId27" Target="https://www.blw.admin.ch/dam/fr/sd-web/QYLa6wGfdK8G/2026%20Merkblatt%20Nr.%206.2%20Fl%C3%A4chenkatalog%20und%20Beitragsberechtigung.pdf" TargetMode="External" /><Relationship Type="http://schemas.openxmlformats.org/officeDocument/2006/relationships/hyperlink" Id="rId28" Target="https://www.blw.admin.ch/de/landwirtschaftliche-kulturflaechen" TargetMode="External" /><Relationship Type="http://schemas.openxmlformats.org/officeDocument/2006/relationships/hyperlink" Id="rId95" Target="https://www.ech.ch/sites/default/files/dosvers/hauptdokument/AUXI_e_DEF_2018-03-13_eCH-0205_V1.0_Linked%20Open%20Data.pdf" TargetMode="External" /><Relationship Type="http://schemas.openxmlformats.org/officeDocument/2006/relationships/hyperlink" Id="rId34" Target="https://www.fedlex.admin.ch/eli/cc/1999/13/de#art_14" TargetMode="External" /><Relationship Type="http://schemas.openxmlformats.org/officeDocument/2006/relationships/hyperlink" Id="rId31" Target="https://www.fedlex.admin.ch/eli/cc/1999/13/de#art_18" TargetMode="External" /><Relationship Type="http://schemas.openxmlformats.org/officeDocument/2006/relationships/hyperlink" Id="rId32" Target="https://www.fedlex.admin.ch/eli/cc/1999/13/de#art_19" TargetMode="External" /><Relationship Type="http://schemas.openxmlformats.org/officeDocument/2006/relationships/hyperlink" Id="rId33" Target="https://www.fedlex.admin.ch/eli/cc/1999/13/de#art_22" TargetMode="External" /><Relationship Type="http://schemas.openxmlformats.org/officeDocument/2006/relationships/hyperlink" Id="rId35" Target="https://www.fedlex.admin.ch/eli/cc/1999/13/de#art_24" TargetMode="External" /><Relationship Type="http://schemas.openxmlformats.org/officeDocument/2006/relationships/hyperlink" Id="rId42" Target="https://www.psm.admin.ch/" TargetMode="External" /><Relationship Type="http://schemas.openxmlformats.org/officeDocument/2006/relationships/hyperlink" Id="rId44" Target="https://www.psm.admin.ch/de/produkte/7430" TargetMode="External" /><Relationship Type="http://schemas.openxmlformats.org/officeDocument/2006/relationships/hyperlink" Id="rId61" Target="https://www.w3.org/TR/owl-guide/" TargetMode="External" /><Relationship Type="http://schemas.openxmlformats.org/officeDocument/2006/relationships/hyperlink" Id="rId101" Target="https://www.w3.org/TR/owl2-overview/" TargetMode="External" /><Relationship Type="http://schemas.openxmlformats.org/officeDocument/2006/relationships/hyperlink" Id="rId60" Target="https://www.w3.org/TR/rdf-schema/" TargetMode="External" /><Relationship Type="http://schemas.openxmlformats.org/officeDocument/2006/relationships/hyperlink" Id="rId72" Target="https://www.w3.org/TR/rdf11-concepts/" TargetMode="External" /><Relationship Type="http://schemas.openxmlformats.org/officeDocument/2006/relationships/hyperlink" Id="rId99" Target="https://www.w3.org/TR/shacl/" TargetMode="External" /><Relationship Type="http://schemas.openxmlformats.org/officeDocument/2006/relationships/hyperlink" Id="rId74" Target="https://www.w3.org/TR/sparql11-query/"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07" Target="https://agriculture.ld.admin.ch/eCH-0265/2/term/agis" TargetMode="External" /><Relationship Type="http://schemas.openxmlformats.org/officeDocument/2006/relationships/hyperlink" Id="rId108" Target="https://agriculture.ld.admin.ch/eCH-0265/2/term/kais" TargetMode="External" /><Relationship Type="http://schemas.openxmlformats.org/officeDocument/2006/relationships/hyperlink" Id="rId109" Target="https://agriculture.ld.admin.ch/eCH-0265/2/term/lindas" TargetMode="External" /><Relationship Type="http://schemas.openxmlformats.org/officeDocument/2006/relationships/hyperlink" Id="rId110" Target="https://agriculture.ld.admin.ch/eCH-0265/2/term/nbbs" TargetMode="External" /><Relationship Type="http://schemas.openxmlformats.org/officeDocument/2006/relationships/hyperlink" Id="rId111" Target="https://agriculture.ld.admin.ch/eCH-0265/2/term/rdf" TargetMode="External" /><Relationship Type="http://schemas.openxmlformats.org/officeDocument/2006/relationships/hyperlink" Id="rId112" Target="https://agriculture.ld.admin.ch/eCH-0265/2/term/skos" TargetMode="External" /><Relationship Type="http://schemas.openxmlformats.org/officeDocument/2006/relationships/hyperlink" Id="rId113" Target="https://agriculture.ld.admin.ch/eCH-0265/2/term/srppp" TargetMode="External" /><Relationship Type="http://schemas.openxmlformats.org/officeDocument/2006/relationships/hyperlink" Id="rId114" Target="https://agriculture.ld.admin.ch/eCH-0265/2/term/suibi" TargetMode="External" /><Relationship Type="http://schemas.openxmlformats.org/officeDocument/2006/relationships/hyperlink" Id="rId115" Target="https://agriculture.ld.admin.ch/eCH-0265/2/term/triple" TargetMode="External" /><Relationship Type="http://schemas.openxmlformats.org/officeDocument/2006/relationships/hyperlink" Id="rId93" Target="https://ech.ch/sites/default/files/imce/eCH-Dossier/eCH-Dossier_PDF_Publikationen/Hauptdokument/STAN_d_DEF_2024-02_07_eCH-0265_V1.0.0_Datenstandard_Agrardaten_Fl%C3%A4chenKulturen.pdf" TargetMode="External" /><Relationship Type="http://schemas.openxmlformats.org/officeDocument/2006/relationships/hyperlink" Id="rId43" Target="https://eppo.int/" TargetMode="External" /><Relationship Type="http://schemas.openxmlformats.org/officeDocument/2006/relationships/hyperlink" Id="rId29" Target="https://geodienste.ch/" TargetMode="External" /><Relationship Type="http://schemas.openxmlformats.org/officeDocument/2006/relationships/hyperlink" Id="rId82" Target="https://github.com/blw-ofag-ufag/eCH-0265/blob/main/src/sparql/queries/mapping_table.rq" TargetMode="External" /><Relationship Type="http://schemas.openxmlformats.org/officeDocument/2006/relationships/hyperlink" Id="rId120" Target="https://github.com/blw-ofag-ufag/eCH-0265/releases" TargetMode="External" /><Relationship Type="http://schemas.openxmlformats.org/officeDocument/2006/relationships/hyperlink" Id="rId76" Target="https://github.com/blw-ofag-ufag/eCH-0265/tree/main/src/sparql/queries" TargetMode="External" /><Relationship Type="http://schemas.openxmlformats.org/officeDocument/2006/relationships/hyperlink" Id="rId90" Target="https://ira.agroscope.ch/de-CH/publication/52563" TargetMode="External" /><Relationship Type="http://schemas.openxmlformats.org/officeDocument/2006/relationships/hyperlink" Id="rId73" Target="https://lindas.admin.ch/" TargetMode="External" /><Relationship Type="http://schemas.openxmlformats.org/officeDocument/2006/relationships/hyperlink" Id="rId75" Target="https://lindas.admin.ch/sparql/" TargetMode="External" /><Relationship Type="http://schemas.openxmlformats.org/officeDocument/2006/relationships/hyperlink" Id="rId30" Target="https://models.geo.admin.ch/BLW/" TargetMode="External" /><Relationship Type="http://schemas.openxmlformats.org/officeDocument/2006/relationships/hyperlink" Id="rId68" Target="https://psm.admin.ch/" TargetMode="External" /><Relationship Type="http://schemas.openxmlformats.org/officeDocument/2006/relationships/hyperlink" Id="rId39" Target="https://rf-vp.agate.ch/digiflux/naebi/2-0/naebiservice-backend/agronomiccropcategories" TargetMode="External" /><Relationship Type="http://schemas.openxmlformats.org/officeDocument/2006/relationships/hyperlink" Id="rId97" Target="https://shacl-play.sparna.fr/" TargetMode="External" /><Relationship Type="http://schemas.openxmlformats.org/officeDocument/2006/relationships/hyperlink" Id="rId88" Target="https://www.blw.admin.ch/dam/de/sd-web/PCfDBOdwjaOm/WegleitungSuisse-Bilanz1_20_D_DEF.pdf" TargetMode="External" /><Relationship Type="http://schemas.openxmlformats.org/officeDocument/2006/relationships/hyperlink" Id="rId27" Target="https://www.blw.admin.ch/dam/fr/sd-web/QYLa6wGfdK8G/2026%20Merkblatt%20Nr.%206.2%20Fl%C3%A4chenkatalog%20und%20Beitragsberechtigung.pdf" TargetMode="External" /><Relationship Type="http://schemas.openxmlformats.org/officeDocument/2006/relationships/hyperlink" Id="rId28" Target="https://www.blw.admin.ch/de/landwirtschaftliche-kulturflaechen" TargetMode="External" /><Relationship Type="http://schemas.openxmlformats.org/officeDocument/2006/relationships/hyperlink" Id="rId95" Target="https://www.ech.ch/sites/default/files/dosvers/hauptdokument/AUXI_e_DEF_2018-03-13_eCH-0205_V1.0_Linked%20Open%20Data.pdf" TargetMode="External" /><Relationship Type="http://schemas.openxmlformats.org/officeDocument/2006/relationships/hyperlink" Id="rId34" Target="https://www.fedlex.admin.ch/eli/cc/1999/13/de#art_14" TargetMode="External" /><Relationship Type="http://schemas.openxmlformats.org/officeDocument/2006/relationships/hyperlink" Id="rId31" Target="https://www.fedlex.admin.ch/eli/cc/1999/13/de#art_18" TargetMode="External" /><Relationship Type="http://schemas.openxmlformats.org/officeDocument/2006/relationships/hyperlink" Id="rId32" Target="https://www.fedlex.admin.ch/eli/cc/1999/13/de#art_19" TargetMode="External" /><Relationship Type="http://schemas.openxmlformats.org/officeDocument/2006/relationships/hyperlink" Id="rId33" Target="https://www.fedlex.admin.ch/eli/cc/1999/13/de#art_22" TargetMode="External" /><Relationship Type="http://schemas.openxmlformats.org/officeDocument/2006/relationships/hyperlink" Id="rId35" Target="https://www.fedlex.admin.ch/eli/cc/1999/13/de#art_24" TargetMode="External" /><Relationship Type="http://schemas.openxmlformats.org/officeDocument/2006/relationships/hyperlink" Id="rId42" Target="https://www.psm.admin.ch/" TargetMode="External" /><Relationship Type="http://schemas.openxmlformats.org/officeDocument/2006/relationships/hyperlink" Id="rId44" Target="https://www.psm.admin.ch/de/produkte/7430" TargetMode="External" /><Relationship Type="http://schemas.openxmlformats.org/officeDocument/2006/relationships/hyperlink" Id="rId61" Target="https://www.w3.org/TR/owl-guide/" TargetMode="External" /><Relationship Type="http://schemas.openxmlformats.org/officeDocument/2006/relationships/hyperlink" Id="rId101" Target="https://www.w3.org/TR/owl2-overview/" TargetMode="External" /><Relationship Type="http://schemas.openxmlformats.org/officeDocument/2006/relationships/hyperlink" Id="rId60" Target="https://www.w3.org/TR/rdf-schema/" TargetMode="External" /><Relationship Type="http://schemas.openxmlformats.org/officeDocument/2006/relationships/hyperlink" Id="rId72" Target="https://www.w3.org/TR/rdf11-concepts/" TargetMode="External" /><Relationship Type="http://schemas.openxmlformats.org/officeDocument/2006/relationships/hyperlink" Id="rId99" Target="https://www.w3.org/TR/shacl/" TargetMode="External" /><Relationship Type="http://schemas.openxmlformats.org/officeDocument/2006/relationships/hyperlink" Id="rId74" Target="https://www.w3.org/TR/sparql11-query/"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eCH Fachgruppe AgriFood</dc:creator>
  <dc:language>de-CH</dc:language>
  <cp:keywords>Landwirtschaft, Informatik, Behörden</cp:keywords>
  <dcterms:created xsi:type="dcterms:W3CDTF">2026-09-10T11:37:15Z</dcterms:created>
  <dcterms:modified xsi:type="dcterms:W3CDTF">2026-09-10T11:37:15Z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itation">
    <vt:lpwstr/>
  </property>
  <property fmtid="{D5CDD505-2E9C-101B-9397-08002B2CF9AE}" pid="8" name="date">
    <vt:lpwstr>10. September 2026</vt:lpwstr>
  </property>
  <property fmtid="{D5CDD505-2E9C-101B-9397-08002B2CF9AE}" pid="9" name="date-format">
    <vt:lpwstr>long</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ink-citations">
    <vt:lpwstr>True</vt:lpwstr>
  </property>
  <property fmtid="{D5CDD505-2E9C-101B-9397-08002B2CF9AE}" pid="16" name="toc-title">
    <vt:lpwstr>Inhaltsverzeichnis</vt:lpwstr>
  </property>
</Properties>
</file>