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79.png" ContentType="image/png"/>
  <Override PartName="/word/media/rId90.png" ContentType="image/png"/>
  <Override PartName="/word/media/rId8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29.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47"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6"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eCH-0265:1.0.0</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6"/>
    <w:bookmarkStart w:id="37"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7">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8">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30">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6"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3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6"/>
          <w:p/>
        </w:tc>
      </w:tr>
    </w:tbl>
    <w:bookmarkEnd w:id="37"/>
    <w:bookmarkStart w:id="41"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CFGH17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AgBL25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CFGH17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AgBL25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w:t>
      </w:r>
      <w:hyperlink w:anchor="ref-grud2017">
        <w:r>
          <w:rPr>
            <w:rStyle w:val="Hyperlink"/>
          </w:rPr>
          <w:t xml:space="preserve">CFGH17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8"/>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40"/>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41"/>
    <w:bookmarkStart w:id="46" w:name="sec-plant-protection"/>
    <w:p>
      <w:pPr>
        <w:pStyle w:val="berschrift2"/>
      </w:pPr>
      <w:r>
        <w:t xml:space="preserve">1.4 Pflanzenschutz</w:t>
      </w:r>
    </w:p>
    <w:p>
      <w:pPr>
        <w:pStyle w:val="FirstParagraph"/>
      </w:pPr>
      <w:r>
        <w:t xml:space="preserve">Das</w:t>
      </w:r>
      <w:r>
        <w:t xml:space="preserve"> </w:t>
      </w:r>
      <w:hyperlink r:id="rId42">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3">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4">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5"/>
      </w:r>
      <w:r>
        <w:t xml:space="preserve"> </w:t>
      </w:r>
      <w:r>
        <w:t xml:space="preserve">Die korrekte Nachbildung dieser Polyhierarchie ist in den Daten folglich essenziell, um Zulassungen maschinell korrekt zu verarbeiten.</w:t>
      </w:r>
    </w:p>
    <w:bookmarkEnd w:id="46"/>
    <w:bookmarkEnd w:id="47"/>
    <w:bookmarkStart w:id="53" w:name="sec-data-model"/>
    <w:p>
      <w:pPr>
        <w:pStyle w:val="berschrift1"/>
      </w:pPr>
      <w:r>
        <w:t xml:space="preserve">2. Datenmodell</w:t>
      </w:r>
    </w:p>
    <w:bookmarkStart w:id="52"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w:t>
      </w:r>
      <w:hyperlink w:anchor="ref-eCH-0205:1.0.0">
        <w:r>
          <w:rPr>
            <w:rStyle w:val="Hyperlink"/>
          </w:rPr>
          <w:t xml:space="preserve">eCH-0205:1.0.0</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owl2">
        <w:r>
          <w:rPr>
            <w:rStyle w:val="Hyperlink"/>
          </w:rPr>
          <w:t xml:space="preserve">OWL Overview</w:t>
        </w:r>
      </w:hyperlink>
      <w:r>
        <w:t xml:space="preserve">;</w:t>
      </w:r>
      <w:r>
        <w:t xml:space="preserve"> </w:t>
      </w:r>
      <w:hyperlink w:anchor="ref-rdf">
        <w:r>
          <w:rPr>
            <w:rStyle w:val="Hyperlink"/>
          </w:rPr>
          <w:t xml:space="preserve">RDF</w:t>
        </w:r>
      </w:hyperlink>
      <w:r>
        <w:t xml:space="preserve">;</w:t>
      </w:r>
      <w:r>
        <w:t xml:space="preserve"> </w:t>
      </w:r>
      <w:hyperlink w:anchor="ref-shacl">
        <w:r>
          <w:rPr>
            <w:rStyle w:val="Hyperlink"/>
          </w:rPr>
          <w:t xml:space="preserve">SHACL</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uml"/>
          <w:p>
            <w:pPr>
              <w:pStyle w:val="Compact"/>
              <w:jc w:val="center"/>
            </w:pPr>
            <w:r>
              <w:drawing>
                <wp:inline>
                  <wp:extent cx="6299200" cy="1703881"/>
                  <wp:effectExtent b="0" l="0" r="0" t="0"/>
                  <wp:docPr descr="" title="" id="49" name="Picture"/>
                  <a:graphic>
                    <a:graphicData uri="http://schemas.openxmlformats.org/drawingml/2006/picture">
                      <pic:pic>
                        <pic:nvPicPr>
                          <pic:cNvPr descr="../assets/img/uml.png" id="50" name="Picture"/>
                          <pic:cNvPicPr>
                            <a:picLocks noChangeArrowheads="1" noChangeAspect="1"/>
                          </pic:cNvPicPr>
                        </pic:nvPicPr>
                        <pic:blipFill>
                          <a:blip r:embed="rId48"/>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Fran20</w:t>
              </w:r>
            </w:hyperlink>
            <w:r>
              <w:t xml:space="preserve">]</w:t>
            </w:r>
            <w:r>
              <w:t xml:space="preserve"> </w:t>
            </w:r>
            <w:r>
              <w:t xml:space="preserve">aus den SHACL-Spezifikationen generiert.</w:t>
            </w:r>
          </w:p>
          <w:bookmarkEnd w:id="51"/>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2"/>
    <w:bookmarkEnd w:id="53"/>
    <w:bookmarkStart w:id="71" w:name="sec-classes"/>
    <w:p>
      <w:pPr>
        <w:pStyle w:val="berschrift1"/>
      </w:pPr>
      <w:r>
        <w:t xml:space="preserve">3. Klassen</w:t>
      </w:r>
    </w:p>
    <w:bookmarkStart w:id="55"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4"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6"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59"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8"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8"/>
          <w:p/>
        </w:tc>
      </w:tr>
    </w:tbl>
    <w:bookmarkEnd w:id="59"/>
    <w:bookmarkStart w:id="63"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60">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61">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2"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Die präferierte Bezeichnung der Nutzungsart. Sie ist viersprachig gegeben (de, fr, it, en) und beginnt immer mit einem Grossbuchstaben. Der Name ist möglichst schlank gehalten, bleibt aber eindeutig für die Nutzungsart. Klammerbemerkungen sind im Namen nicht erlaubt.</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4..*</w:t>
                  </w:r>
                </w:p>
              </w:tc>
            </w:tr>
            <w:tr>
              <w:tc>
                <w:tcPr/>
                <w:p>
                  <w:pPr>
                    <w:pStyle w:val="Compact"/>
                    <w:jc w:val="left"/>
                    <w:jc w:val="center"/>
                  </w:pPr>
                  <w:r>
                    <w:rPr>
                      <w:b/>
                      <w:bCs/>
                    </w:rPr>
                    <w:t xml:space="preserve">Alias</w:t>
                  </w:r>
                  <w:r>
                    <w:t xml:space="preserve">: Eine alternative Bezeichnung (also ein Synonym) der Nutzungsart. Beispiel: Stielmangold oder Rippenmangold sind Synonyme für Krautstiel. Diese Synonyme können für verbesserte Suchfunktionen gebraucht werden.</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r>
                    <w:t xml:space="preserve">: Falls der Name der Nutzungsart nicht selbsterklärend ist, kann eine weiterführende Beschreibung beigelegt werden.</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2"/>
          <w:p/>
        </w:tc>
      </w:tr>
    </w:tbl>
    <w:bookmarkEnd w:id="63"/>
    <w:bookmarkStart w:id="65"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4"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7"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6"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6"/>
          <w:p/>
        </w:tc>
      </w:tr>
    </w:tbl>
    <w:bookmarkEnd w:id="67"/>
    <w:bookmarkStart w:id="70" w:name="sec-nodeshape-plantprotectioncrop"/>
    <w:p>
      <w:pPr>
        <w:pStyle w:val="berschrift2"/>
      </w:pPr>
      <w:r>
        <w:t xml:space="preserve">3.7 Pflanzenschutzmittel-Kultur</w:t>
      </w:r>
    </w:p>
    <w:p>
      <w:pPr>
        <w:pStyle w:val="FirstParagraph"/>
      </w:pPr>
      <w:r>
        <w:t xml:space="preserve">Kultur, wie sie im</w:t>
      </w:r>
      <w:r>
        <w:t xml:space="preserve"> </w:t>
      </w:r>
      <w:hyperlink r:id="rId68">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9"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9"/>
          <w:p/>
        </w:tc>
      </w:tr>
    </w:tbl>
    <w:bookmarkEnd w:id="70"/>
    <w:bookmarkEnd w:id="71"/>
    <w:bookmarkStart w:id="84"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2">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3">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7"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4">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5">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6">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7"/>
    <w:bookmarkStart w:id="83"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8"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8"/>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2">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5">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3"/>
    <w:bookmarkEnd w:id="84"/>
    <w:bookmarkStart w:id="95" w:name="sec-interoperability"/>
    <w:p>
      <w:pPr>
        <w:pStyle w:val="berschrift1"/>
      </w:pPr>
      <w:r>
        <w:t xml:space="preserve">5. Interoperabilität der Kulturbegriffe</w:t>
      </w:r>
    </w:p>
    <w:p>
      <w:pPr>
        <w:pStyle w:val="FirstParagraph"/>
      </w:pPr>
      <w:r>
        <w:t xml:space="preserve">Semantische Interoperabilität bedeutet, dass die Bedeutung (die</w:t>
      </w:r>
      <w:r>
        <w:t xml:space="preserve"> </w:t>
      </w:r>
      <w:r>
        <w:rPr>
          <w:i/>
          <w:iCs/>
        </w:rPr>
        <w:t xml:space="preserve">Semantik</w:t>
      </w:r>
      <w:r>
        <w:t xml:space="preserve">) einer Information beim Austausch zwischen Systemen erhalten bleibt</w:t>
      </w:r>
      <w:r>
        <w:t xml:space="preserve"> </w:t>
      </w:r>
      <w:r>
        <w:t xml:space="preserve">[</w:t>
      </w:r>
      <w:hyperlink w:anchor="ref-eif2017">
        <w:r>
          <w:rPr>
            <w:rStyle w:val="Hyperlink"/>
          </w:rPr>
          <w:t xml:space="preserve">EC17</w:t>
        </w:r>
      </w:hyperlink>
      <w:r>
        <w:t xml:space="preserve">]</w:t>
      </w:r>
      <w:r>
        <w:t xml:space="preserve">.</w:t>
      </w:r>
      <w:r>
        <w:t xml:space="preserve"> </w:t>
      </w:r>
      <w:r>
        <w:t xml:space="preserve">Die Mapping-Tabellen aus</w:t>
      </w:r>
      <w:r>
        <w:t xml:space="preserve"> </w:t>
      </w:r>
      <w:hyperlink w:anchor="sec-mapping-tables">
        <w:r>
          <w:rPr>
            <w:rStyle w:val="Hyperlink"/>
          </w:rPr>
          <w:t xml:space="preserve">Kapitel 4.2</w:t>
        </w:r>
      </w:hyperlink>
      <w:r>
        <w:t xml:space="preserve"> </w:t>
      </w:r>
      <w:r>
        <w:t xml:space="preserve">bilden dafür ein sogenanntes</w:t>
      </w:r>
      <w:r>
        <w:t xml:space="preserve"> </w:t>
      </w:r>
      <w:r>
        <w:rPr>
          <w:i/>
          <w:iCs/>
        </w:rPr>
        <w:t xml:space="preserve">Alignment</w:t>
      </w:r>
      <w:r>
        <w:t xml:space="preserve"> </w:t>
      </w:r>
      <w:r>
        <w:t xml:space="preserve">zwischen den drei unabhängig entstandenen Kategorisierungssystemen der Direktzahlungen (DZ), der Nährstoffbilanz (NB) und des Pflanzenschutzmittelverzeichnisses (PSM); die verwendeten SKOS-Beziehungen entsprechen den Äquivalenz- und Hierarchie-Mappings nach</w:t>
      </w:r>
      <w:r>
        <w:t xml:space="preserve"> </w:t>
      </w:r>
      <w:r>
        <w:t xml:space="preserve">[</w:t>
      </w:r>
      <w:hyperlink w:anchor="ref-iso25964-2">
        <w:r>
          <w:rPr>
            <w:rStyle w:val="Hyperlink"/>
          </w:rPr>
          <w:t xml:space="preserve">ISO 25964-2</w:t>
        </w:r>
      </w:hyperlink>
      <w:r>
        <w:t xml:space="preserve">;</w:t>
      </w:r>
      <w:r>
        <w:t xml:space="preserve"> </w:t>
      </w:r>
      <w:hyperlink w:anchor="ref-skos">
        <w:r>
          <w:rPr>
            <w:rStyle w:val="Hyperlink"/>
          </w:rPr>
          <w:t xml:space="preserve">SKOS</w:t>
        </w:r>
      </w:hyperlink>
      <w:r>
        <w:t xml:space="preserve">]</w:t>
      </w:r>
      <w:r>
        <w:t xml:space="preserve">.</w:t>
      </w:r>
      <w:r>
        <w:t xml:space="preserve"> </w:t>
      </w:r>
      <w:r>
        <w:t xml:space="preserve">Dieses Kapitel quantifiziert, wie weit die beschriebenen Kulturen ohne manuellen Eingriff in ein anderes System überführt werden können.</w:t>
      </w:r>
      <w:r>
        <w:t xml:space="preserve"> </w:t>
      </w:r>
      <w:r>
        <w:t xml:space="preserve">Berücksichtigt werden nur aktuell geltende Kulturen ohne Strukturierungsebenen: die Kulturkategorien bei Direktzahlungen und Nährstoffbilanz bleiben aussen vor, und im PSMV zählen nur die untersten Kulturen, nicht übergeordnete Gruppen wie «Getreide» oder «Wintergetreide» (</w:t>
      </w:r>
      <w:hyperlink w:anchor="fig-psm-hierarchy">
        <w:r>
          <w:rPr>
            <w:rStyle w:val="Hyperlink"/>
          </w:rPr>
          <w:t xml:space="preserve">Abbildung 2</w:t>
        </w:r>
      </w:hyperlink>
      <w:r>
        <w:t xml:space="preserve">).</w:t>
      </w:r>
      <w:r>
        <w:rPr>
          <w:rStyle w:val="FootnoteReference"/>
        </w:rPr>
        <w:footnoteReference w:id="85"/>
      </w:r>
    </w:p>
    <w:tbl>
      <w:tblPr>
        <w:tblStyle w:val="Table"/>
        <w:tblW w:type="pct" w:w="5000"/>
        <w:tblLayout w:type="fixed"/>
        <w:tblLook w:firstRow="0" w:lastRow="0" w:firstColumn="0" w:lastColumn="0" w:noHBand="0" w:noVBand="0" w:val="0000"/>
      </w:tblPr>
      <w:tblGrid>
        <w:gridCol w:w="7920"/>
      </w:tblGrid>
      <w:tr>
        <w:tc>
          <w:tcPr/>
          <w:bookmarkStart w:id="89" w:name="fig-psm-hierarchy"/>
          <w:p>
            <w:pPr>
              <w:pStyle w:val="Compact"/>
              <w:jc w:val="center"/>
            </w:pPr>
            <w:r>
              <w:drawing>
                <wp:inline>
                  <wp:extent cx="6299200" cy="4724400"/>
                  <wp:effectExtent b="0" l="0" r="0" t="0"/>
                  <wp:docPr descr="" title="" id="87" name="Picture"/>
                  <a:graphic>
                    <a:graphicData uri="http://schemas.openxmlformats.org/drawingml/2006/picture">
                      <pic:pic>
                        <pic:nvPicPr>
                          <pic:cNvPr descr="index_files/figure-docx/fig-psm-hierarchy-1.png" id="88" name="Picture"/>
                          <pic:cNvPicPr>
                            <a:picLocks noChangeArrowheads="1" noChangeAspect="1"/>
                          </pic:cNvPicPr>
                        </pic:nvPicPr>
                        <pic:blipFill>
                          <a:blip r:embed="rId86"/>
                          <a:stretch>
                            <a:fillRect/>
                          </a:stretch>
                        </pic:blipFill>
                        <pic:spPr bwMode="auto">
                          <a:xfrm>
                            <a:off x="0" y="0"/>
                            <a:ext cx="6299200" cy="47244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Ausschnitt aus der Hierarchie der Kulturen im Pflanzenschutzmittelverzeichnis: die oberste Gruppe «Feldbau allg.» mit allen Untergruppen und Kulturen des Ackerbaus. Gezeigt ist damit nur ein kleiner Teil der Taxonomie; das Verzeichnis umfasst über 300 Kulturen in mehr als 20 obersten Gruppen. Grau gefüllte Knoten sind unterste Kulturen; nur sie gehen in die Kennzahlen dieses Kapitels ein. Umrandete Knoten sind übergeordnete Gruppen, die weder bei der Abbildbarkeit noch bei der Abdeckung mitzählen. Kulturen mit zwei Übergruppen, etwa «Winterroggen» unter «Roggen» und «Wintergetreide», sind mit beiden verbunden.</w:t>
            </w:r>
          </w:p>
          <w:bookmarkEnd w:id="89"/>
        </w:tc>
      </w:tr>
    </w:tbl>
    <w:p>
      <w:pPr>
        <w:pStyle w:val="Textkrper"/>
      </w:pPr>
      <w:r>
        <w:t xml:space="preserve">Die Kultur eines Quellsystems gilt als</w:t>
      </w:r>
      <w:r>
        <w:t xml:space="preserve"> </w:t>
      </w:r>
      <w:r>
        <w:rPr>
          <w:i/>
          <w:iCs/>
        </w:rPr>
        <w:t xml:space="preserve">deterministisch abbildbar</w:t>
      </w:r>
      <w:r>
        <w:t xml:space="preserve"> </w:t>
      </w:r>
      <w:r>
        <w:t xml:space="preserve">in ein Zielsystem, wenn mindestens ein</w:t>
      </w:r>
      <w:r>
        <w:t xml:space="preserve"> </w:t>
      </w:r>
      <w:r>
        <w:rPr>
          <w:rStyle w:val="VerbatimChar"/>
        </w:rPr>
        <w:t xml:space="preserve">skos:exactMatch</w:t>
      </w:r>
      <w:r>
        <w:t xml:space="preserve"> </w:t>
      </w:r>
      <w:r>
        <w:t xml:space="preserve">oder mindestens ein</w:t>
      </w:r>
      <w:r>
        <w:t xml:space="preserve"> </w:t>
      </w:r>
      <w:r>
        <w:rPr>
          <w:rStyle w:val="VerbatimChar"/>
        </w:rPr>
        <w:t xml:space="preserve">skos:broadMatch</w:t>
      </w:r>
      <w:r>
        <w:t xml:space="preserve"> </w:t>
      </w:r>
      <w:r>
        <w:t xml:space="preserve">zu einer Kultur des Zielsystems vorliegt.</w:t>
      </w:r>
      <w:r>
        <w:t xml:space="preserve"> </w:t>
      </w:r>
      <w:r>
        <w:t xml:space="preserve">Diese Überführung mittels</w:t>
      </w:r>
      <w:r>
        <w:t xml:space="preserve"> </w:t>
      </w:r>
      <w:r>
        <w:rPr>
          <w:rStyle w:val="VerbatimChar"/>
        </w:rPr>
        <w:t xml:space="preserve">skos:exactMatch</w:t>
      </w:r>
      <w:r>
        <w:t xml:space="preserve"> </w:t>
      </w:r>
      <w:r>
        <w:t xml:space="preserve">ist verlustfrei; ein</w:t>
      </w:r>
      <w:r>
        <w:t xml:space="preserve"> </w:t>
      </w:r>
      <w:r>
        <w:rPr>
          <w:rStyle w:val="VerbatimChar"/>
        </w:rPr>
        <w:t xml:space="preserve">skos:broadMatch</w:t>
      </w:r>
      <w:r>
        <w:t xml:space="preserve"> </w:t>
      </w:r>
      <w:r>
        <w:t xml:space="preserve">ordnet die Kultur einer allgemeineren Kategorie zu, etwa «Winterraps zur Speiseölgewinnung» (Direktzahlungen) hin zu «Winterraps» (Pflanzenschutzmittelverzeichnis):</w:t>
      </w:r>
      <w:r>
        <w:t xml:space="preserve"> </w:t>
      </w:r>
      <w:r>
        <w:t xml:space="preserve">Detailinformation geht dabei verloren, das Ziel ist aber ohne Zusatzwissen eindeutig.</w:t>
      </w:r>
    </w:p>
    <w:p>
      <w:pPr>
        <w:pStyle w:val="Textkrper"/>
      </w:pPr>
      <w:r>
        <w:t xml:space="preserve">Liegt hingegen ein</w:t>
      </w:r>
      <w:r>
        <w:t xml:space="preserve"> </w:t>
      </w:r>
      <w:r>
        <w:rPr>
          <w:rStyle w:val="VerbatimChar"/>
        </w:rPr>
        <w:t xml:space="preserve">skos:narrowMatch</w:t>
      </w:r>
      <w:r>
        <w:t xml:space="preserve"> </w:t>
      </w:r>
      <w:r>
        <w:t xml:space="preserve">vor, ist das Ziel spezifischer als die Quelle, und die Auswahl unter den Kandidaten erfordert Information, die in den Quelldaten fehlt.</w:t>
      </w:r>
      <w:r>
        <w:t xml:space="preserve"> </w:t>
      </w:r>
      <w:r>
        <w:t xml:space="preserve">So kann «Hafer» (Direktzahlungen) nur mit Kenntnis des Saatzeitpunkets auf «Sommerhafer» (Pflanzenschutzmittelverzeichnis) abgebildet werden, ein altbekanntes Problem beim Mapping zwischen Vokabularen unterschiedlicher Granularität</w:t>
      </w:r>
      <w:r>
        <w:t xml:space="preserve"> </w:t>
      </w:r>
      <w:r>
        <w:t xml:space="preserve">[</w:t>
      </w:r>
      <w:hyperlink w:anchor="ref-doerr2001semantic">
        <w:r>
          <w:rPr>
            <w:rStyle w:val="Hyperlink"/>
          </w:rPr>
          <w:t xml:space="preserve">Doer01</w:t>
        </w:r>
      </w:hyperlink>
      <w:r>
        <w:t xml:space="preserve">;</w:t>
      </w:r>
      <w:r>
        <w:t xml:space="preserve"> </w:t>
      </w:r>
      <w:hyperlink w:anchor="ref-zeng2004trends">
        <w:r>
          <w:rPr>
            <w:rStyle w:val="Hyperlink"/>
          </w:rPr>
          <w:t xml:space="preserve">ZeCh04</w:t>
        </w:r>
      </w:hyperlink>
      <w:r>
        <w:t xml:space="preserve">]</w:t>
      </w:r>
      <w:r>
        <w:t xml:space="preserve">.</w:t>
      </w:r>
    </w:p>
    <w:p>
      <w:pPr>
        <w:pStyle w:val="Textkrper"/>
      </w:pPr>
      <w:r>
        <w:t xml:space="preserve">Aus Sicht des Zielsystems ist eine solche Kultur nur als Aggregat erreichbar.</w:t>
      </w:r>
      <w:r>
        <w:t xml:space="preserve"> </w:t>
      </w:r>
      <w:r>
        <w:t xml:space="preserve">Die</w:t>
      </w:r>
      <w:r>
        <w:t xml:space="preserve"> </w:t>
      </w:r>
      <w:r>
        <w:rPr>
          <w:i/>
          <w:iCs/>
        </w:rPr>
        <w:t xml:space="preserve">deterministische Abbildbarkeit</w:t>
      </w:r>
      <w:r>
        <w:t xml:space="preserve"> </w:t>
      </w:r>
      <w:r>
        <w:t xml:space="preserve">ist der Anteil der deterministisch abbildbaren Kulturen an allen Kulturen des Quellsystems; sie ist gerichtet, weil eine Aggregation nur in eine Richtung eindeutig ist.</w:t>
      </w:r>
      <w:r>
        <w:t xml:space="preserve"> </w:t>
      </w:r>
      <w:hyperlink w:anchor="fig-mappability">
        <w:r>
          <w:rPr>
            <w:rStyle w:val="Hyperlink"/>
          </w:rPr>
          <w:t xml:space="preserve">Abbildung 3</w:t>
        </w:r>
      </w:hyperlink>
      <w:r>
        <w:t xml:space="preserve"> </w:t>
      </w:r>
      <w:r>
        <w:t xml:space="preserve">stellt deshalb jeweils beide Systeme eines Paars gegenüber.</w:t>
      </w:r>
    </w:p>
    <w:tbl>
      <w:tblPr>
        <w:tblStyle w:val="Table"/>
        <w:tblW w:type="pct" w:w="5000"/>
        <w:tblLayout w:type="fixed"/>
        <w:tblLook w:firstRow="0" w:lastRow="0" w:firstColumn="0" w:lastColumn="0" w:noHBand="0" w:noVBand="0" w:val="0000"/>
      </w:tblPr>
      <w:tblGrid>
        <w:gridCol w:w="7920"/>
      </w:tblGrid>
      <w:tr>
        <w:tc>
          <w:tcPr/>
          <w:bookmarkStart w:id="93" w:name="fig-mappability"/>
          <w:p>
            <w:pPr>
              <w:pStyle w:val="Compact"/>
              <w:jc w:val="center"/>
            </w:pPr>
            <w:r>
              <w:drawing>
                <wp:inline>
                  <wp:extent cx="6299200" cy="4199466"/>
                  <wp:effectExtent b="0" l="0" r="0" t="0"/>
                  <wp:docPr descr="" title="" id="91" name="Picture"/>
                  <a:graphic>
                    <a:graphicData uri="http://schemas.openxmlformats.org/drawingml/2006/picture">
                      <pic:pic>
                        <pic:nvPicPr>
                          <pic:cNvPr descr="index_files/figure-docx/fig-mappability-1.png" id="92" name="Picture"/>
                          <pic:cNvPicPr>
                            <a:picLocks noChangeArrowheads="1" noChangeAspect="1"/>
                          </pic:cNvPicPr>
                        </pic:nvPicPr>
                        <pic:blipFill>
                          <a:blip r:embed="rId90"/>
                          <a:stretch>
                            <a:fillRect/>
                          </a:stretch>
                        </pic:blipFill>
                        <pic:spPr bwMode="auto">
                          <a:xfrm>
                            <a:off x="0" y="0"/>
                            <a:ext cx="6299200" cy="41994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3: Beziehung der Kulturen eines Quellsystems zu den Kulturen eines Zielsystems für die drei Paare zwischen den Bereichen Direktzahlungen (DZ), Nährstoffbilanz (NB) und Pflanzenschutzmittelverzeichnis (PSM). Jeder Balken zeigt die N geltenden Kulturen des Quellsystems und ihre Beziehung zum Zielsystem: exakt verknüpft (</w:t>
            </w:r>
            <w:r>
              <w:rPr>
                <w:rStyle w:val="VerbatimChar"/>
              </w:rPr>
              <w:t xml:space="preserve">skos:exactMatch</w:t>
            </w:r>
            <w:r>
              <w:t xml:space="preserve">), deterministisch aggregierbar (</w:t>
            </w:r>
            <w:r>
              <w:rPr>
                <w:rStyle w:val="VerbatimChar"/>
              </w:rPr>
              <w:t xml:space="preserve">skos:broadMatch</w:t>
            </w:r>
            <w:r>
              <w:t xml:space="preserve">), nur als Aggregat erreichbar (</w:t>
            </w:r>
            <w:r>
              <w:rPr>
                <w:rStyle w:val="VerbatimChar"/>
              </w:rPr>
              <w:t xml:space="preserve">skos:broadMatch</w:t>
            </w:r>
            <w:r>
              <w:t xml:space="preserve">) oder nicht verknüpft. Zahlen sind Anteile in Prozent mit der Anzahl Kulturen in Klammern; die schwarze Markierung ist die deterministische Abbildbarkeit.</w:t>
            </w:r>
          </w:p>
          <w:bookmarkEnd w:id="93"/>
        </w:tc>
      </w:tr>
    </w:tbl>
    <w:p>
      <w:pPr>
        <w:pStyle w:val="Textkrper"/>
      </w:pPr>
      <w:r>
        <w:t xml:space="preserve">Am höchsten ist die deterministische Abbildbarkeit für NB/DZ hin zum PSM-Verzeichnis.</w:t>
      </w:r>
      <w:r>
        <w:t xml:space="preserve"> </w:t>
      </w:r>
      <w:r>
        <w:t xml:space="preserve">Sie beruht überwiegend auf Aggregationen in sehr allgemeine PSM-Kulturen wie «Offene Ackerfläche» oder «Grünfläche» und ist damit nur ein grober Indikator für die Interoperabilität mit dem Pflanzenschutzmittelverzeichnis.</w:t>
      </w:r>
      <w:r>
        <w:t xml:space="preserve"> </w:t>
      </w:r>
      <w:r>
        <w:t xml:space="preserve">In der Gegenrichtung ist eine solche PSM-Kultur nur als Aggregat erreichbar (dunkelgrau) und lässt sich nicht eindeutig auf eine NB- oder DZ-Kultur auflösen.</w:t>
      </w:r>
      <w:r>
        <w:t xml:space="preserve"> </w:t>
      </w:r>
      <w:r>
        <w:t xml:space="preserve">Hellgrau markierte Kulturen bleiben in beiden Richtungen unerreicht, etwa Heil- und Gewürzpflanzen wie «Süssdolde» oder «Wolliger Fingerhut» im PSMV oder Bilanzpositionen wie «Zwischenfutter» in der NB; die</w:t>
      </w:r>
      <w:r>
        <w:t xml:space="preserve"> </w:t>
      </w:r>
      <w:r>
        <w:rPr>
          <w:i/>
          <w:iCs/>
        </w:rPr>
        <w:t xml:space="preserve">Abdeckung</w:t>
      </w:r>
      <w:r>
        <w:t xml:space="preserve"> </w:t>
      </w:r>
      <w:r>
        <w:t xml:space="preserve">in</w:t>
      </w:r>
      <w:r>
        <w:t xml:space="preserve"> </w:t>
      </w:r>
      <w:hyperlink w:anchor="tbl-interoperability">
        <w:r>
          <w:rPr>
            <w:rStyle w:val="Hyperlink"/>
          </w:rPr>
          <w:t xml:space="preserve">Tabelle 11</w:t>
        </w:r>
      </w:hyperlink>
      <w:r>
        <w:t xml:space="preserve"> </w:t>
      </w:r>
      <w:r>
        <w:t xml:space="preserve">beziffert den Anteil der Zielkulturen, die von einem Quellsystem aus erreicht werden.</w:t>
      </w:r>
    </w:p>
    <w:p>
      <w:pPr>
        <w:pStyle w:val="Textkrper"/>
      </w:pPr>
      <w:r>
        <w:t xml:space="preserve">Die Abbildbarkeit in DZ ist in beiden Richtungen gering, weil DZ auch Landnutzungen wie Biodiversitätsförderflächen, Sömmerungsflächen oder Einzelelemente typisiert, die in den anderen Systemen kein Gegenstück haben.</w:t>
      </w:r>
      <w:r>
        <w:t xml:space="preserve"> </w:t>
      </w:r>
      <w:r>
        <w:t xml:space="preserve">Ackerfläche und Dauergrünfläche lassen sich praktisch vollständig ins Pflanzenschutzmittelverzeichnis überführen, Sömmerungsflächen hingegen kaum.</w:t>
      </w:r>
    </w:p>
    <w:tbl>
      <w:tblPr>
        <w:tblStyle w:val="Table"/>
        <w:tblW w:type="pct" w:w="5000"/>
        <w:tblLayout w:type="fixed"/>
        <w:tblLook w:firstRow="0" w:lastRow="0" w:firstColumn="0" w:lastColumn="0" w:noHBand="0" w:noVBand="0" w:val="0000"/>
      </w:tblPr>
      <w:tblGrid>
        <w:gridCol w:w="7920"/>
      </w:tblGrid>
      <w:tr>
        <w:tc>
          <w:tcPr/>
          <w:bookmarkStart w:id="94" w:name="tbl-interoperability"/>
          <w:p>
            <w:pPr>
              <w:jc w:val="center"/>
            </w:pPr>
            <w:pPr>
              <w:jc w:val="left"/>
              <w:spacing w:before="200"/>
              <w:pStyle w:val="ImageCaption"/>
            </w:pPr>
            <w:r>
              <w:t xml:space="preserve">Tabelle 11: Interoperabilitätskennzahlen zwischen Direktzahlungen (DZ), Nährstoffbilanz (NB) und Pflanzenschutzmittelverzeichnis (PSM): Anzahl geltender Kulturen im Quellsystem (N), Anteil exakt verknüpfter Kulturen (Exakt), deterministische Abbildbarkeit (Abbildbar) und Abdeckung des Zielsystems (Abdeckung).</w:t>
            </w:r>
          </w:p>
          <w:tbl>
            <w:tblPr>
              <w:tblStyle w:val="Table"/>
              <w:tblW w:type="pct" w:w="5000"/>
              <w:tblLayout w:type="fixed"/>
              <w:tblLook w:firstRow="1" w:lastRow="0" w:firstColumn="0" w:lastColumn="0" w:noHBand="0" w:noVBand="0" w:val="0020"/>
            </w:tblPr>
            <w:tblGrid>
              <w:gridCol w:w="1584"/>
              <w:gridCol w:w="1267"/>
              <w:gridCol w:w="1267"/>
              <w:gridCol w:w="1267"/>
              <w:gridCol w:w="1267"/>
              <w:gridCol w:w="1267"/>
            </w:tblGrid>
            <w:tr>
              <w:trPr>
                <w:tblHeader w:val="on"/>
              </w:trPr>
              <w:tc>
                <w:tcPr/>
                <w:p>
                  <w:pPr>
                    <w:pStyle w:val="Compact"/>
                    <w:jc w:val="left"/>
                    <w:jc w:val="center"/>
                  </w:pPr>
                  <w:r>
                    <w:t xml:space="preserve">Quellsystem</w:t>
                  </w:r>
                </w:p>
              </w:tc>
              <w:tc>
                <w:tcPr/>
                <w:p>
                  <w:pPr>
                    <w:pStyle w:val="Compact"/>
                    <w:jc w:val="left"/>
                    <w:jc w:val="center"/>
                  </w:pPr>
                  <w:r>
                    <w:t xml:space="preserve">Zielsystem</w:t>
                  </w:r>
                </w:p>
              </w:tc>
              <w:tc>
                <w:tcPr/>
                <w:p>
                  <w:pPr>
                    <w:pStyle w:val="Compact"/>
                    <w:jc w:val="right"/>
                    <w:jc w:val="center"/>
                  </w:pPr>
                  <w:r>
                    <w:t xml:space="preserve">N</w:t>
                  </w:r>
                </w:p>
              </w:tc>
              <w:tc>
                <w:tcPr/>
                <w:p>
                  <w:pPr>
                    <w:pStyle w:val="Compact"/>
                    <w:jc w:val="right"/>
                    <w:jc w:val="center"/>
                  </w:pPr>
                  <w:r>
                    <w:t xml:space="preserve">Exakt</w:t>
                  </w:r>
                </w:p>
              </w:tc>
              <w:tc>
                <w:tcPr/>
                <w:p>
                  <w:pPr>
                    <w:pStyle w:val="Compact"/>
                    <w:jc w:val="right"/>
                    <w:jc w:val="center"/>
                  </w:pPr>
                  <w:r>
                    <w:t xml:space="preserve">Abbildbar</w:t>
                  </w:r>
                </w:p>
              </w:tc>
              <w:tc>
                <w:tcPr/>
                <w:p>
                  <w:pPr>
                    <w:pStyle w:val="Compact"/>
                    <w:jc w:val="right"/>
                    <w:jc w:val="center"/>
                  </w:pPr>
                  <w:r>
                    <w:t xml:space="preserve">Abdeckung</w:t>
                  </w:r>
                </w:p>
              </w:tc>
            </w:tr>
            <w:tr>
              <w:tc>
                <w:tcPr/>
                <w:p>
                  <w:pPr>
                    <w:pStyle w:val="Compact"/>
                    <w:jc w:val="left"/>
                    <w:jc w:val="center"/>
                  </w:pPr>
                  <w:r>
                    <w:t xml:space="preserve">NB</w:t>
                  </w:r>
                </w:p>
              </w:tc>
              <w:tc>
                <w:tcPr/>
                <w:p>
                  <w:pPr>
                    <w:pStyle w:val="Compact"/>
                    <w:jc w:val="left"/>
                    <w:jc w:val="center"/>
                  </w:pPr>
                  <w:r>
                    <w:t xml:space="preserve">PSM</w:t>
                  </w:r>
                </w:p>
              </w:tc>
              <w:tc>
                <w:tcPr/>
                <w:p>
                  <w:pPr>
                    <w:pStyle w:val="Compact"/>
                    <w:jc w:val="right"/>
                    <w:jc w:val="center"/>
                  </w:pPr>
                  <w:r>
                    <w:t xml:space="preserve">314</w:t>
                  </w:r>
                </w:p>
              </w:tc>
              <w:tc>
                <w:tcPr/>
                <w:p>
                  <w:pPr>
                    <w:pStyle w:val="Compact"/>
                    <w:jc w:val="right"/>
                    <w:jc w:val="center"/>
                  </w:pPr>
                  <w:r>
                    <w:t xml:space="preserve">15.6%</w:t>
                  </w:r>
                </w:p>
              </w:tc>
              <w:tc>
                <w:tcPr/>
                <w:p>
                  <w:pPr>
                    <w:pStyle w:val="Compact"/>
                    <w:jc w:val="right"/>
                    <w:jc w:val="center"/>
                  </w:pPr>
                  <w:r>
                    <w:t xml:space="preserve">71.3%</w:t>
                  </w:r>
                </w:p>
              </w:tc>
              <w:tc>
                <w:tcPr/>
                <w:p>
                  <w:pPr>
                    <w:pStyle w:val="Compact"/>
                    <w:jc w:val="right"/>
                    <w:jc w:val="center"/>
                  </w:pPr>
                  <w:r>
                    <w:t xml:space="preserve">40.8%</w:t>
                  </w:r>
                </w:p>
              </w:tc>
            </w:tr>
            <w:tr>
              <w:tc>
                <w:tcPr/>
                <w:p>
                  <w:pPr>
                    <w:pStyle w:val="Compact"/>
                    <w:jc w:val="left"/>
                    <w:jc w:val="center"/>
                  </w:pPr>
                  <w:r>
                    <w:t xml:space="preserve">DZ</w:t>
                  </w:r>
                </w:p>
              </w:tc>
              <w:tc>
                <w:tcPr/>
                <w:p>
                  <w:pPr>
                    <w:pStyle w:val="Compact"/>
                    <w:jc w:val="left"/>
                    <w:jc w:val="center"/>
                  </w:pPr>
                  <w:r>
                    <w:t xml:space="preserve">PSM</w:t>
                  </w:r>
                </w:p>
              </w:tc>
              <w:tc>
                <w:tcPr/>
                <w:p>
                  <w:pPr>
                    <w:pStyle w:val="Compact"/>
                    <w:jc w:val="right"/>
                    <w:jc w:val="center"/>
                  </w:pPr>
                  <w:r>
                    <w:t xml:space="preserve">159</w:t>
                  </w:r>
                </w:p>
              </w:tc>
              <w:tc>
                <w:tcPr/>
                <w:p>
                  <w:pPr>
                    <w:pStyle w:val="Compact"/>
                    <w:jc w:val="right"/>
                    <w:jc w:val="center"/>
                  </w:pPr>
                  <w:r>
                    <w:t xml:space="preserve">13.8%</w:t>
                  </w:r>
                </w:p>
              </w:tc>
              <w:tc>
                <w:tcPr/>
                <w:p>
                  <w:pPr>
                    <w:pStyle w:val="Compact"/>
                    <w:jc w:val="right"/>
                    <w:jc w:val="center"/>
                  </w:pPr>
                  <w:r>
                    <w:t xml:space="preserve">59.7%</w:t>
                  </w:r>
                </w:p>
              </w:tc>
              <w:tc>
                <w:tcPr/>
                <w:p>
                  <w:pPr>
                    <w:pStyle w:val="Compact"/>
                    <w:jc w:val="right"/>
                    <w:jc w:val="center"/>
                  </w:pPr>
                  <w:r>
                    <w:t xml:space="preserve">14.2%</w:t>
                  </w:r>
                </w:p>
              </w:tc>
            </w:tr>
            <w:tr>
              <w:tc>
                <w:tcPr/>
                <w:p>
                  <w:pPr>
                    <w:pStyle w:val="Compact"/>
                    <w:jc w:val="left"/>
                    <w:jc w:val="center"/>
                  </w:pPr>
                  <w:r>
                    <w:t xml:space="preserve">PSM</w:t>
                  </w:r>
                </w:p>
              </w:tc>
              <w:tc>
                <w:tcPr/>
                <w:p>
                  <w:pPr>
                    <w:pStyle w:val="Compact"/>
                    <w:jc w:val="left"/>
                    <w:jc w:val="center"/>
                  </w:pPr>
                  <w:r>
                    <w:t xml:space="preserve">NB</w:t>
                  </w:r>
                </w:p>
              </w:tc>
              <w:tc>
                <w:tcPr/>
                <w:p>
                  <w:pPr>
                    <w:pStyle w:val="Compact"/>
                    <w:jc w:val="right"/>
                    <w:jc w:val="center"/>
                  </w:pPr>
                  <w:r>
                    <w:t xml:space="preserve">240</w:t>
                  </w:r>
                </w:p>
              </w:tc>
              <w:tc>
                <w:tcPr/>
                <w:p>
                  <w:pPr>
                    <w:pStyle w:val="Compact"/>
                    <w:jc w:val="right"/>
                    <w:jc w:val="center"/>
                  </w:pPr>
                  <w:r>
                    <w:t xml:space="preserve">20.4%</w:t>
                  </w:r>
                </w:p>
              </w:tc>
              <w:tc>
                <w:tcPr/>
                <w:p>
                  <w:pPr>
                    <w:pStyle w:val="Compact"/>
                    <w:jc w:val="right"/>
                    <w:jc w:val="center"/>
                  </w:pPr>
                  <w:r>
                    <w:t xml:space="preserve">31.2%</w:t>
                  </w:r>
                </w:p>
              </w:tc>
              <w:tc>
                <w:tcPr/>
                <w:p>
                  <w:pPr>
                    <w:pStyle w:val="Compact"/>
                    <w:jc w:val="right"/>
                    <w:jc w:val="center"/>
                  </w:pPr>
                  <w:r>
                    <w:t xml:space="preserve">18.2%</w:t>
                  </w:r>
                </w:p>
              </w:tc>
            </w:tr>
            <w:tr>
              <w:tc>
                <w:tcPr/>
                <w:p>
                  <w:pPr>
                    <w:pStyle w:val="Compact"/>
                    <w:jc w:val="left"/>
                    <w:jc w:val="center"/>
                  </w:pPr>
                  <w:r>
                    <w:t xml:space="preserve">NB</w:t>
                  </w:r>
                </w:p>
              </w:tc>
              <w:tc>
                <w:tcPr/>
                <w:p>
                  <w:pPr>
                    <w:pStyle w:val="Compact"/>
                    <w:jc w:val="left"/>
                    <w:jc w:val="center"/>
                  </w:pPr>
                  <w:r>
                    <w:t xml:space="preserve">DZ</w:t>
                  </w:r>
                </w:p>
              </w:tc>
              <w:tc>
                <w:tcPr/>
                <w:p>
                  <w:pPr>
                    <w:pStyle w:val="Compact"/>
                    <w:jc w:val="right"/>
                    <w:jc w:val="center"/>
                  </w:pPr>
                  <w:r>
                    <w:t xml:space="preserve">314</w:t>
                  </w:r>
                </w:p>
              </w:tc>
              <w:tc>
                <w:tcPr/>
                <w:p>
                  <w:pPr>
                    <w:pStyle w:val="Compact"/>
                    <w:jc w:val="right"/>
                    <w:jc w:val="center"/>
                  </w:pPr>
                  <w:r>
                    <w:t xml:space="preserve">8.6%</w:t>
                  </w:r>
                </w:p>
              </w:tc>
              <w:tc>
                <w:tcPr/>
                <w:p>
                  <w:pPr>
                    <w:pStyle w:val="Compact"/>
                    <w:jc w:val="right"/>
                    <w:jc w:val="center"/>
                  </w:pPr>
                  <w:r>
                    <w:t xml:space="preserve">27.4%</w:t>
                  </w:r>
                </w:p>
              </w:tc>
              <w:tc>
                <w:tcPr/>
                <w:p>
                  <w:pPr>
                    <w:pStyle w:val="Compact"/>
                    <w:jc w:val="right"/>
                    <w:jc w:val="center"/>
                  </w:pPr>
                  <w:r>
                    <w:t xml:space="preserve">30.2%</w:t>
                  </w:r>
                </w:p>
              </w:tc>
            </w:tr>
            <w:tr>
              <w:tc>
                <w:tcPr/>
                <w:p>
                  <w:pPr>
                    <w:pStyle w:val="Compact"/>
                    <w:jc w:val="left"/>
                    <w:jc w:val="center"/>
                  </w:pPr>
                  <w:r>
                    <w:t xml:space="preserve">DZ</w:t>
                  </w:r>
                </w:p>
              </w:tc>
              <w:tc>
                <w:tcPr/>
                <w:p>
                  <w:pPr>
                    <w:pStyle w:val="Compact"/>
                    <w:jc w:val="left"/>
                    <w:jc w:val="center"/>
                  </w:pPr>
                  <w:r>
                    <w:t xml:space="preserve">NB</w:t>
                  </w:r>
                </w:p>
              </w:tc>
              <w:tc>
                <w:tcPr/>
                <w:p>
                  <w:pPr>
                    <w:pStyle w:val="Compact"/>
                    <w:jc w:val="right"/>
                    <w:jc w:val="center"/>
                  </w:pPr>
                  <w:r>
                    <w:t xml:space="preserve">159</w:t>
                  </w:r>
                </w:p>
              </w:tc>
              <w:tc>
                <w:tcPr/>
                <w:p>
                  <w:pPr>
                    <w:pStyle w:val="Compact"/>
                    <w:jc w:val="right"/>
                    <w:jc w:val="center"/>
                  </w:pPr>
                  <w:r>
                    <w:t xml:space="preserve">16.4%</w:t>
                  </w:r>
                </w:p>
              </w:tc>
              <w:tc>
                <w:tcPr/>
                <w:p>
                  <w:pPr>
                    <w:pStyle w:val="Compact"/>
                    <w:jc w:val="right"/>
                    <w:jc w:val="center"/>
                  </w:pPr>
                  <w:r>
                    <w:t xml:space="preserve">24.5%</w:t>
                  </w:r>
                </w:p>
              </w:tc>
              <w:tc>
                <w:tcPr/>
                <w:p>
                  <w:pPr>
                    <w:pStyle w:val="Compact"/>
                    <w:jc w:val="right"/>
                    <w:jc w:val="center"/>
                  </w:pPr>
                  <w:r>
                    <w:t xml:space="preserve">11.1%</w:t>
                  </w:r>
                </w:p>
              </w:tc>
            </w:tr>
            <w:tr>
              <w:tc>
                <w:tcPr/>
                <w:p>
                  <w:pPr>
                    <w:pStyle w:val="Compact"/>
                    <w:jc w:val="left"/>
                    <w:jc w:val="center"/>
                  </w:pPr>
                  <w:r>
                    <w:t xml:space="preserve">PSM</w:t>
                  </w:r>
                </w:p>
              </w:tc>
              <w:tc>
                <w:tcPr/>
                <w:p>
                  <w:pPr>
                    <w:pStyle w:val="Compact"/>
                    <w:jc w:val="left"/>
                    <w:jc w:val="center"/>
                  </w:pPr>
                  <w:r>
                    <w:t xml:space="preserve">DZ</w:t>
                  </w:r>
                </w:p>
              </w:tc>
              <w:tc>
                <w:tcPr/>
                <w:p>
                  <w:pPr>
                    <w:pStyle w:val="Compact"/>
                    <w:jc w:val="right"/>
                    <w:jc w:val="center"/>
                  </w:pPr>
                  <w:r>
                    <w:t xml:space="preserve">240</w:t>
                  </w:r>
                </w:p>
              </w:tc>
              <w:tc>
                <w:tcPr/>
                <w:p>
                  <w:pPr>
                    <w:pStyle w:val="Compact"/>
                    <w:jc w:val="right"/>
                    <w:jc w:val="center"/>
                  </w:pPr>
                  <w:r>
                    <w:t xml:space="preserve">9.2%</w:t>
                  </w:r>
                </w:p>
              </w:tc>
              <w:tc>
                <w:tcPr/>
                <w:p>
                  <w:pPr>
                    <w:pStyle w:val="Compact"/>
                    <w:jc w:val="right"/>
                    <w:jc w:val="center"/>
                  </w:pPr>
                  <w:r>
                    <w:t xml:space="preserve">17.9%</w:t>
                  </w:r>
                </w:p>
              </w:tc>
              <w:tc>
                <w:tcPr/>
                <w:p>
                  <w:pPr>
                    <w:pStyle w:val="Compact"/>
                    <w:jc w:val="right"/>
                    <w:jc w:val="center"/>
                  </w:pPr>
                  <w:r>
                    <w:t xml:space="preserve">20.8%</w:t>
                  </w:r>
                </w:p>
              </w:tc>
            </w:tr>
          </w:tbl>
          <w:bookmarkEnd w:id="94"/>
          <w:p/>
        </w:tc>
      </w:tr>
    </w:tbl>
    <w:p>
      <w:pPr>
        <w:pStyle w:val="Textkrper"/>
      </w:pPr>
      <w:r>
        <w:t xml:space="preserve">Die in diesem Kapitel präsentierten Kennzahlen werden dabei automatisch berechnet (Stand der Berechnung: 29. September 2026).</w:t>
      </w:r>
      <w:r>
        <w:t xml:space="preserve"> </w:t>
      </w:r>
      <w:r>
        <w:t xml:space="preserve">Sie beschreiben den aktuellen Stand der Mapping-Tabellen; fehlende Beziehungen können fachlich begründet sein oder auf Lücken hinweisen, die bei der Pflege des Alignments zu priorisieren sind</w:t>
      </w:r>
      <w:r>
        <w:t xml:space="preserve"> </w:t>
      </w:r>
      <w:r>
        <w:t xml:space="preserve">[</w:t>
      </w:r>
      <w:hyperlink w:anchor="ref-euzenat2008alignment">
        <w:r>
          <w:rPr>
            <w:rStyle w:val="Hyperlink"/>
          </w:rPr>
          <w:t xml:space="preserve">EuMoSc08</w:t>
        </w:r>
      </w:hyperlink>
      <w:r>
        <w:t xml:space="preserve">]</w:t>
      </w:r>
      <w:r>
        <w:t xml:space="preserve">.</w:t>
      </w:r>
    </w:p>
    <w:bookmarkEnd w:id="95"/>
    <w:bookmarkStart w:id="96" w:name="sec-safety-consideration"/>
    <w:p>
      <w:pPr>
        <w:pStyle w:val="berschrift1"/>
      </w:pPr>
      <w:r>
        <w:t xml:space="preserve">6.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96"/>
    <w:bookmarkStart w:id="97" w:name="sec-disclaimer"/>
    <w:p>
      <w:pPr>
        <w:pStyle w:val="berschrift1"/>
      </w:pPr>
      <w:r>
        <w:t xml:space="preserve">7.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97"/>
    <w:bookmarkStart w:id="98" w:name="sec-copyrights"/>
    <w:p>
      <w:pPr>
        <w:pStyle w:val="berschrift1"/>
      </w:pPr>
      <w:r>
        <w:t xml:space="preserve">8.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98"/>
    <w:bookmarkStart w:id="127" w:name="sec-appendix-a"/>
    <w:p>
      <w:pPr>
        <w:pStyle w:val="berschrift1"/>
      </w:pPr>
      <w:r>
        <w:t xml:space="preserve">Anhang A - Referenzen</w:t>
      </w:r>
    </w:p>
    <w:bookmarkStart w:id="126" w:name="refs"/>
    <w:bookmarkStart w:id="100" w:name="ref-suibi2025"/>
    <w:p>
      <w:pPr>
        <w:pStyle w:val="Bibliography"/>
      </w:pPr>
      <w:r>
        <w:t xml:space="preserve">[AgBL25]</w:t>
      </w:r>
      <w:r>
        <w:t xml:space="preserve"> </w:t>
      </w:r>
      <w:r>
        <w:t xml:space="preserve">	</w:t>
      </w:r>
      <w:r>
        <w:t xml:space="preserve">Agridea ; Bundesamt für Landwirtschaft BLW:</w:t>
      </w:r>
      <w:r>
        <w:t xml:space="preserve"> </w:t>
      </w:r>
      <w:hyperlink r:id="rId99">
        <w:r>
          <w:rPr>
            <w:rStyle w:val="Hyperlink"/>
            <w:i/>
            <w:iCs/>
          </w:rPr>
          <w:t xml:space="preserve">Wegleitung Suisse-Bilanz: Version 1.20</w:t>
        </w:r>
      </w:hyperlink>
      <w:r>
        <w:t xml:space="preserve"> : Agridea und Bundesamt für Landwirtschaft BLW, 2025</w:t>
      </w:r>
    </w:p>
    <w:bookmarkEnd w:id="100"/>
    <w:bookmarkStart w:id="102" w:name="ref-grud2017"/>
    <w:p>
      <w:pPr>
        <w:pStyle w:val="Bibliography"/>
      </w:pPr>
      <w:r>
        <w:t xml:space="preserve">[CFGH17]</w:t>
      </w:r>
      <w:r>
        <w:t xml:space="preserve"> </w:t>
      </w:r>
      <w:r>
        <w:t xml:space="preserve">	</w:t>
      </w:r>
      <w:r>
        <w:t xml:space="preserve">Carlen, C. ; Flisch, R. ; Gilli, C. ; Huguenin-Elie, O. ; Kuster, T. ; Latsch, A. J. ; Mayer, J. ; Neuweiler, R. ; u. a.:</w:t>
      </w:r>
      <w:r>
        <w:t xml:space="preserve"> </w:t>
      </w:r>
      <w:hyperlink r:id="rId101">
        <w:r>
          <w:rPr>
            <w:rStyle w:val="Hyperlink"/>
          </w:rPr>
          <w:t xml:space="preserve">Grundlagen für die Düngung landwirtschaftlicher Kulturen in der Schweiz (GRUD 2017)</w:t>
        </w:r>
      </w:hyperlink>
      <w:r>
        <w:t xml:space="preserve">. In:</w:t>
      </w:r>
      <w:r>
        <w:t xml:space="preserve"> </w:t>
      </w:r>
      <w:r>
        <w:rPr>
          <w:i/>
          <w:iCs/>
        </w:rPr>
        <w:t xml:space="preserve">Agrarforschung Schweiz</w:t>
      </w:r>
      <w:r>
        <w:t xml:space="preserve"> </w:t>
      </w:r>
      <w:r>
        <w:t xml:space="preserve">Bd. 8 (2017), Nr. 6</w:t>
      </w:r>
    </w:p>
    <w:bookmarkEnd w:id="102"/>
    <w:bookmarkStart w:id="104" w:name="ref-doerr2001semantic"/>
    <w:p>
      <w:pPr>
        <w:pStyle w:val="Bibliography"/>
      </w:pPr>
      <w:r>
        <w:t xml:space="preserve">[Doer01]</w:t>
      </w:r>
      <w:r>
        <w:t xml:space="preserve"> </w:t>
      </w:r>
      <w:r>
        <w:t xml:space="preserve">	</w:t>
      </w:r>
      <w:r>
        <w:t xml:space="preserve">Doerr, Martin:</w:t>
      </w:r>
      <w:r>
        <w:t xml:space="preserve"> </w:t>
      </w:r>
      <w:hyperlink r:id="rId103">
        <w:r>
          <w:rPr>
            <w:rStyle w:val="Hyperlink"/>
          </w:rPr>
          <w:t xml:space="preserve">Semantic problems of thesaurus mapping</w:t>
        </w:r>
      </w:hyperlink>
      <w:r>
        <w:t xml:space="preserve">. In:</w:t>
      </w:r>
      <w:r>
        <w:t xml:space="preserve"> </w:t>
      </w:r>
      <w:r>
        <w:rPr>
          <w:i/>
          <w:iCs/>
        </w:rPr>
        <w:t xml:space="preserve">Journal of Digital Information</w:t>
      </w:r>
      <w:r>
        <w:t xml:space="preserve"> </w:t>
      </w:r>
      <w:r>
        <w:t xml:space="preserve">Bd. 1 (2001), Nr. 8</w:t>
      </w:r>
    </w:p>
    <w:bookmarkEnd w:id="104"/>
    <w:bookmarkStart w:id="106" w:name="ref-eif2017"/>
    <w:p>
      <w:pPr>
        <w:pStyle w:val="Bibliography"/>
      </w:pPr>
      <w:r>
        <w:t xml:space="preserve">[EC17]</w:t>
      </w:r>
      <w:r>
        <w:t xml:space="preserve"> </w:t>
      </w:r>
      <w:r>
        <w:t xml:space="preserve">	</w:t>
      </w:r>
      <w:r>
        <w:t xml:space="preserve">European Commission:</w:t>
      </w:r>
      <w:r>
        <w:t xml:space="preserve"> </w:t>
      </w:r>
      <w:hyperlink r:id="rId105">
        <w:r>
          <w:rPr>
            <w:rStyle w:val="Hyperlink"/>
            <w:i/>
            <w:iCs/>
          </w:rPr>
          <w:t xml:space="preserve">New European Interoperability Framework: Promoting seamless services and data flows for European public administrations</w:t>
        </w:r>
      </w:hyperlink>
      <w:r>
        <w:t xml:space="preserve">. Luxembourg : Publications Office of the European Union, 2017</w:t>
      </w:r>
    </w:p>
    <w:bookmarkEnd w:id="106"/>
    <w:bookmarkStart w:id="108" w:name="ref-eCH-0205:1.0.0"/>
    <w:p>
      <w:pPr>
        <w:pStyle w:val="Bibliography"/>
      </w:pPr>
      <w:r>
        <w:t xml:space="preserve">[eCH-0205:1.0.0]</w:t>
      </w:r>
      <w:r>
        <w:t xml:space="preserve"> </w:t>
      </w:r>
      <w:r>
        <w:t xml:space="preserve">	</w:t>
      </w:r>
      <w:r>
        <w:t xml:space="preserve">eCH-Fachgruppe Open Government Data</w:t>
      </w:r>
      <w:r>
        <w:t xml:space="preserve">:</w:t>
      </w:r>
      <w:r>
        <w:t xml:space="preserve"> </w:t>
      </w:r>
      <w:hyperlink r:id="rId107">
        <w:r>
          <w:rPr>
            <w:rStyle w:val="Hyperlink"/>
            <w:i/>
            <w:iCs/>
          </w:rPr>
          <w:t xml:space="preserve">eCH-0205 Linked Open Data</w:t>
        </w:r>
      </w:hyperlink>
      <w:r>
        <w:t xml:space="preserve"> </w:t>
      </w:r>
      <w:r>
        <w:t xml:space="preserve">(eCH-Hilfsmittel) : Verein eCH, 2018</w:t>
      </w:r>
    </w:p>
    <w:bookmarkEnd w:id="108"/>
    <w:bookmarkStart w:id="110" w:name="ref-eCH-0265:1.0.0"/>
    <w:p>
      <w:pPr>
        <w:pStyle w:val="Bibliography"/>
      </w:pPr>
      <w:r>
        <w:t xml:space="preserve">[eCH-0265:1.0.0]</w:t>
      </w:r>
      <w:r>
        <w:t xml:space="preserve"> </w:t>
      </w:r>
      <w:r>
        <w:t xml:space="preserve">	</w:t>
      </w:r>
      <w:r>
        <w:t xml:space="preserve">eCH-Fachgruppe AgriFood</w:t>
      </w:r>
      <w:r>
        <w:t xml:space="preserve">:</w:t>
      </w:r>
      <w:r>
        <w:t xml:space="preserve"> </w:t>
      </w:r>
      <w:hyperlink r:id="rId109">
        <w:r>
          <w:rPr>
            <w:rStyle w:val="Hyperlink"/>
            <w:i/>
            <w:iCs/>
          </w:rPr>
          <w:t xml:space="preserve">eCH-0265 Datenstandard Agrardaten – Flächen und Kulturen</w:t>
        </w:r>
      </w:hyperlink>
      <w:r>
        <w:t xml:space="preserve"> </w:t>
      </w:r>
      <w:r>
        <w:t xml:space="preserve">(eCH-Standard) : Verein eCH, 2024</w:t>
      </w:r>
    </w:p>
    <w:bookmarkEnd w:id="110"/>
    <w:bookmarkStart w:id="112" w:name="ref-euzenat2008alignment"/>
    <w:p>
      <w:pPr>
        <w:pStyle w:val="Bibliography"/>
      </w:pPr>
      <w:r>
        <w:t xml:space="preserve">[EuMoSc08]</w:t>
      </w:r>
      <w:r>
        <w:t xml:space="preserve"> </w:t>
      </w:r>
      <w:r>
        <w:t xml:space="preserve">	</w:t>
      </w:r>
      <w:r>
        <w:t xml:space="preserve">Euzenat, Jérôme ; Mocan, Adrian ; Scharffe, François:</w:t>
      </w:r>
      <w:r>
        <w:t xml:space="preserve"> </w:t>
      </w:r>
      <w:hyperlink r:id="rId111">
        <w:r>
          <w:rPr>
            <w:rStyle w:val="Hyperlink"/>
          </w:rPr>
          <w:t xml:space="preserve">Ontology alignment: an ontology management perspective</w:t>
        </w:r>
      </w:hyperlink>
      <w:r>
        <w:t xml:space="preserve">. In: Hepp, M. ; De Leenheer, P. ; De Moor, A. ; Sure, Y. (Hrsg.):</w:t>
      </w:r>
      <w:r>
        <w:t xml:space="preserve"> </w:t>
      </w:r>
      <w:r>
        <w:rPr>
          <w:i/>
          <w:iCs/>
        </w:rPr>
        <w:t xml:space="preserve">Ontology Management: Semantic Web, Semantic Web Services, and Business Applications</w:t>
      </w:r>
      <w:r>
        <w:t xml:space="preserve">. New York : Springer, 2008, S. 177–206</w:t>
      </w:r>
    </w:p>
    <w:bookmarkEnd w:id="112"/>
    <w:bookmarkStart w:id="114" w:name="ref-francart2020shacl"/>
    <w:p>
      <w:pPr>
        <w:pStyle w:val="Bibliography"/>
      </w:pPr>
      <w:r>
        <w:t xml:space="preserve">[Fran20]</w:t>
      </w:r>
      <w:r>
        <w:t xml:space="preserve"> </w:t>
      </w:r>
      <w:r>
        <w:t xml:space="preserve">	</w:t>
      </w:r>
      <w:r>
        <w:t xml:space="preserve">Francart, Thomas:</w:t>
      </w:r>
      <w:r>
        <w:t xml:space="preserve"> </w:t>
      </w:r>
      <w:hyperlink r:id="rId113">
        <w:r>
          <w:rPr>
            <w:rStyle w:val="Hyperlink"/>
          </w:rPr>
          <w:t xml:space="preserve">SHACL Play!</w:t>
        </w:r>
      </w:hyperlink>
    </w:p>
    <w:bookmarkEnd w:id="114"/>
    <w:bookmarkStart w:id="116" w:name="ref-iso25964-2"/>
    <w:p>
      <w:pPr>
        <w:pStyle w:val="Bibliography"/>
      </w:pPr>
      <w:r>
        <w:t xml:space="preserve">[ISO 25964-2]</w:t>
      </w:r>
      <w:r>
        <w:t xml:space="preserve"> </w:t>
      </w:r>
      <w:r>
        <w:t xml:space="preserve">	</w:t>
      </w:r>
      <w:r>
        <w:t xml:space="preserve">International Organization for Standardization:</w:t>
      </w:r>
      <w:r>
        <w:t xml:space="preserve"> </w:t>
      </w:r>
      <w:hyperlink r:id="rId115">
        <w:r>
          <w:rPr>
            <w:rStyle w:val="Hyperlink"/>
            <w:i/>
            <w:iCs/>
          </w:rPr>
          <w:t xml:space="preserve">ISO 25964-2:2013 Information and documentation – Thesauri and interoperability with other vocabularies – Part 2: Interoperability with other vocabularies</w:t>
        </w:r>
      </w:hyperlink>
      <w:r>
        <w:t xml:space="preserve"> </w:t>
      </w:r>
      <w:r>
        <w:t xml:space="preserve">(International Standard). Geneva : International Organization for Standardization, 2013</w:t>
      </w:r>
    </w:p>
    <w:bookmarkEnd w:id="116"/>
    <w:bookmarkStart w:id="118" w:name="ref-owl2"/>
    <w:p>
      <w:pPr>
        <w:pStyle w:val="Bibliography"/>
      </w:pPr>
      <w:r>
        <w:t xml:space="preserve">[OWL Overview]</w:t>
      </w:r>
      <w:r>
        <w:t xml:space="preserve"> </w:t>
      </w:r>
      <w:r>
        <w:t xml:space="preserve">	</w:t>
      </w:r>
      <w:r>
        <w:t xml:space="preserve">W3C OWL Working Group:</w:t>
      </w:r>
      <w:r>
        <w:t xml:space="preserve"> </w:t>
      </w:r>
      <w:hyperlink r:id="rId117">
        <w:r>
          <w:rPr>
            <w:rStyle w:val="Hyperlink"/>
            <w:i/>
            <w:iCs/>
          </w:rPr>
          <w:t xml:space="preserve">OWL 2 Web Ontology Language Document Overview (Second Edition)</w:t>
        </w:r>
      </w:hyperlink>
      <w:r>
        <w:t xml:space="preserve"> </w:t>
      </w:r>
      <w:r>
        <w:t xml:space="preserve">(W3C Recommendation) : World Wide Web Consortium (W3C), 2012</w:t>
      </w:r>
    </w:p>
    <w:bookmarkEnd w:id="118"/>
    <w:bookmarkStart w:id="119" w:name="ref-rdf"/>
    <w:p>
      <w:pPr>
        <w:pStyle w:val="Bibliography"/>
      </w:pPr>
      <w:r>
        <w:t xml:space="preserve">[RDF]</w:t>
      </w:r>
      <w:r>
        <w:t xml:space="preserve"> </w:t>
      </w:r>
      <w:r>
        <w:t xml:space="preserve">	</w:t>
      </w:r>
      <w:r>
        <w:t xml:space="preserve">Cyganiak, Richard ; Wood, David ; Lanthaler, Markus:</w:t>
      </w:r>
      <w:r>
        <w:t xml:space="preserve"> </w:t>
      </w:r>
      <w:hyperlink r:id="rId72">
        <w:r>
          <w:rPr>
            <w:rStyle w:val="Hyperlink"/>
            <w:i/>
            <w:iCs/>
          </w:rPr>
          <w:t xml:space="preserve">RDF 1.1 Concepts and Abstract Syntax</w:t>
        </w:r>
      </w:hyperlink>
      <w:r>
        <w:t xml:space="preserve"> </w:t>
      </w:r>
      <w:r>
        <w:t xml:space="preserve">(W3C Recommendation) : World Wide Web Consortium (W3C), 2014</w:t>
      </w:r>
    </w:p>
    <w:bookmarkEnd w:id="119"/>
    <w:bookmarkStart w:id="121" w:name="ref-shacl"/>
    <w:p>
      <w:pPr>
        <w:pStyle w:val="Bibliography"/>
      </w:pPr>
      <w:r>
        <w:t xml:space="preserve">[SHACL]</w:t>
      </w:r>
      <w:r>
        <w:t xml:space="preserve"> </w:t>
      </w:r>
      <w:r>
        <w:t xml:space="preserve">	</w:t>
      </w:r>
      <w:r>
        <w:t xml:space="preserve">Knublauch, Holger ; Kontokostas, Dimitris:</w:t>
      </w:r>
      <w:r>
        <w:t xml:space="preserve"> </w:t>
      </w:r>
      <w:hyperlink r:id="rId120">
        <w:r>
          <w:rPr>
            <w:rStyle w:val="Hyperlink"/>
            <w:i/>
            <w:iCs/>
          </w:rPr>
          <w:t xml:space="preserve">Shapes Constraint Language (SHACL)</w:t>
        </w:r>
      </w:hyperlink>
      <w:r>
        <w:t xml:space="preserve"> </w:t>
      </w:r>
      <w:r>
        <w:t xml:space="preserve">(W3C Recommendation) : World Wide Web Consortium (W3C), 2017</w:t>
      </w:r>
    </w:p>
    <w:bookmarkEnd w:id="121"/>
    <w:bookmarkStart w:id="123" w:name="ref-skos"/>
    <w:p>
      <w:pPr>
        <w:pStyle w:val="Bibliography"/>
      </w:pPr>
      <w:r>
        <w:t xml:space="preserve">[SKOS]</w:t>
      </w:r>
      <w:r>
        <w:t xml:space="preserve"> </w:t>
      </w:r>
      <w:r>
        <w:t xml:space="preserve">	</w:t>
      </w:r>
      <w:r>
        <w:t xml:space="preserve">Miles, Alistair ; Bechhofer, Sean:</w:t>
      </w:r>
      <w:r>
        <w:t xml:space="preserve"> </w:t>
      </w:r>
      <w:hyperlink r:id="rId122">
        <w:r>
          <w:rPr>
            <w:rStyle w:val="Hyperlink"/>
            <w:i/>
            <w:iCs/>
          </w:rPr>
          <w:t xml:space="preserve">SKOS Simple Knowledge Organization System Reference</w:t>
        </w:r>
      </w:hyperlink>
      <w:r>
        <w:t xml:space="preserve"> </w:t>
      </w:r>
      <w:r>
        <w:t xml:space="preserve">(W3C Recommendation) : World Wide Web Consortium (W3C), 2009</w:t>
      </w:r>
    </w:p>
    <w:bookmarkEnd w:id="123"/>
    <w:bookmarkStart w:id="125" w:name="ref-zeng2004trends"/>
    <w:p>
      <w:pPr>
        <w:pStyle w:val="Bibliography"/>
      </w:pPr>
      <w:r>
        <w:t xml:space="preserve">[ZeCh04]</w:t>
      </w:r>
      <w:r>
        <w:t xml:space="preserve"> </w:t>
      </w:r>
      <w:r>
        <w:t xml:space="preserve">	</w:t>
      </w:r>
      <w:r>
        <w:t xml:space="preserve">Zeng, Marcia Lei ; Chan, Lois Mai:</w:t>
      </w:r>
      <w:r>
        <w:t xml:space="preserve"> </w:t>
      </w:r>
      <w:hyperlink r:id="rId124">
        <w:r>
          <w:rPr>
            <w:rStyle w:val="Hyperlink"/>
          </w:rPr>
          <w:t xml:space="preserve">Trends and issues in establishing interoperability among knowledge organization systems</w:t>
        </w:r>
      </w:hyperlink>
      <w:r>
        <w:t xml:space="preserve">. In:</w:t>
      </w:r>
      <w:r>
        <w:t xml:space="preserve"> </w:t>
      </w:r>
      <w:r>
        <w:rPr>
          <w:i/>
          <w:iCs/>
        </w:rPr>
        <w:t xml:space="preserve">Journal of the American Society for Information Science and Technology</w:t>
      </w:r>
      <w:r>
        <w:t xml:space="preserve"> </w:t>
      </w:r>
      <w:r>
        <w:t xml:space="preserve">Bd. 55, Wiley (2004), Nr. 5, S. 377–395</w:t>
      </w:r>
    </w:p>
    <w:bookmarkEnd w:id="125"/>
    <w:bookmarkEnd w:id="126"/>
    <w:bookmarkEnd w:id="127"/>
    <w:bookmarkStart w:id="129"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28" w:name="tbl-authors"/>
          <w:p>
            <w:pPr>
              <w:jc w:val="center"/>
            </w:pPr>
            <w:pPr>
              <w:jc w:val="left"/>
              <w:spacing w:before="200"/>
              <w:pStyle w:val="ImageCaption"/>
            </w:pPr>
            <w:r>
              <w:t xml:space="preserve">Tabelle 12: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28"/>
          <w:p/>
        </w:tc>
      </w:tr>
    </w:tbl>
    <w:bookmarkEnd w:id="129"/>
    <w:bookmarkStart w:id="140"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39" w:name="tbl-glossary"/>
          <w:p>
            <w:pPr>
              <w:jc w:val="center"/>
            </w:pPr>
            <w:pPr>
              <w:jc w:val="left"/>
              <w:spacing w:before="200"/>
              <w:pStyle w:val="ImageCaption"/>
            </w:pPr>
            <w:r>
              <w:t xml:space="preserve">Tabelle 13:</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30">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31">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3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33">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34">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35">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36">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37">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38">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34">
                    <w:r>
                      <w:rPr>
                        <w:rStyle w:val="VerbatimChar"/>
                      </w:rPr>
                      <w:t xml:space="preserve">term:rdf</w:t>
                    </w:r>
                  </w:hyperlink>
                </w:p>
              </w:tc>
            </w:tr>
          </w:tbl>
          <w:bookmarkEnd w:id="139"/>
          <w:p/>
        </w:tc>
      </w:tr>
    </w:tbl>
    <w:bookmarkEnd w:id="140"/>
    <w:bookmarkStart w:id="144"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41"/>
      </w:r>
      <w:r>
        <w:t xml:space="preserve">, Sorten sowie Direktzahlungsprogrammen sind nicht mehr Teil dieses Dokuments.</w:t>
      </w:r>
      <w:r>
        <w:rPr>
          <w:rStyle w:val="FootnoteReference"/>
        </w:rPr>
        <w:footnoteReference w:id="142"/>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43">
        <w:r>
          <w:rPr>
            <w:rStyle w:val="Hyperlink"/>
          </w:rPr>
          <w:t xml:space="preserve">https://github.com/blw-ofag-ufag/eCH-0265/releases</w:t>
        </w:r>
      </w:hyperlink>
      <w:r>
        <w:t xml:space="preserve">.</w:t>
      </w:r>
    </w:p>
    <w:bookmarkEnd w:id="144"/>
    <w:bookmarkStart w:id="145" w:name="sec-appendix-e"/>
    <w:p>
      <w:pPr>
        <w:pStyle w:val="berschrift1"/>
      </w:pPr>
      <w:r>
        <w:t xml:space="preserve">Anhang E - Abbildungsverzeichnis</w:t>
      </w:r>
    </w:p>
    <w:bookmarkEnd w:id="145"/>
    <w:bookmarkStart w:id="146" w:name="sec-appendix-f"/>
    <w:p>
      <w:pPr>
        <w:pStyle w:val="berschrift1"/>
      </w:pPr>
      <w:r>
        <w:t xml:space="preserve">Anhang F - Tabellenverzeichnis</w:t>
      </w:r>
    </w:p>
    <w:bookmarkEnd w:id="146"/>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5">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(ein Knöterichgewächs) und Quinoa (ein Fuchsschwanzgewächs) sind botanisch nicht mit Getreide (Süssgras) verwandt.</w:t>
      </w:r>
      <w:r>
        <w:t xml:space="preserve"> </w:t>
      </w:r>
      <w:r>
        <w:t xml:space="preserve">Ihr Erntegut und dessen Verwendung ähneln jedoch stark denen von echtem Getreide, daher werden sie manchmal als Pseudogetreide bezeichnet.</w:t>
      </w:r>
    </w:p>
  </w:footnote>
  <w:footnote w:id="85">
    <w:p>
      <w:pPr>
        <w:pStyle w:val="Funotentext"/>
      </w:pPr>
      <w:r>
        <w:rPr>
          <w:rStyle w:val="FootnoteReference"/>
        </w:rPr>
        <w:footnoteRef/>
      </w:r>
      <w:r>
        <w:t xml:space="preserve"> </w:t>
      </w:r>
      <w:r>
        <w:t xml:space="preserve">Als unterste Kulturen gelten PSM-Kulturen, die selbst keine Unterkulturen (</w:t>
      </w:r>
      <w:r>
        <w:rPr>
          <w:rStyle w:val="VerbatimChar"/>
        </w:rPr>
        <w:t xml:space="preserve">skos:broader</w:t>
      </w:r>
      <w:r>
        <w:t xml:space="preserve">) haben. Dieses Kriterium erfasst nicht alle Sammelbegriffe: «Offene Ackerfläche» und «Grünfläche» haben im PSMV keine Unterkulturen und zählen deshalb mit, sind fachlich aber sehr allgemein und nehmen einen Grossteil der aggregierenden Zuordnungen aus DZ und NB auf.</w:t>
      </w:r>
    </w:p>
  </w:footnote>
  <w:footnote w:id="141">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8">
        <w:r>
          <w:rPr>
            <w:rStyle w:val="Hyperlink"/>
          </w:rPr>
          <w:t xml:space="preserve">https://www.blw.admin.ch/de/landwirtschaftliche-kulturflaechen</w:t>
        </w:r>
      </w:hyperlink>
    </w:p>
  </w:footnote>
  <w:footnote w:id="142">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CH"/>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hyperlink" Id="rId130" Target="https://agriculture.ld.admin.ch/eCH-0265/2/term/agis" TargetMode="External" /><Relationship Type="http://schemas.openxmlformats.org/officeDocument/2006/relationships/hyperlink" Id="rId131" Target="https://agriculture.ld.admin.ch/eCH-0265/2/term/kais" TargetMode="External" /><Relationship Type="http://schemas.openxmlformats.org/officeDocument/2006/relationships/hyperlink" Id="rId132" Target="https://agriculture.ld.admin.ch/eCH-0265/2/term/lindas" TargetMode="External" /><Relationship Type="http://schemas.openxmlformats.org/officeDocument/2006/relationships/hyperlink" Id="rId133" Target="https://agriculture.ld.admin.ch/eCH-0265/2/term/nbbs" TargetMode="External" /><Relationship Type="http://schemas.openxmlformats.org/officeDocument/2006/relationships/hyperlink" Id="rId134" Target="https://agriculture.ld.admin.ch/eCH-0265/2/term/rdf" TargetMode="External" /><Relationship Type="http://schemas.openxmlformats.org/officeDocument/2006/relationships/hyperlink" Id="rId135" Target="https://agriculture.ld.admin.ch/eCH-0265/2/term/skos" TargetMode="External" /><Relationship Type="http://schemas.openxmlformats.org/officeDocument/2006/relationships/hyperlink" Id="rId136" Target="https://agriculture.ld.admin.ch/eCH-0265/2/term/srppp" TargetMode="External" /><Relationship Type="http://schemas.openxmlformats.org/officeDocument/2006/relationships/hyperlink" Id="rId137" Target="https://agriculture.ld.admin.ch/eCH-0265/2/term/suibi" TargetMode="External" /><Relationship Type="http://schemas.openxmlformats.org/officeDocument/2006/relationships/hyperlink" Id="rId138" Target="https://agriculture.ld.admin.ch/eCH-0265/2/term/triple" TargetMode="External" /><Relationship Type="http://schemas.openxmlformats.org/officeDocument/2006/relationships/hyperlink" Id="rId124" Target="https://doi.org/10.1002/asi.10387" TargetMode="External" /><Relationship Type="http://schemas.openxmlformats.org/officeDocument/2006/relationships/hyperlink" Id="rId105" Target="https://ec.europa.eu/isa2/eif_en/" TargetMode="External" /><Relationship Type="http://schemas.openxmlformats.org/officeDocument/2006/relationships/hyperlink" Id="rId109"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111" Target="https://exmo.inria.fr/files/publications/euzenat2008a.pdf"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43"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101" Target="https://ira.agroscope.ch/de-CH/publication/52563" TargetMode="External" /><Relationship Type="http://schemas.openxmlformats.org/officeDocument/2006/relationships/hyperlink" Id="rId103" Target="https://jodi-ojs-tdl.tdl.org/jodi/article/view/jodi-35"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113" Target="https://shacl-play.sparna.fr/" TargetMode="External" /><Relationship Type="http://schemas.openxmlformats.org/officeDocument/2006/relationships/hyperlink" Id="rId99"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107"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115" Target="https://www.iso.org/standard/53658.html"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17"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120" Target="https://www.w3.org/TR/shacl/" TargetMode="External" /><Relationship Type="http://schemas.openxmlformats.org/officeDocument/2006/relationships/hyperlink" Id="rId122" Target="https://www.w3.org/TR/skos-reference/" TargetMode="External" /><Relationship Type="http://schemas.openxmlformats.org/officeDocument/2006/relationships/hyperlink" Id="rId74"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agriculture.ld.admin.ch/eCH-0265/2/term/agis" TargetMode="External" /><Relationship Type="http://schemas.openxmlformats.org/officeDocument/2006/relationships/hyperlink" Id="rId131" Target="https://agriculture.ld.admin.ch/eCH-0265/2/term/kais" TargetMode="External" /><Relationship Type="http://schemas.openxmlformats.org/officeDocument/2006/relationships/hyperlink" Id="rId132" Target="https://agriculture.ld.admin.ch/eCH-0265/2/term/lindas" TargetMode="External" /><Relationship Type="http://schemas.openxmlformats.org/officeDocument/2006/relationships/hyperlink" Id="rId133" Target="https://agriculture.ld.admin.ch/eCH-0265/2/term/nbbs" TargetMode="External" /><Relationship Type="http://schemas.openxmlformats.org/officeDocument/2006/relationships/hyperlink" Id="rId134" Target="https://agriculture.ld.admin.ch/eCH-0265/2/term/rdf" TargetMode="External" /><Relationship Type="http://schemas.openxmlformats.org/officeDocument/2006/relationships/hyperlink" Id="rId135" Target="https://agriculture.ld.admin.ch/eCH-0265/2/term/skos" TargetMode="External" /><Relationship Type="http://schemas.openxmlformats.org/officeDocument/2006/relationships/hyperlink" Id="rId136" Target="https://agriculture.ld.admin.ch/eCH-0265/2/term/srppp" TargetMode="External" /><Relationship Type="http://schemas.openxmlformats.org/officeDocument/2006/relationships/hyperlink" Id="rId137" Target="https://agriculture.ld.admin.ch/eCH-0265/2/term/suibi" TargetMode="External" /><Relationship Type="http://schemas.openxmlformats.org/officeDocument/2006/relationships/hyperlink" Id="rId138" Target="https://agriculture.ld.admin.ch/eCH-0265/2/term/triple" TargetMode="External" /><Relationship Type="http://schemas.openxmlformats.org/officeDocument/2006/relationships/hyperlink" Id="rId124" Target="https://doi.org/10.1002/asi.10387" TargetMode="External" /><Relationship Type="http://schemas.openxmlformats.org/officeDocument/2006/relationships/hyperlink" Id="rId105" Target="https://ec.europa.eu/isa2/eif_en/" TargetMode="External" /><Relationship Type="http://schemas.openxmlformats.org/officeDocument/2006/relationships/hyperlink" Id="rId109"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111" Target="https://exmo.inria.fr/files/publications/euzenat2008a.pdf"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43"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101" Target="https://ira.agroscope.ch/de-CH/publication/52563" TargetMode="External" /><Relationship Type="http://schemas.openxmlformats.org/officeDocument/2006/relationships/hyperlink" Id="rId103" Target="https://jodi-ojs-tdl.tdl.org/jodi/article/view/jodi-35"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113" Target="https://shacl-play.sparna.fr/" TargetMode="External" /><Relationship Type="http://schemas.openxmlformats.org/officeDocument/2006/relationships/hyperlink" Id="rId99"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107"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115" Target="https://www.iso.org/standard/53658.html"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17"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120" Target="https://www.w3.org/TR/shacl/" TargetMode="External" /><Relationship Type="http://schemas.openxmlformats.org/officeDocument/2006/relationships/hyperlink" Id="rId122" Target="https://www.w3.org/TR/skos-reference/" TargetMode="External" /><Relationship Type="http://schemas.openxmlformats.org/officeDocument/2006/relationships/hyperlink" Id="rId74" Target="https://www.w3.org/TR/sparql11-query/"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2026-09-29T13:38:51Z</dcterms:created>
  <dcterms:modified xsi:type="dcterms:W3CDTF">2026-09-29T13:38:51Z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csl">
    <vt:lpwstr>../assets/din-1505-2-alphanumeric.csl</vt:lpwstr>
  </property>
  <property fmtid="{D5CDD505-2E9C-101B-9397-08002B2CF9AE}" pid="9" name="date">
    <vt:lpwstr>29. September 2026</vt:lpwstr>
  </property>
  <property fmtid="{D5CDD505-2E9C-101B-9397-08002B2CF9AE}" pid="10" name="date-format">
    <vt:lpwstr>long</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lightbox">
    <vt:lpwstr>True</vt:lpwstr>
  </property>
  <property fmtid="{D5CDD505-2E9C-101B-9397-08002B2CF9AE}" pid="17" name="link-citations">
    <vt:lpwstr>True</vt:lpwstr>
  </property>
  <property fmtid="{D5CDD505-2E9C-101B-9397-08002B2CF9AE}" pid="18" name="toc-title">
    <vt:lpwstr>Inhaltsverzeichnis</vt:lpwstr>
  </property>
</Properties>
</file>