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Document auxiliaire : données sur le trafic des animaux</w:t>
      </w:r>
    </w:p>
    <w:p>
      <w:pPr>
        <w:pStyle w:val="Date"/>
      </w:pPr>
      <w:r>
        <w:t xml:space="preserve">19 octobre 2026</w:t>
      </w:r>
    </w:p>
    <w:p>
      <w:pPr>
        <w:pStyle w:val="AbstractTitle"/>
      </w:pPr>
      <w:r>
        <w:t xml:space="preserve">Résumé</w:t>
      </w:r>
    </w:p>
    <w:p>
      <w:pPr>
        <w:pStyle w:val="Abstract"/>
      </w:pPr>
      <w:r>
        <w:t xml:space="preserve">Le présent document décrit sémantiquement les données de la banque de données sur le trafic des animaux (BDTA), afin de permettre également aux spécialistes sans connaissances informatiques approfondies de mieux comprendre ces données.</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7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 L’utilisation n’est autorisée qu’au sein du groupe spécialisé et du comité d’experts.</w:t>
      </w:r>
    </w:p>
    <w:bookmarkEnd w:id="26"/>
    <w:bookmarkStart w:id="27" w:name="sec-scope-of-application"/>
    <w:p>
      <w:pPr>
        <w:pStyle w:val="berschrift2"/>
      </w:pPr>
      <w:r>
        <w:t xml:space="preserve">1.2 Domaine d’application</w:t>
      </w:r>
    </w:p>
    <w:p>
      <w:pPr>
        <w:pStyle w:val="FirstParagraph"/>
      </w:pPr>
      <w:r>
        <w:t xml:space="preserve">Le présent document décrit sémantiquement les données de la banque de données sur le trafic des animaux (BDTA), afin de permettre également aux spécialistes sans connaissances informatiques approfondies de mieux comprendre ces données.</w:t>
      </w:r>
    </w:p>
    <w:bookmarkEnd w:id="27"/>
    <w:bookmarkStart w:id="68" w:name="sec-animal-movement-reporting"/>
    <w:p>
      <w:pPr>
        <w:pStyle w:val="berschrift2"/>
      </w:pPr>
      <w:r>
        <w:t xml:space="preserve">1.3 La notification du trafic des animaux en Suisse</w:t>
      </w:r>
    </w:p>
    <w:p>
      <w:pPr>
        <w:pStyle w:val="FirstParagraph"/>
      </w:pPr>
      <w:r>
        <w:t xml:space="preserve">Dans les années 1990, l’agriculture et l’industrie alimentaire suisses ont été fortement mises à l’épreuve par l’épizootie «ESB». Lorsque la transmissibilité de la maladie de l’animal à l’être humain s’est confirmée en 1996, cela a provoqué une grande incertitude. Les attentes en matière de sécurité des denrées alimentaires d’origine animale ont augmenté en conséquence, de même que la conscience de l’importance du contrôle des denrées alimentaires. L’approche «de l’étable à la table» s’est imposée. La surveillance basée sur les risques, la traçabilité sans faille des animaux de rente, le contrôle du trafic des animaux, l’obligation de déclarer la provenance ainsi que les contrôles de qualité tout au long de la chaîne de production et de transformation constituent depuis lors la base d’un niveau élevé de sécurité alimentaire</w:t>
      </w:r>
      <w:r>
        <w:rPr>
          <w:rStyle w:val="FootnoteReference"/>
        </w:rPr>
        <w:footnoteReference w:id="28"/>
      </w:r>
      <w:r>
        <w:t xml:space="preserve">.</w:t>
      </w:r>
    </w:p>
    <w:p>
      <w:pPr>
        <w:pStyle w:val="Textkrper"/>
      </w:pPr>
      <w:r>
        <w:t xml:space="preserve">L’expérience de l’ESB a conduit en 1999 à la création d’une banque de données nationale sur le trafic des animaux (BDTA). L’article 7a ainsi que les articles 13 à 15 de la loi sur les épizooties</w:t>
      </w:r>
      <w:r>
        <w:rPr>
          <w:rStyle w:val="FootnoteReference"/>
        </w:rPr>
        <w:footnoteReference w:id="30"/>
      </w:r>
      <w:r>
        <w:t xml:space="preserve"> </w:t>
      </w:r>
      <w:r>
        <w:t xml:space="preserve">et le titre 2, sections 1, 1a et 2a de l’ordonnance sur les épizooties</w:t>
      </w:r>
      <w:r>
        <w:rPr>
          <w:rStyle w:val="FootnoteReference"/>
        </w:rPr>
        <w:footnoteReference w:id="32"/>
      </w:r>
      <w:r>
        <w:t xml:space="preserve"> </w:t>
      </w:r>
      <w:r>
        <w:t xml:space="preserve">énoncent les dispositions légales fondamentales relatives à l’identification/au marquage et à l’enregistrement des animaux de rente ainsi qu’aux obligations d’annonce correspondantes. Elles s’alignent sur la législation européenne en la matière</w:t>
      </w:r>
      <w:r>
        <w:rPr>
          <w:rStyle w:val="FootnoteReference"/>
        </w:rPr>
        <w:footnoteReference w:id="34"/>
      </w:r>
      <w:r>
        <w:t xml:space="preserve"> </w:t>
      </w:r>
      <w:r>
        <w:t xml:space="preserve">(règlement (UE) 2016/429 sur les maladies animales transmissibles; règlement délégué (UE) 2019/2035 concernant les établissements détenant des animaux terrestres et les couvoirs ainsi que la traçabilité).</w:t>
      </w:r>
    </w:p>
    <w:p>
      <w:pPr>
        <w:pStyle w:val="Textkrper"/>
      </w:pPr>
      <w:r>
        <w:t xml:space="preserve">Si seuls les bovins étaient soumis à l’obligation d’annonce à partir de 1999, les porcs et les équidés ont suivi dès 2011, même si les porcs ne font aujourd’hui encore pas l’objet d’annonces par animal individuel. À partir de 2014, respectivement de 2020, l’obligation d’annonce à la BDTA s’est également appliquée aux petits ruminants (moutons et chèvres). Au début, en 2014, elle ne concernait que les abattoirs. Depuis 2014, il existe également une obligation d’annonce pour la volaille</w:t>
      </w:r>
      <w:r>
        <w:rPr>
          <w:rStyle w:val="FootnoteReference"/>
        </w:rPr>
        <w:footnoteReference w:id="36"/>
      </w:r>
      <w:r>
        <w:t xml:space="preserve">. Depuis janvier 2020, les détenteurs de petits ruminants sont eux aussi intégrés dans le système d’annonce des animaux individuels.</w:t>
      </w:r>
      <w:r>
        <w:rPr>
          <w:rStyle w:val="FootnoteReference"/>
        </w:rPr>
        <w:footnoteReference w:id="38"/>
      </w:r>
      <w:r>
        <w:t xml:space="preserve"> </w:t>
      </w:r>
      <w:r>
        <w:t xml:space="preserve">L’identification et le marquage des animaux à onglons au moyen de marques auriculaires, l’enregistrement individuel des bovins, des moutons et des chèvres dans la BDTA, ainsi que l’annonce des entrées, des sorties (l’animal quitte vivant une unité d’élevage), des naissances, des importations, des exportations, des abattages, des abattages à la ferme et des morts (l’animal est désannoncé comme n’étant plus vivant) sont obligatoires pour tous les détenteurs d’animaux en Suisse</w:t>
      </w:r>
      <w:r>
        <w:rPr>
          <w:rStyle w:val="FootnoteReference"/>
        </w:rPr>
        <w:footnoteReference w:id="40"/>
      </w:r>
      <w:r>
        <w:t xml:space="preserve">. Les annonces sont en outre soumises à des délais légaux</w:t>
      </w:r>
      <w:r>
        <w:rPr>
          <w:rStyle w:val="FootnoteReference"/>
        </w:rPr>
        <w:footnoteReference w:id="43"/>
      </w:r>
      <w:r>
        <w:t xml:space="preserve">.</w:t>
      </w:r>
    </w:p>
    <w:p>
      <w:pPr>
        <w:pStyle w:val="Textkrper"/>
      </w:pPr>
      <w:r>
        <w:t xml:space="preserve">La BDTA fait partie d’un paysage systémique regroupant l’agriculture, les affaires vétérinaires et la sécurité alimentaire. Le portail Agate</w:t>
      </w:r>
      <w:r>
        <w:rPr>
          <w:rStyle w:val="FootnoteReference"/>
        </w:rPr>
        <w:footnoteReference w:id="45"/>
      </w:r>
      <w:r>
        <w:t xml:space="preserve"> </w:t>
      </w:r>
      <w:r>
        <w:t xml:space="preserve">en constitue la porte d’entrée centrale, avec au cœur le système d’information sur la politique agricole AGIS</w:t>
      </w:r>
      <w:r>
        <w:rPr>
          <w:rStyle w:val="FootnoteReference"/>
        </w:rPr>
        <w:footnoteReference w:id="47"/>
      </w:r>
      <w:r>
        <w:t xml:space="preserve">.</w:t>
      </w:r>
    </w:p>
    <w:p>
      <w:pPr>
        <w:pStyle w:val="Textkrper"/>
      </w:pPr>
      <w:r>
        <w:t xml:space="preserve">L’ordonnance sur Identitas SA et la banque de données sur le trafic des animaux</w:t>
      </w:r>
      <w:r>
        <w:rPr>
          <w:rStyle w:val="FootnoteReference"/>
        </w:rPr>
        <w:footnoteReference w:id="49"/>
      </w:r>
      <w:r>
        <w:t xml:space="preserve"> </w:t>
      </w:r>
      <w:r>
        <w:t xml:space="preserve">(OId-BDTA) précise les contenus relatifs au trafic des animaux, les tâches d’Identitas SA ainsi que les droits d’accès aux données. L’importance de l’identification/du marquage des animaux de rente dépasse largement la problématique des épizooties et a donc également trouvé sa place dans la législation agricole</w:t>
      </w:r>
      <w:r>
        <w:rPr>
          <w:rStyle w:val="FootnoteReference"/>
        </w:rPr>
        <w:footnoteReference w:id="51"/>
      </w:r>
      <w:r>
        <w:t xml:space="preserve"> </w:t>
      </w:r>
      <w:r>
        <w:t xml:space="preserve">(loi sur l’agriculture LAgr, art. 165g, 177 et 185) et dans diverses ordonnances associées. Les données issues du trafic des animaux sont devenues un élément indispensable de la mise en œuvre des mesures de politique agricole, par exemple les paiements directs liés aux animaux</w:t>
      </w:r>
      <w:r>
        <w:rPr>
          <w:rStyle w:val="FootnoteReference"/>
        </w:rPr>
        <w:footnoteReference w:id="53"/>
      </w:r>
      <w:r>
        <w:t xml:space="preserve">, la détermination des flux d’éléments nutritifs ou le monitoring agroenvironnemental</w:t>
      </w:r>
      <w:r>
        <w:rPr>
          <w:rStyle w:val="FootnoteReference"/>
        </w:rPr>
        <w:footnoteReference w:id="57"/>
      </w:r>
      <w:r>
        <w:t xml:space="preserve">. Ces données servent en outre de base au relevé des structures de l’agriculture suisse</w:t>
      </w:r>
      <w:r>
        <w:rPr>
          <w:rStyle w:val="FootnoteReference"/>
        </w:rPr>
        <w:footnoteReference w:id="59"/>
      </w:r>
      <w:r>
        <w:t xml:space="preserve"> </w:t>
      </w:r>
      <w:r>
        <w:t xml:space="preserve">et, plus généralement, à la statistique agricole</w:t>
      </w:r>
      <w:r>
        <w:rPr>
          <w:rStyle w:val="FootnoteReference"/>
        </w:rPr>
        <w:footnoteReference w:id="61"/>
      </w:r>
      <w:r>
        <w:t xml:space="preserve">.</w:t>
      </w:r>
    </w:p>
    <w:p>
      <w:pPr>
        <w:pStyle w:val="Textkrper"/>
      </w:pPr>
      <w:r>
        <w:t xml:space="preserve">Le système d’annonce du trafic des animaux s’est rapidement imposé tout au long de la chaîne de valeur alimentaire. Les programmes assortis de promesses en matière de bien-être animal, de traçabilité et de provenance s’y appuient</w:t>
      </w:r>
      <w:r>
        <w:rPr>
          <w:rStyle w:val="FootnoteReference"/>
        </w:rPr>
        <w:footnoteReference w:id="63"/>
      </w:r>
      <w:r>
        <w:t xml:space="preserve">. La diversité des informations sur les animaux issues du système d’annonce du trafic des animaux se reflète également dans les jeux de données publiquement disponibles de la plateforme Open Data Tierstatistik</w:t>
      </w:r>
      <w:r>
        <w:rPr>
          <w:rStyle w:val="FootnoteReference"/>
        </w:rPr>
        <w:footnoteReference w:id="66"/>
      </w:r>
      <w:r>
        <w:t xml:space="preserve">.</w:t>
      </w:r>
    </w:p>
    <w:p>
      <w:pPr>
        <w:pStyle w:val="Textkrper"/>
      </w:pPr>
      <w:r>
        <w:t xml:space="preserve">La description technique des interfaces figurant dans le présent document se fonde sur la description technique de service AnimalTracing v1.32 ainsi que sur la spécification openAPI v. x.xx.</w:t>
      </w:r>
    </w:p>
    <w:bookmarkEnd w:id="68"/>
    <w:bookmarkStart w:id="69" w:name="sec-references"/>
    <w:p>
      <w:pPr>
        <w:pStyle w:val="berschrift2"/>
      </w:pPr>
      <w:r>
        <w:t xml:space="preserve">1.4 Renvois</w:t>
      </w:r>
    </w:p>
    <w:p>
      <w:pPr>
        <w:pStyle w:val="FirstParagraph"/>
      </w:pPr>
      <w:r>
        <w:t xml:space="preserve">Interfaces: AnimalTracing API, description technique de service AnimalTracing</w:t>
      </w:r>
    </w:p>
    <w:bookmarkEnd w:id="69"/>
    <w:bookmarkEnd w:id="70"/>
    <w:bookmarkStart w:id="73" w:name="sec-namespaces"/>
    <w:p>
      <w:pPr>
        <w:pStyle w:val="berschrift1"/>
      </w:pPr>
      <w:r>
        <w:t xml:space="preserve">2. Espaces de noms</w:t>
      </w:r>
    </w:p>
    <w:p>
      <w:pPr>
        <w:pStyle w:val="FirstParagraph"/>
      </w:pPr>
      <w:r>
        <w:t xml:space="preserve">Le</w:t>
      </w:r>
      <w:r>
        <w:t xml:space="preserve"> </w:t>
      </w:r>
      <w:hyperlink w:anchor="tbl-namespaces">
        <w:r>
          <w:rPr>
            <w:rStyle w:val="Hyperlink"/>
          </w:rPr>
          <w:t xml:space="preserve">Table 1</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7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2" w:name="tbl-namespaces"/>
          <w:p>
            <w:pPr>
              <w:jc w:val="center"/>
            </w:pPr>
            <w:pPr>
              <w:jc w:val="left"/>
              <w:spacing w:before="200"/>
              <w:pStyle w:val="ImageCaption"/>
            </w:pPr>
            <w:r>
              <w:t xml:space="preserve">Table 1: Espaces de noms utilisés dans eCH-0309 – Document auxiliaire : données sur le trafic des animaux.</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https://agriculture.ld.admin.ch/eCH-0309/1/</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72"/>
          <w:p/>
        </w:tc>
      </w:tr>
    </w:tbl>
    <w:bookmarkEnd w:id="73"/>
    <w:bookmarkStart w:id="169" w:name="sec-data-model"/>
    <w:p>
      <w:pPr>
        <w:pStyle w:val="berschrift1"/>
      </w:pPr>
      <w:r>
        <w:t xml:space="preserve">3. Modèle de données</w:t>
      </w:r>
    </w:p>
    <w:tbl>
      <w:tblPr>
        <w:tblStyle w:val="Table"/>
        <w:tblW w:type="pct" w:w="5000"/>
        <w:tblLayout w:type="fixed"/>
        <w:tblLook w:firstRow="0" w:lastRow="0" w:firstColumn="0" w:lastColumn="0" w:noHBand="0" w:noVBand="0" w:val="0000"/>
      </w:tblPr>
      <w:tblGrid>
        <w:gridCol w:w="7920"/>
      </w:tblGrid>
      <w:tr>
        <w:tc>
          <w:tcPr/>
          <w:bookmarkStart w:id="77" w:name="fig-uml"/>
          <w:p>
            <w:pPr>
              <w:pStyle w:val="Compact"/>
              <w:jc w:val="center"/>
            </w:pPr>
            <w:r>
              <w:drawing>
                <wp:inline>
                  <wp:extent cx="6299200" cy="5755325"/>
                  <wp:effectExtent b="0" l="0" r="0" t="0"/>
                  <wp:docPr descr="" title="" id="75" name="Picture"/>
                  <a:graphic>
                    <a:graphicData uri="http://schemas.openxmlformats.org/drawingml/2006/picture">
                      <pic:pic>
                        <pic:nvPicPr>
                          <pic:cNvPr descr="../assets/img/uml.png" id="76" name="Picture"/>
                          <pic:cNvPicPr>
                            <a:picLocks noChangeArrowheads="1" noChangeAspect="1"/>
                          </pic:cNvPicPr>
                        </pic:nvPicPr>
                        <pic:blipFill>
                          <a:blip r:embed="rId74"/>
                          <a:stretch>
                            <a:fillRect/>
                          </a:stretch>
                        </pic:blipFill>
                        <pic:spPr bwMode="auto">
                          <a:xfrm>
                            <a:off x="0" y="0"/>
                            <a:ext cx="6299200" cy="57553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Diagramme UML du modèle de données eCH-0309.</w:t>
            </w:r>
          </w:p>
          <w:bookmarkEnd w:id="77"/>
        </w:tc>
      </w:tr>
    </w:tbl>
    <w:p>
      <w:pPr>
        <w:pStyle w:val="Textkrper"/>
      </w:pPr>
      <w:r>
        <w:t xml:space="preserve">La</w:t>
      </w:r>
      <w:r>
        <w:t xml:space="preserve"> </w:t>
      </w:r>
      <w:hyperlink w:anchor="fig-uml">
        <w:r>
          <w:rPr>
            <w:rStyle w:val="Hyperlink"/>
          </w:rPr>
          <w:t xml:space="preserve">Figure 1</w:t>
        </w:r>
      </w:hyperlink>
      <w:r>
        <w:t xml:space="preserve"> </w:t>
      </w:r>
      <w:r>
        <w:t xml:space="preserve">présente les classes du modèle de données et leurs relations. Chaque rectangle est une classe, les lignes qu’il contient sont ses attributs; les crochets indiquent le nombre de valeurs admises, du minimum au maximum —</w:t>
      </w:r>
      <w:r>
        <w:t xml:space="preserve"> </w:t>
      </w:r>
      <w:r>
        <w:rPr>
          <w:rStyle w:val="VerbatimChar"/>
        </w:rPr>
        <w:t xml:space="preserve">[1..1]</w:t>
      </w:r>
      <w:r>
        <w:t xml:space="preserve"> </w:t>
      </w:r>
      <w:r>
        <w:t xml:space="preserve">signifie exactement une valeur,</w:t>
      </w:r>
      <w:r>
        <w:t xml:space="preserve"> </w:t>
      </w:r>
      <w:r>
        <w:rPr>
          <w:rStyle w:val="VerbatimChar"/>
        </w:rPr>
        <w:t xml:space="preserve">[0..1]</w:t>
      </w:r>
      <w:r>
        <w:t xml:space="preserve"> </w:t>
      </w:r>
      <w:r>
        <w:t xml:space="preserve">au plus une. Une flèche mène à la classe vers laquelle le renvoi est fait et porte le nom de la relation; plusieurs relations entre les deux mêmes classes se partagent une flèche. La ligne munie d’un triangle relie une classe à sa classe supérieure, vers laquelle le triangle pointe: un équidé est un animal individuel et possède, outre les attributs représentés, tous les attributs de l’animal individuel, qui ne sont pas répétés dans le diagramme. Les attributs assortis d’un domaine de valeurs sont représentés comme tous les autres; les valeurs admises figurent au</w:t>
      </w:r>
      <w:r>
        <w:t xml:space="preserve"> </w:t>
      </w:r>
      <w:hyperlink w:anchor="sec-code-lists">
        <w:r>
          <w:rPr>
            <w:rStyle w:val="Hyperlink"/>
          </w:rPr>
          <w:t xml:space="preserve">Section 4</w:t>
        </w:r>
      </w:hyperlink>
      <w:r>
        <w:t xml:space="preserve">. Le diagramme n’indique ni les types de données ni les descriptions: celles-ci suivent dans les sections consacrées aux différentes classes.</w:t>
      </w:r>
    </w:p>
    <w:bookmarkStart w:id="100" w:name="sec-nodeshape-animalshape"/>
    <w:p>
      <w:pPr>
        <w:pStyle w:val="berschrift2"/>
      </w:pPr>
      <w:r>
        <w:t xml:space="preserve">3.1 Animal individuel</w:t>
      </w:r>
    </w:p>
    <w:p>
      <w:pPr>
        <w:pStyle w:val="FirstParagraph"/>
      </w:pPr>
      <w:r>
        <w:t xml:space="preserve">Un animal de rente identifié individuellement. Dans la banque de données sur le trafic des animaux, les animaux des catégories bovins, ovins, caprins et équidés sont enregistrés comme animaux individuels ; ils sont identifiés de manière univoque par leur numéro de marque auriculaire, ou par l’UELN pour les équidés. Aucun animal individuel n’est tenu pour les porcs et la volaille, mais uniquement des notifications de groupe.</w:t>
      </w:r>
    </w:p>
    <w:bookmarkStart w:id="80" w:name="sec-nodeshape-animalshape-overview"/>
    <w:p>
      <w:pPr>
        <w:pStyle w:val="berschrift3"/>
      </w:pPr>
      <w:r>
        <w:t xml:space="preserve">3.1.1 Aperçu</w:t>
      </w:r>
    </w:p>
    <w:p>
      <w:pPr>
        <w:pStyle w:val="DefinitionTerm"/>
      </w:pPr>
      <w:r>
        <w:t xml:space="preserve">Shape</w:t>
      </w:r>
    </w:p>
    <w:p>
      <w:pPr>
        <w:pStyle w:val="Definition"/>
      </w:pPr>
      <w:hyperlink r:id="rId78">
        <w:r>
          <w:rPr>
            <w:rStyle w:val="Hyperlink"/>
          </w:rPr>
          <w:t xml:space="preserve">:AnimalShape</w:t>
        </w:r>
      </w:hyperlink>
    </w:p>
    <w:p>
      <w:pPr>
        <w:pStyle w:val="DefinitionTerm"/>
      </w:pPr>
      <w:r>
        <w:t xml:space="preserve">Classe cible</w:t>
      </w:r>
    </w:p>
    <w:p>
      <w:pPr>
        <w:pStyle w:val="Definition"/>
      </w:pPr>
      <w:hyperlink r:id="rId79">
        <w:r>
          <w:rPr>
            <w:rStyle w:val="Hyperlink"/>
          </w:rPr>
          <w:t xml:space="preserve">:Animal</w:t>
        </w:r>
      </w:hyperlink>
    </w:p>
    <w:bookmarkEnd w:id="80"/>
    <w:bookmarkStart w:id="98" w:name="sec-nodeshape-animalshape-properties"/>
    <w:p>
      <w:pPr>
        <w:pStyle w:val="berschrift3"/>
      </w:pPr>
      <w:r>
        <w:t xml:space="preserve">3.1.2 Propriétés</w:t>
      </w:r>
    </w:p>
    <w:tbl>
      <w:tblPr>
        <w:tblStyle w:val="Table"/>
        <w:tblW w:type="pct" w:w="4972"/>
        <w:tblLayout w:type="fixed"/>
        <w:tblLook w:firstRow="1" w:lastRow="0" w:firstColumn="0" w:lastColumn="0" w:noHBand="0" w:noVBand="0" w:val="0020"/>
      </w:tblPr>
      <w:tblGrid>
        <w:gridCol w:w="3413"/>
        <w:gridCol w:w="3806"/>
        <w:gridCol w:w="65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Mère</w:t>
            </w:r>
            <w:r>
              <w:t xml:space="preserve"> </w:t>
            </w:r>
            <w:r>
              <w:t xml:space="preserve">(</w:t>
            </w:r>
            <w:hyperlink r:id="rId81">
              <w:r>
                <w:rPr>
                  <w:rStyle w:val="Hyperlink"/>
                </w:rPr>
                <w:t xml:space="preserve">:mother</w:t>
              </w:r>
            </w:hyperlink>
            <w:r>
              <w:t xml:space="preserve">): Un</w:t>
            </w:r>
            <w:r>
              <w:t xml:space="preserve"> </w:t>
            </w:r>
            <w:r>
              <w:t xml:space="preserve">animal individuel a au plus une mère.</w:t>
            </w:r>
          </w:p>
        </w:tc>
        <w:tc>
          <w:tcPr/>
          <w:p>
            <w:pPr>
              <w:pStyle w:val="Compact"/>
              <w:numPr>
                <w:ilvl w:val="0"/>
                <w:numId w:val="1001"/>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0..1</w:t>
            </w:r>
          </w:p>
        </w:tc>
      </w:tr>
      <w:tr>
        <w:tc>
          <w:tcPr/>
          <w:p>
            <w:pPr>
              <w:pStyle w:val="Compact"/>
              <w:jc w:val="left"/>
            </w:pPr>
            <w:r>
              <w:rPr>
                <w:b/>
                <w:bCs/>
              </w:rPr>
              <w:t xml:space="preserve">Père</w:t>
            </w:r>
            <w:r>
              <w:t xml:space="preserve"> </w:t>
            </w:r>
            <w:r>
              <w:t xml:space="preserve">(</w:t>
            </w:r>
            <w:hyperlink r:id="rId82">
              <w:r>
                <w:rPr>
                  <w:rStyle w:val="Hyperlink"/>
                </w:rPr>
                <w:t xml:space="preserve">:father</w:t>
              </w:r>
            </w:hyperlink>
            <w:r>
              <w:t xml:space="preserve">): Un</w:t>
            </w:r>
            <w:r>
              <w:t xml:space="preserve"> </w:t>
            </w:r>
            <w:r>
              <w:t xml:space="preserve">animal individuel a au plus un père.</w:t>
            </w:r>
          </w:p>
        </w:tc>
        <w:tc>
          <w:tcPr/>
          <w:p>
            <w:pPr>
              <w:pStyle w:val="Compact"/>
              <w:numPr>
                <w:ilvl w:val="0"/>
                <w:numId w:val="1002"/>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0..1</w:t>
            </w:r>
          </w:p>
        </w:tc>
      </w:tr>
      <w:tr>
        <w:tc>
          <w:tcPr/>
          <w:p>
            <w:pPr>
              <w:pStyle w:val="Compact"/>
              <w:jc w:val="left"/>
            </w:pPr>
            <w:r>
              <w:rPr>
                <w:b/>
                <w:bCs/>
              </w:rPr>
              <w:t xml:space="preserve">Identifiant</w:t>
            </w:r>
            <w:r>
              <w:t xml:space="preserve"> </w:t>
            </w:r>
            <w:r>
              <w:t xml:space="preserve">(</w:t>
            </w:r>
            <w:hyperlink r:id="rId83">
              <w:r>
                <w:rPr>
                  <w:rStyle w:val="Hyperlink"/>
                </w:rPr>
                <w:t xml:space="preserve">:identifier</w:t>
              </w:r>
            </w:hyperlink>
            <w:r>
              <w:t xml:space="preserve">):</w:t>
            </w:r>
            <w:r>
              <w:t xml:space="preserve"> </w:t>
            </w:r>
            <w:r>
              <w:t xml:space="preserve">Numéro de marque auriculaire, UELN pour les équidés</w:t>
            </w:r>
          </w:p>
        </w:tc>
        <w:tc>
          <w:tcPr/>
          <w:p>
            <w:pPr>
              <w:pStyle w:val="Compact"/>
              <w:numPr>
                <w:ilvl w:val="0"/>
                <w:numId w:val="1003"/>
              </w:numPr>
              <w:jc w:val="left"/>
            </w:pPr>
            <w:r>
              <w:t xml:space="preserve">Type: Chaîne de caractères (</w:t>
            </w:r>
            <w:hyperlink r:id="rId84">
              <w:r>
                <w:rPr>
                  <w:rStyle w:val="Hyperlink"/>
                </w:rPr>
                <w:t xml:space="preserve">xsd:string</w:t>
              </w:r>
            </w:hyperlink>
            <w:r>
              <w:t xml:space="preserve">)</w:t>
            </w:r>
          </w:p>
          <w:p>
            <w:pPr>
              <w:pStyle w:val="Compact"/>
              <w:numPr>
                <w:ilvl w:val="0"/>
                <w:numId w:val="1003"/>
              </w:numPr>
              <w:jc w:val="left"/>
            </w:pPr>
            <w:r>
              <w:t xml:space="preserve">Longueur: ≤ 15 caractères</w:t>
            </w:r>
          </w:p>
        </w:tc>
        <w:tc>
          <w:tcPr/>
          <w:p>
            <w:pPr>
              <w:pStyle w:val="Compact"/>
              <w:jc w:val="right"/>
            </w:pPr>
            <w:r>
              <w:t xml:space="preserve">1..1</w:t>
            </w:r>
          </w:p>
        </w:tc>
      </w:tr>
      <w:tr>
        <w:tc>
          <w:tcPr/>
          <w:p>
            <w:pPr>
              <w:pStyle w:val="Compact"/>
              <w:jc w:val="left"/>
            </w:pPr>
            <w:r>
              <w:rPr>
                <w:b/>
                <w:bCs/>
              </w:rPr>
              <w:t xml:space="preserve">Espèce d’animal de rente</w:t>
            </w:r>
            <w:r>
              <w:t xml:space="preserve"> </w:t>
            </w:r>
            <w:r>
              <w:t xml:space="preserve">(</w:t>
            </w:r>
            <w:hyperlink r:id="rId85">
              <w:r>
                <w:rPr>
                  <w:rStyle w:val="Hyperlink"/>
                </w:rPr>
                <w:t xml:space="preserve">:genus</w:t>
              </w:r>
            </w:hyperlink>
            <w:r>
              <w:t xml:space="preserve">)</w:t>
            </w:r>
          </w:p>
        </w:tc>
        <w:tc>
          <w:tcPr/>
          <w:p>
            <w:pPr>
              <w:pStyle w:val="Compact"/>
              <w:numPr>
                <w:ilvl w:val="0"/>
                <w:numId w:val="1004"/>
              </w:numPr>
              <w:jc w:val="left"/>
            </w:pPr>
            <w:r>
              <w:t xml:space="preserve">Type:</w:t>
            </w:r>
            <w:r>
              <w:t xml:space="preserve"> </w:t>
            </w:r>
            <w:hyperlink r:id="rId86">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Sexe</w:t>
            </w:r>
            <w:r>
              <w:t xml:space="preserve"> </w:t>
            </w:r>
            <w:r>
              <w:t xml:space="preserve">(</w:t>
            </w:r>
            <w:hyperlink r:id="rId87">
              <w:r>
                <w:rPr>
                  <w:rStyle w:val="Hyperlink"/>
                </w:rPr>
                <w:t xml:space="preserve">:gender</w:t>
              </w:r>
            </w:hyperlink>
            <w:r>
              <w:t xml:space="preserve">)</w:t>
            </w:r>
          </w:p>
        </w:tc>
        <w:tc>
          <w:tcPr/>
          <w:p>
            <w:pPr>
              <w:pStyle w:val="Compact"/>
              <w:numPr>
                <w:ilvl w:val="0"/>
                <w:numId w:val="1005"/>
              </w:numPr>
              <w:jc w:val="left"/>
            </w:pPr>
            <w:r>
              <w:t xml:space="preserve">Type:</w:t>
            </w:r>
            <w:r>
              <w:t xml:space="preserve"> </w:t>
            </w:r>
            <w:hyperlink r:id="rId88">
              <w:r>
                <w:rPr>
                  <w:rStyle w:val="Hyperlink"/>
                </w:rPr>
                <w:t xml:space="preserve">:Gender</w:t>
              </w:r>
            </w:hyperlink>
          </w:p>
        </w:tc>
        <w:tc>
          <w:tcPr/>
          <w:p>
            <w:pPr>
              <w:pStyle w:val="Compact"/>
              <w:jc w:val="right"/>
            </w:pPr>
            <w:r>
              <w:t xml:space="preserve">0..1</w:t>
            </w:r>
          </w:p>
        </w:tc>
      </w:tr>
      <w:tr>
        <w:tc>
          <w:tcPr/>
          <w:p>
            <w:pPr>
              <w:pStyle w:val="Compact"/>
              <w:jc w:val="left"/>
            </w:pPr>
            <w:r>
              <w:rPr>
                <w:b/>
                <w:bCs/>
              </w:rPr>
              <w:t xml:space="preserve">Date de naissance</w:t>
            </w:r>
            <w:r>
              <w:t xml:space="preserve"> </w:t>
            </w:r>
            <w:r>
              <w:t xml:space="preserve">(</w:t>
            </w:r>
            <w:hyperlink r:id="rId89">
              <w:r>
                <w:rPr>
                  <w:rStyle w:val="Hyperlink"/>
                </w:rPr>
                <w:t xml:space="preserve">:dateOfBirth</w:t>
              </w:r>
            </w:hyperlink>
            <w:r>
              <w:t xml:space="preserve">)</w:t>
            </w:r>
          </w:p>
        </w:tc>
        <w:tc>
          <w:tcPr/>
          <w:p>
            <w:pPr>
              <w:pStyle w:val="Compact"/>
              <w:numPr>
                <w:ilvl w:val="0"/>
                <w:numId w:val="1006"/>
              </w:numPr>
              <w:jc w:val="left"/>
            </w:pPr>
            <w:r>
              <w:t xml:space="preserve">Type: Date (</w:t>
            </w:r>
            <w:hyperlink r:id="rId9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Date de mort</w:t>
            </w:r>
            <w:r>
              <w:t xml:space="preserve"> </w:t>
            </w:r>
            <w:r>
              <w:t xml:space="preserve">(</w:t>
            </w:r>
            <w:hyperlink r:id="rId91">
              <w:r>
                <w:rPr>
                  <w:rStyle w:val="Hyperlink"/>
                </w:rPr>
                <w:t xml:space="preserve">:dateOfDeath</w:t>
              </w:r>
            </w:hyperlink>
            <w:r>
              <w:t xml:space="preserve">)</w:t>
            </w:r>
          </w:p>
        </w:tc>
        <w:tc>
          <w:tcPr/>
          <w:p>
            <w:pPr>
              <w:pStyle w:val="Compact"/>
              <w:numPr>
                <w:ilvl w:val="0"/>
                <w:numId w:val="1007"/>
              </w:numPr>
              <w:jc w:val="left"/>
            </w:pPr>
            <w:r>
              <w:t xml:space="preserve">Type: Date (</w:t>
            </w:r>
            <w:hyperlink r:id="rId9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Statut de l’historique de l’animal</w:t>
            </w:r>
            <w:r>
              <w:t xml:space="preserve"> </w:t>
            </w:r>
            <w:r>
              <w:t xml:space="preserve">(</w:t>
            </w:r>
            <w:hyperlink r:id="rId92">
              <w:r>
                <w:rPr>
                  <w:rStyle w:val="Hyperlink"/>
                </w:rPr>
                <w:t xml:space="preserve">:historyState</w:t>
              </w:r>
            </w:hyperlink>
            <w:r>
              <w:t xml:space="preserve">):</w:t>
            </w:r>
            <w:r>
              <w:t xml:space="preserve"> </w:t>
            </w:r>
            <w:r>
              <w:t xml:space="preserve">Statut de l’historique de l’animal à la date de la requête. Non pertinent</w:t>
            </w:r>
            <w:r>
              <w:t xml:space="preserve"> </w:t>
            </w:r>
            <w:r>
              <w:t xml:space="preserve">pour les équidés ; le catalogue d’objets attribue donc à l’attribut une</w:t>
            </w:r>
            <w:r>
              <w:t xml:space="preserve"> </w:t>
            </w:r>
            <w:r>
              <w:t xml:space="preserve">cardinalité de 1, mais l’obligation ne vaut que pour les autres animaux</w:t>
            </w:r>
            <w:r>
              <w:t xml:space="preserve"> </w:t>
            </w:r>
            <w:r>
              <w:t xml:space="preserve">individuels.</w:t>
            </w:r>
          </w:p>
        </w:tc>
        <w:tc>
          <w:tcPr/>
          <w:p>
            <w:pPr>
              <w:pStyle w:val="Compact"/>
              <w:numPr>
                <w:ilvl w:val="0"/>
                <w:numId w:val="1008"/>
              </w:numPr>
              <w:jc w:val="left"/>
            </w:pPr>
            <w:r>
              <w:t xml:space="preserve">Type:</w:t>
            </w:r>
            <w:r>
              <w:t xml:space="preserve"> </w:t>
            </w:r>
            <w:hyperlink r:id="rId93">
              <w:r>
                <w:rPr>
                  <w:rStyle w:val="Hyperlink"/>
                </w:rPr>
                <w:t xml:space="preserve">:AnimalHistoryState</w:t>
              </w:r>
            </w:hyperlink>
          </w:p>
        </w:tc>
        <w:tc>
          <w:tcPr/>
          <w:p>
            <w:pPr>
              <w:pStyle w:val="Compact"/>
              <w:jc w:val="right"/>
            </w:pPr>
            <w:r>
              <w:t xml:space="preserve">0..1</w:t>
            </w:r>
          </w:p>
        </w:tc>
      </w:tr>
      <w:tr>
        <w:tc>
          <w:tcPr/>
          <w:p>
            <w:pPr>
              <w:pStyle w:val="Compact"/>
              <w:jc w:val="left"/>
            </w:pPr>
            <w:r>
              <w:rPr>
                <w:b/>
                <w:bCs/>
              </w:rPr>
              <w:t xml:space="preserve">Type d’utilisation</w:t>
            </w:r>
            <w:r>
              <w:t xml:space="preserve"> </w:t>
            </w:r>
            <w:r>
              <w:t xml:space="preserve">(</w:t>
            </w:r>
            <w:hyperlink r:id="rId94">
              <w:r>
                <w:rPr>
                  <w:rStyle w:val="Hyperlink"/>
                </w:rPr>
                <w:t xml:space="preserve">:typeOfUse</w:t>
              </w:r>
            </w:hyperlink>
            <w:r>
              <w:t xml:space="preserve">)</w:t>
            </w:r>
          </w:p>
        </w:tc>
        <w:tc>
          <w:tcPr/>
          <w:p>
            <w:pPr>
              <w:pStyle w:val="Compact"/>
              <w:numPr>
                <w:ilvl w:val="0"/>
                <w:numId w:val="1009"/>
              </w:numPr>
              <w:jc w:val="left"/>
            </w:pPr>
            <w:r>
              <w:t xml:space="preserve">Type:</w:t>
            </w:r>
            <w:r>
              <w:t xml:space="preserve"> </w:t>
            </w:r>
            <w:hyperlink r:id="rId95">
              <w:r>
                <w:rPr>
                  <w:rStyle w:val="Hyperlink"/>
                </w:rPr>
                <w:t xml:space="preserve">:AnimalTypeOfUse</w:t>
              </w:r>
            </w:hyperlink>
          </w:p>
        </w:tc>
        <w:tc>
          <w:tcPr/>
          <w:p>
            <w:pPr>
              <w:pStyle w:val="Compact"/>
              <w:jc w:val="right"/>
            </w:pPr>
            <w:r>
              <w:t xml:space="preserve">0..1</w:t>
            </w:r>
          </w:p>
        </w:tc>
      </w:tr>
      <w:tr>
        <w:tc>
          <w:tcPr/>
          <w:p>
            <w:pPr>
              <w:pStyle w:val="Compact"/>
              <w:jc w:val="left"/>
            </w:pPr>
            <w:r>
              <w:rPr>
                <w:b/>
                <w:bCs/>
              </w:rPr>
              <w:t xml:space="preserve">Castré</w:t>
            </w:r>
            <w:r>
              <w:t xml:space="preserve"> </w:t>
            </w:r>
            <w:r>
              <w:t xml:space="preserve">(</w:t>
            </w:r>
            <w:hyperlink r:id="rId96">
              <w:r>
                <w:rPr>
                  <w:rStyle w:val="Hyperlink"/>
                </w:rPr>
                <w:t xml:space="preserve">:castrated</w:t>
              </w:r>
            </w:hyperlink>
            <w:r>
              <w:t xml:space="preserve">): Le</w:t>
            </w:r>
            <w:r>
              <w:t xml:space="preserve"> </w:t>
            </w:r>
            <w:r>
              <w:t xml:space="preserve">catalogue d’objets décrit l’attribut comme absent pour les équidés, mais</w:t>
            </w:r>
            <w:r>
              <w:t xml:space="preserve"> </w:t>
            </w:r>
            <w:r>
              <w:t xml:space="preserve">l’openAPI le porte également sur les réponses relatives aux équidés ;</w:t>
            </w:r>
            <w:r>
              <w:t xml:space="preserve"> </w:t>
            </w:r>
            <w:r>
              <w:t xml:space="preserve">l’écart fait l’objet de l’issue #45 auprès d’Identitas.</w:t>
            </w:r>
          </w:p>
        </w:tc>
        <w:tc>
          <w:tcPr/>
          <w:p>
            <w:pPr>
              <w:pStyle w:val="Compact"/>
              <w:numPr>
                <w:ilvl w:val="0"/>
                <w:numId w:val="1010"/>
              </w:numPr>
              <w:jc w:val="left"/>
            </w:pPr>
            <w:r>
              <w:t xml:space="preserve">Type: Booléen (</w:t>
            </w:r>
            <w:hyperlink r:id="rId97">
              <w:r>
                <w:rPr>
                  <w:rStyle w:val="Hyperlink"/>
                </w:rPr>
                <w:t xml:space="preserve">xsd:boolean</w:t>
              </w:r>
            </w:hyperlink>
            <w:r>
              <w:t xml:space="preserve">)</w:t>
            </w:r>
          </w:p>
        </w:tc>
        <w:tc>
          <w:tcPr/>
          <w:p>
            <w:pPr>
              <w:pStyle w:val="Compact"/>
              <w:jc w:val="right"/>
            </w:pPr>
            <w:r>
              <w:t xml:space="preserve">0..1</w:t>
            </w:r>
          </w:p>
        </w:tc>
      </w:tr>
    </w:tbl>
    <w:bookmarkEnd w:id="98"/>
    <w:bookmarkStart w:id="99" w:name="sec-nodeshape-animalshape-rules"/>
    <w:p>
      <w:pPr>
        <w:pStyle w:val="berschrift3"/>
      </w:pPr>
      <w:r>
        <w:t xml:space="preserve">3.1.3 Règles</w:t>
      </w:r>
    </w:p>
    <w:p>
      <w:pPr>
        <w:pStyle w:val="FirstParagraph"/>
      </w:pPr>
      <w:r>
        <w:t xml:space="preserve">Le catalogue d’objets attribue au statut de l’historique de l’animal une cardinalité de 1, tout en précisant qu’il n’est pas pertinent pour les équidés. L’obligation s’applique donc à tout animal individuel à l’exception des équidés.</w:t>
      </w:r>
    </w:p>
    <w:bookmarkEnd w:id="99"/>
    <w:bookmarkEnd w:id="100"/>
    <w:bookmarkStart w:id="106" w:name="sec-nodeshape-animalkeepershape"/>
    <w:p>
      <w:pPr>
        <w:pStyle w:val="berschrift2"/>
      </w:pPr>
      <w:r>
        <w:t xml:space="preserve">3.2 Détenteur d’animaux</w:t>
      </w:r>
    </w:p>
    <w:p>
      <w:pPr>
        <w:pStyle w:val="FirstParagraph"/>
      </w:pPr>
      <w:r>
        <w:t xml:space="preserve">Un exploitant est une unité juridique au sens de l’eCH-0108 qui assume le risque économique d’une exploitation (OTerm art. 2). Le détenteur d’animaux est une forme d’exploitant qui détient des animaux (OTerm art. 11a) ; il lui faut donc une unité locale (unité d’élevage). La responsabilité des notifications incombe au détenteur d’animaux pour toutes les catégories d’animaux à l’exception des équidés ; pour les équidés, elle incombe au propriétaire ou à la propriétaire (chapitre 3.1.1 de l’outil). Les attributs sont décrits dans l’</w:t>
      </w:r>
      <w:hyperlink r:id="rId101">
        <w:r>
          <w:rPr>
            <w:rStyle w:val="Hyperlink"/>
          </w:rPr>
          <w:t xml:space="preserve">eCH-0261</w:t>
        </w:r>
      </w:hyperlink>
      <w:r>
        <w:t xml:space="preserve">, chapitres 3.1 et 3.2.</w:t>
      </w:r>
    </w:p>
    <w:bookmarkStart w:id="104" w:name="sec-nodeshape-animalkeepershape-overview"/>
    <w:p>
      <w:pPr>
        <w:pStyle w:val="berschrift3"/>
      </w:pPr>
      <w:r>
        <w:t xml:space="preserve">3.2.1 Aperçu</w:t>
      </w:r>
    </w:p>
    <w:p>
      <w:pPr>
        <w:pStyle w:val="DefinitionTerm"/>
      </w:pPr>
      <w:r>
        <w:t xml:space="preserve">Shape</w:t>
      </w:r>
    </w:p>
    <w:p>
      <w:pPr>
        <w:pStyle w:val="Definition"/>
      </w:pPr>
      <w:hyperlink r:id="rId102">
        <w:r>
          <w:rPr>
            <w:rStyle w:val="Hyperlink"/>
          </w:rPr>
          <w:t xml:space="preserve">:AnimalKeeperShape</w:t>
        </w:r>
      </w:hyperlink>
    </w:p>
    <w:p>
      <w:pPr>
        <w:pStyle w:val="DefinitionTerm"/>
      </w:pPr>
      <w:r>
        <w:t xml:space="preserve">Classe cible</w:t>
      </w:r>
    </w:p>
    <w:p>
      <w:pPr>
        <w:pStyle w:val="Definition"/>
      </w:pPr>
      <w:hyperlink r:id="rId103">
        <w:r>
          <w:rPr>
            <w:rStyle w:val="Hyperlink"/>
          </w:rPr>
          <w:t xml:space="preserve">:AnimalKeeper</w:t>
        </w:r>
      </w:hyperlink>
    </w:p>
    <w:bookmarkEnd w:id="104"/>
    <w:bookmarkStart w:id="105" w:name="sec-nodeshape-animalkeepershape-rules"/>
    <w:p>
      <w:pPr>
        <w:pStyle w:val="berschrift3"/>
      </w:pPr>
      <w:r>
        <w:t xml:space="preserve">3.2.2 Règles</w:t>
      </w:r>
    </w:p>
    <w:p>
      <w:pPr>
        <w:pStyle w:val="FirstParagraph"/>
      </w:pPr>
      <w:r>
        <w:t xml:space="preserve">Un détenteur d’animaux a besoin d’au moins une unité locale (chapitre 3.1.1 de l’outil). Cette règle provient de la description sémantique et non du catalogue d’objets.</w:t>
      </w:r>
    </w:p>
    <w:bookmarkEnd w:id="105"/>
    <w:bookmarkEnd w:id="106"/>
    <w:bookmarkStart w:id="119" w:name="sec-nodeshape-animalnotificationshape"/>
    <w:p>
      <w:pPr>
        <w:pStyle w:val="berschrift2"/>
      </w:pPr>
      <w:r>
        <w:t xml:space="preserve">3.3 Notification d’animal individuel</w:t>
      </w:r>
    </w:p>
    <w:p>
      <w:pPr>
        <w:pStyle w:val="FirstParagraph"/>
      </w:pPr>
      <w:r>
        <w:t xml:space="preserve">Un événement concernant un animal individuel. Sont considérées comme événements les notifications de mouvement, les notifications de données de base, les modifications d’attributs individuels des données de base ainsi que les notifications finales. Une notification se rapporte toujours à l’unité locale où l’événement a eu lieu et peut en outre indiquer l’unité locale de provenance. Les événements sont annoncés par les personnes autorisées, avec indication de l’unité d’élevage à laquelle la notification se rapporte ; pour les équidés, ils sont annoncés par les personnes autorisées du propriétaire d’équidés responsable.</w:t>
      </w:r>
    </w:p>
    <w:bookmarkStart w:id="109" w:name="Xa1cec633b6d9bcc7746045980f8ff267aafc205"/>
    <w:p>
      <w:pPr>
        <w:pStyle w:val="berschrift3"/>
      </w:pPr>
      <w:r>
        <w:t xml:space="preserve">3.3.1 Aperçu</w:t>
      </w:r>
    </w:p>
    <w:p>
      <w:pPr>
        <w:pStyle w:val="DefinitionTerm"/>
      </w:pPr>
      <w:r>
        <w:t xml:space="preserve">Shape</w:t>
      </w:r>
    </w:p>
    <w:p>
      <w:pPr>
        <w:pStyle w:val="Definition"/>
      </w:pPr>
      <w:hyperlink r:id="rId107">
        <w:r>
          <w:rPr>
            <w:rStyle w:val="Hyperlink"/>
          </w:rPr>
          <w:t xml:space="preserve">:AnimalNotificationShape</w:t>
        </w:r>
      </w:hyperlink>
    </w:p>
    <w:p>
      <w:pPr>
        <w:pStyle w:val="DefinitionTerm"/>
      </w:pPr>
      <w:r>
        <w:t xml:space="preserve">Classe cible</w:t>
      </w:r>
    </w:p>
    <w:p>
      <w:pPr>
        <w:pStyle w:val="Definition"/>
      </w:pPr>
      <w:hyperlink r:id="rId108">
        <w:r>
          <w:rPr>
            <w:rStyle w:val="Hyperlink"/>
          </w:rPr>
          <w:t xml:space="preserve">:AnimalNotification</w:t>
        </w:r>
      </w:hyperlink>
    </w:p>
    <w:bookmarkEnd w:id="109"/>
    <w:bookmarkStart w:id="118" w:name="X5f5bdfe6a9314566702904ed02d8e7b72394669"/>
    <w:p>
      <w:pPr>
        <w:pStyle w:val="berschrift3"/>
      </w:pPr>
      <w:r>
        <w:t xml:space="preserve">3.3.2 Propriétés</w:t>
      </w:r>
    </w:p>
    <w:tbl>
      <w:tblPr>
        <w:tblStyle w:val="Table"/>
        <w:tblW w:type="pct" w:w="4973"/>
        <w:tblLayout w:type="fixed"/>
        <w:tblLook w:firstRow="1" w:lastRow="0" w:firstColumn="0" w:lastColumn="0" w:noHBand="0" w:noVBand="0" w:val="0020"/>
      </w:tblPr>
      <w:tblGrid>
        <w:gridCol w:w="3681"/>
        <w:gridCol w:w="3553"/>
        <w:gridCol w:w="6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Identifiant</w:t>
            </w:r>
            <w:r>
              <w:t xml:space="preserve"> </w:t>
            </w:r>
            <w:r>
              <w:t xml:space="preserve">(</w:t>
            </w:r>
            <w:hyperlink r:id="rId110">
              <w:r>
                <w:rPr>
                  <w:rStyle w:val="Hyperlink"/>
                </w:rPr>
                <w:t xml:space="preserve">:animal</w:t>
              </w:r>
            </w:hyperlink>
            <w:r>
              <w:t xml:space="preserve">): Une</w:t>
            </w:r>
            <w:r>
              <w:t xml:space="preserve"> </w:t>
            </w:r>
            <w:r>
              <w:t xml:space="preserve">notification d’animal individuel se rapporte à exactement un animal individuel.</w:t>
            </w:r>
          </w:p>
        </w:tc>
        <w:tc>
          <w:tcPr/>
          <w:p>
            <w:pPr>
              <w:pStyle w:val="Compact"/>
              <w:numPr>
                <w:ilvl w:val="0"/>
                <w:numId w:val="1011"/>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1..1</w:t>
            </w:r>
          </w:p>
        </w:tc>
      </w:tr>
      <w:tr>
        <w:tc>
          <w:tcPr/>
          <w:p>
            <w:pPr>
              <w:pStyle w:val="Compact"/>
              <w:jc w:val="left"/>
            </w:pPr>
            <w:r>
              <w:rPr>
                <w:b/>
                <w:bCs/>
              </w:rPr>
              <w:t xml:space="preserve">Unité locale</w:t>
            </w:r>
            <w:r>
              <w:t xml:space="preserve"> </w:t>
            </w:r>
            <w:r>
              <w:t xml:space="preserve">(</w:t>
            </w:r>
            <w:hyperlink r:id="rId111">
              <w:r>
                <w:rPr>
                  <w:rStyle w:val="Hyperlink"/>
                </w:rPr>
                <w:t xml:space="preserve">:localUnit</w:t>
              </w:r>
            </w:hyperlink>
            <w:r>
              <w:t xml:space="preserve">): Numéro REE de</w:t>
            </w:r>
            <w:r>
              <w:t xml:space="preserve"> </w:t>
            </w:r>
            <w:r>
              <w:t xml:space="preserve">l’unité locale à laquelle se rapporte la notification</w:t>
            </w:r>
          </w:p>
        </w:tc>
        <w:tc>
          <w:tcPr/>
          <w:p>
            <w:pPr>
              <w:pStyle w:val="Compact"/>
              <w:numPr>
                <w:ilvl w:val="0"/>
                <w:numId w:val="1012"/>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1..1</w:t>
            </w:r>
          </w:p>
        </w:tc>
      </w:tr>
      <w:tr>
        <w:tc>
          <w:tcPr/>
          <w:p>
            <w:pPr>
              <w:pStyle w:val="Compact"/>
              <w:jc w:val="left"/>
            </w:pPr>
            <w:r>
              <w:rPr>
                <w:b/>
                <w:bCs/>
              </w:rPr>
              <w:t xml:space="preserve">Provenance</w:t>
            </w:r>
            <w:r>
              <w:t xml:space="preserve"> </w:t>
            </w:r>
            <w:r>
              <w:t xml:space="preserve">(</w:t>
            </w:r>
            <w:hyperlink r:id="rId112">
              <w:r>
                <w:rPr>
                  <w:rStyle w:val="Hyperlink"/>
                </w:rPr>
                <w:t xml:space="preserve">:originLocalUnit</w:t>
              </w:r>
            </w:hyperlink>
            <w:r>
              <w:t xml:space="preserve">):</w:t>
            </w:r>
            <w:r>
              <w:t xml:space="preserve"> </w:t>
            </w:r>
            <w:r>
              <w:t xml:space="preserve">Numéro REE de l’unité locale d’où provient l’animal</w:t>
            </w:r>
          </w:p>
        </w:tc>
        <w:tc>
          <w:tcPr/>
          <w:p>
            <w:pPr>
              <w:pStyle w:val="Compact"/>
              <w:numPr>
                <w:ilvl w:val="0"/>
                <w:numId w:val="1013"/>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13">
              <w:r>
                <w:rPr>
                  <w:rStyle w:val="Hyperlink"/>
                </w:rPr>
                <w:t xml:space="preserve">:id</w:t>
              </w:r>
            </w:hyperlink>
            <w:r>
              <w:t xml:space="preserve">): Identifiant univoque</w:t>
            </w:r>
            <w:r>
              <w:t xml:space="preserve"> </w:t>
            </w:r>
            <w:r>
              <w:t xml:space="preserve">du mouvement, attribué par le système.</w:t>
            </w:r>
          </w:p>
        </w:tc>
        <w:tc>
          <w:tcPr/>
          <w:p>
            <w:pPr>
              <w:pStyle w:val="Compact"/>
              <w:numPr>
                <w:ilvl w:val="0"/>
                <w:numId w:val="1014"/>
              </w:numPr>
              <w:jc w:val="left"/>
            </w:pPr>
            <w:r>
              <w:t xml:space="preserve">Type: Chaîne de caractères</w:t>
            </w:r>
            <w:r>
              <w:t xml:space="preserve"> </w:t>
            </w:r>
            <w:r>
              <w:t xml:space="preserve">(</w:t>
            </w:r>
            <w:hyperlink r:id="rId8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Espèce d’animal de rente</w:t>
            </w:r>
            <w:r>
              <w:t xml:space="preserve"> </w:t>
            </w:r>
            <w:r>
              <w:t xml:space="preserve">(</w:t>
            </w:r>
            <w:hyperlink r:id="rId85">
              <w:r>
                <w:rPr>
                  <w:rStyle w:val="Hyperlink"/>
                </w:rPr>
                <w:t xml:space="preserve">:genus</w:t>
              </w:r>
            </w:hyperlink>
            <w:r>
              <w:t xml:space="preserve">)</w:t>
            </w:r>
          </w:p>
        </w:tc>
        <w:tc>
          <w:tcPr/>
          <w:p>
            <w:pPr>
              <w:pStyle w:val="Compact"/>
              <w:numPr>
                <w:ilvl w:val="0"/>
                <w:numId w:val="1015"/>
              </w:numPr>
              <w:jc w:val="left"/>
            </w:pPr>
            <w:r>
              <w:t xml:space="preserve">Type:</w:t>
            </w:r>
            <w:r>
              <w:t xml:space="preserve"> </w:t>
            </w:r>
            <w:hyperlink r:id="rId86">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Type de mouvement</w:t>
            </w:r>
            <w:r>
              <w:t xml:space="preserve"> </w:t>
            </w:r>
            <w:r>
              <w:t xml:space="preserve">(</w:t>
            </w:r>
            <w:hyperlink r:id="rId114">
              <w:r>
                <w:rPr>
                  <w:rStyle w:val="Hyperlink"/>
                </w:rPr>
                <w:t xml:space="preserve">:notificationType</w:t>
              </w:r>
            </w:hyperlink>
            <w:r>
              <w:t xml:space="preserve">)</w:t>
            </w:r>
          </w:p>
        </w:tc>
        <w:tc>
          <w:tcPr/>
          <w:p>
            <w:pPr>
              <w:pStyle w:val="Compact"/>
              <w:numPr>
                <w:ilvl w:val="0"/>
                <w:numId w:val="1016"/>
              </w:numPr>
              <w:jc w:val="left"/>
            </w:pPr>
            <w:r>
              <w:t xml:space="preserve">Type:</w:t>
            </w:r>
            <w:r>
              <w:t xml:space="preserve"> </w:t>
            </w:r>
            <w:hyperlink r:id="rId115">
              <w:r>
                <w:rPr>
                  <w:rStyle w:val="Hyperlink"/>
                </w:rPr>
                <w:t xml:space="preserve">:NotificationType</w:t>
              </w:r>
            </w:hyperlink>
          </w:p>
        </w:tc>
        <w:tc>
          <w:tcPr/>
          <w:p>
            <w:pPr>
              <w:pStyle w:val="Compact"/>
              <w:jc w:val="right"/>
            </w:pPr>
            <w:r>
              <w:t xml:space="preserve">1..1</w:t>
            </w:r>
          </w:p>
        </w:tc>
      </w:tr>
      <w:tr>
        <w:tc>
          <w:tcPr/>
          <w:p>
            <w:pPr>
              <w:pStyle w:val="Compact"/>
              <w:jc w:val="left"/>
            </w:pPr>
            <w:r>
              <w:rPr>
                <w:b/>
                <w:bCs/>
              </w:rPr>
              <w:t xml:space="preserve">Date de l’événement</w:t>
            </w:r>
            <w:r>
              <w:t xml:space="preserve"> </w:t>
            </w:r>
            <w:r>
              <w:t xml:space="preserve">(</w:t>
            </w:r>
            <w:hyperlink r:id="rId116">
              <w:r>
                <w:rPr>
                  <w:rStyle w:val="Hyperlink"/>
                </w:rPr>
                <w:t xml:space="preserve">:eventDate</w:t>
              </w:r>
            </w:hyperlink>
            <w:r>
              <w:t xml:space="preserve">): Date à</w:t>
            </w:r>
            <w:r>
              <w:t xml:space="preserve"> </w:t>
            </w:r>
            <w:r>
              <w:t xml:space="preserve">laquelle l’événement a eu lieu</w:t>
            </w:r>
          </w:p>
        </w:tc>
        <w:tc>
          <w:tcPr/>
          <w:p>
            <w:pPr>
              <w:pStyle w:val="Compact"/>
              <w:numPr>
                <w:ilvl w:val="0"/>
                <w:numId w:val="1017"/>
              </w:numPr>
              <w:jc w:val="left"/>
            </w:pPr>
            <w:r>
              <w:t xml:space="preserve">Type: Date (</w:t>
            </w:r>
            <w:hyperlink r:id="rId90">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Date d’annonce</w:t>
            </w:r>
            <w:r>
              <w:t xml:space="preserve"> </w:t>
            </w:r>
            <w:r>
              <w:t xml:space="preserve">(</w:t>
            </w:r>
            <w:hyperlink r:id="rId117">
              <w:r>
                <w:rPr>
                  <w:rStyle w:val="Hyperlink"/>
                </w:rPr>
                <w:t xml:space="preserve">:notificationDate</w:t>
              </w:r>
            </w:hyperlink>
            <w:r>
              <w:t xml:space="preserve">):</w:t>
            </w:r>
            <w:r>
              <w:t xml:space="preserve"> </w:t>
            </w:r>
            <w:r>
              <w:t xml:space="preserve">Date à laquelle l’événement a été annoncé</w:t>
            </w:r>
          </w:p>
        </w:tc>
        <w:tc>
          <w:tcPr/>
          <w:p>
            <w:pPr>
              <w:pStyle w:val="Compact"/>
              <w:numPr>
                <w:ilvl w:val="0"/>
                <w:numId w:val="1018"/>
              </w:numPr>
              <w:jc w:val="left"/>
            </w:pPr>
            <w:r>
              <w:t xml:space="preserve">Type: Date (</w:t>
            </w:r>
            <w:hyperlink r:id="rId90">
              <w:r>
                <w:rPr>
                  <w:rStyle w:val="Hyperlink"/>
                </w:rPr>
                <w:t xml:space="preserve">xsd:date</w:t>
              </w:r>
            </w:hyperlink>
            <w:r>
              <w:t xml:space="preserve">)</w:t>
            </w:r>
          </w:p>
        </w:tc>
        <w:tc>
          <w:tcPr/>
          <w:p>
            <w:pPr>
              <w:pStyle w:val="Compact"/>
              <w:jc w:val="right"/>
            </w:pPr>
            <w:r>
              <w:t xml:space="preserve">1..1</w:t>
            </w:r>
          </w:p>
        </w:tc>
      </w:tr>
    </w:tbl>
    <w:bookmarkEnd w:id="118"/>
    <w:bookmarkEnd w:id="119"/>
    <w:bookmarkStart w:id="129" w:name="sec-nodeshape-groupnotificationshape"/>
    <w:p>
      <w:pPr>
        <w:pStyle w:val="berschrift2"/>
      </w:pPr>
      <w:r>
        <w:t xml:space="preserve">3.4 Notification de groupe</w:t>
      </w:r>
    </w:p>
    <w:p>
      <w:pPr>
        <w:pStyle w:val="FirstParagraph"/>
      </w:pPr>
      <w:r>
        <w:t xml:space="preserve">Un événement concernant un groupe d’animaux qui ne peuvent pas être identifiés individuellement. Les notifications de groupe sont enregistrées pour les animaux des catégories porcs et volaille ; les individus d’un tel groupe ne sont donc pas connus. Les événements sont annoncés par les personnes physiques de l’unité juridique responsable, le détenteur d’animaux. Ils comprennent les annonces de mise en place pour la volaille, les annonces de mouvement pour les porcs ainsi que les annonces d’abattage de porcs (en têtes) et de groupes de volaille (en kg). Cette classe n’a pas d’équivalent dans la spécification openAPI d’AnimalTracing, car les porcs et la volaille n’y sont pas représentés.</w:t>
      </w:r>
    </w:p>
    <w:bookmarkStart w:id="122" w:name="Xa04d249e5cb15074f59ff488baabe8a68467daf"/>
    <w:p>
      <w:pPr>
        <w:pStyle w:val="berschrift3"/>
      </w:pPr>
      <w:r>
        <w:t xml:space="preserve">3.4.1 Aperçu</w:t>
      </w:r>
    </w:p>
    <w:p>
      <w:pPr>
        <w:pStyle w:val="DefinitionTerm"/>
      </w:pPr>
      <w:r>
        <w:t xml:space="preserve">Shape</w:t>
      </w:r>
    </w:p>
    <w:p>
      <w:pPr>
        <w:pStyle w:val="Definition"/>
      </w:pPr>
      <w:hyperlink r:id="rId120">
        <w:r>
          <w:rPr>
            <w:rStyle w:val="Hyperlink"/>
          </w:rPr>
          <w:t xml:space="preserve">:GroupNotificationShape</w:t>
        </w:r>
      </w:hyperlink>
    </w:p>
    <w:p>
      <w:pPr>
        <w:pStyle w:val="DefinitionTerm"/>
      </w:pPr>
      <w:r>
        <w:t xml:space="preserve">Classe cible</w:t>
      </w:r>
    </w:p>
    <w:p>
      <w:pPr>
        <w:pStyle w:val="Definition"/>
      </w:pPr>
      <w:hyperlink r:id="rId121">
        <w:r>
          <w:rPr>
            <w:rStyle w:val="Hyperlink"/>
          </w:rPr>
          <w:t xml:space="preserve">:GroupNotification</w:t>
        </w:r>
      </w:hyperlink>
    </w:p>
    <w:bookmarkEnd w:id="122"/>
    <w:bookmarkStart w:id="128" w:name="X7915839ef175a2a5570c4b4ab0986c6c07e93bf"/>
    <w:p>
      <w:pPr>
        <w:pStyle w:val="berschrift3"/>
      </w:pPr>
      <w:r>
        <w:t xml:space="preserve">3.4.2 Propriétés</w:t>
      </w:r>
    </w:p>
    <w:tbl>
      <w:tblPr>
        <w:tblStyle w:val="Table"/>
        <w:tblW w:type="pct" w:w="4973"/>
        <w:tblLayout w:type="fixed"/>
        <w:tblLook w:firstRow="1" w:lastRow="0" w:firstColumn="0" w:lastColumn="0" w:noHBand="0" w:noVBand="0" w:val="0020"/>
      </w:tblPr>
      <w:tblGrid>
        <w:gridCol w:w="3681"/>
        <w:gridCol w:w="3553"/>
        <w:gridCol w:w="6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Unité locale</w:t>
            </w:r>
            <w:r>
              <w:t xml:space="preserve"> </w:t>
            </w:r>
            <w:r>
              <w:t xml:space="preserve">(</w:t>
            </w:r>
            <w:hyperlink r:id="rId111">
              <w:r>
                <w:rPr>
                  <w:rStyle w:val="Hyperlink"/>
                </w:rPr>
                <w:t xml:space="preserve">:localUnit</w:t>
              </w:r>
            </w:hyperlink>
            <w:r>
              <w:t xml:space="preserve">): Numéro REE de</w:t>
            </w:r>
            <w:r>
              <w:t xml:space="preserve"> </w:t>
            </w:r>
            <w:r>
              <w:t xml:space="preserve">l’unité locale</w:t>
            </w:r>
          </w:p>
        </w:tc>
        <w:tc>
          <w:tcPr/>
          <w:p>
            <w:pPr>
              <w:pStyle w:val="Compact"/>
              <w:numPr>
                <w:ilvl w:val="0"/>
                <w:numId w:val="1019"/>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1..1</w:t>
            </w:r>
          </w:p>
        </w:tc>
      </w:tr>
      <w:tr>
        <w:tc>
          <w:tcPr/>
          <w:p>
            <w:pPr>
              <w:pStyle w:val="Compact"/>
              <w:jc w:val="left"/>
            </w:pPr>
            <w:r>
              <w:rPr>
                <w:b/>
                <w:bCs/>
              </w:rPr>
              <w:t xml:space="preserve">Provenance</w:t>
            </w:r>
            <w:r>
              <w:t xml:space="preserve"> </w:t>
            </w:r>
            <w:r>
              <w:t xml:space="preserve">(</w:t>
            </w:r>
            <w:hyperlink r:id="rId112">
              <w:r>
                <w:rPr>
                  <w:rStyle w:val="Hyperlink"/>
                </w:rPr>
                <w:t xml:space="preserve">:originLocalUnit</w:t>
              </w:r>
            </w:hyperlink>
            <w:r>
              <w:t xml:space="preserve">):</w:t>
            </w:r>
            <w:r>
              <w:t xml:space="preserve"> </w:t>
            </w:r>
            <w:r>
              <w:t xml:space="preserve">Numéro REE de l’unité locale d’où provient l’animal</w:t>
            </w:r>
          </w:p>
        </w:tc>
        <w:tc>
          <w:tcPr/>
          <w:p>
            <w:pPr>
              <w:pStyle w:val="Compact"/>
              <w:numPr>
                <w:ilvl w:val="0"/>
                <w:numId w:val="1020"/>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13">
              <w:r>
                <w:rPr>
                  <w:rStyle w:val="Hyperlink"/>
                </w:rPr>
                <w:t xml:space="preserve">:id</w:t>
              </w:r>
            </w:hyperlink>
            <w:r>
              <w:t xml:space="preserve">): Identifiant univoque</w:t>
            </w:r>
            <w:r>
              <w:t xml:space="preserve"> </w:t>
            </w:r>
            <w:r>
              <w:t xml:space="preserve">du mouvement, attribué par le système.</w:t>
            </w:r>
          </w:p>
        </w:tc>
        <w:tc>
          <w:tcPr/>
          <w:p>
            <w:pPr>
              <w:pStyle w:val="Compact"/>
              <w:numPr>
                <w:ilvl w:val="0"/>
                <w:numId w:val="1021"/>
              </w:numPr>
              <w:jc w:val="left"/>
            </w:pPr>
            <w:r>
              <w:t xml:space="preserve">Type: Chaîne de caractères</w:t>
            </w:r>
            <w:r>
              <w:t xml:space="preserve"> </w:t>
            </w:r>
            <w:r>
              <w:t xml:space="preserve">(</w:t>
            </w:r>
            <w:hyperlink r:id="rId8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Espèce d’animal de rente</w:t>
            </w:r>
            <w:r>
              <w:t xml:space="preserve"> </w:t>
            </w:r>
            <w:r>
              <w:t xml:space="preserve">(</w:t>
            </w:r>
            <w:hyperlink r:id="rId85">
              <w:r>
                <w:rPr>
                  <w:rStyle w:val="Hyperlink"/>
                </w:rPr>
                <w:t xml:space="preserve">:genus</w:t>
              </w:r>
            </w:hyperlink>
            <w:r>
              <w:t xml:space="preserve">)</w:t>
            </w:r>
          </w:p>
        </w:tc>
        <w:tc>
          <w:tcPr/>
          <w:p>
            <w:pPr>
              <w:pStyle w:val="Compact"/>
              <w:numPr>
                <w:ilvl w:val="0"/>
                <w:numId w:val="1022"/>
              </w:numPr>
              <w:jc w:val="left"/>
            </w:pPr>
            <w:r>
              <w:t xml:space="preserve">Type:</w:t>
            </w:r>
            <w:r>
              <w:t xml:space="preserve"> </w:t>
            </w:r>
            <w:hyperlink r:id="rId86">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Information de groupe</w:t>
            </w:r>
            <w:r>
              <w:t xml:space="preserve"> </w:t>
            </w:r>
            <w:r>
              <w:t xml:space="preserve">(</w:t>
            </w:r>
            <w:hyperlink r:id="rId123">
              <w:r>
                <w:rPr>
                  <w:rStyle w:val="Hyperlink"/>
                </w:rPr>
                <w:t xml:space="preserve">:groupInformation</w:t>
              </w:r>
            </w:hyperlink>
            <w:r>
              <w:t xml:space="preserve">):</w:t>
            </w:r>
            <w:r>
              <w:t xml:space="preserve"> </w:t>
            </w:r>
            <w:r>
              <w:t xml:space="preserve">Une information de groupe doit être indiquée pour les annonces de mise en place de</w:t>
            </w:r>
            <w:r>
              <w:t xml:space="preserve"> </w:t>
            </w:r>
            <w:r>
              <w:t xml:space="preserve">volaille</w:t>
            </w:r>
          </w:p>
        </w:tc>
        <w:tc>
          <w:tcPr/>
          <w:p>
            <w:pPr>
              <w:pStyle w:val="Compact"/>
              <w:numPr>
                <w:ilvl w:val="0"/>
                <w:numId w:val="1023"/>
              </w:numPr>
              <w:jc w:val="left"/>
            </w:pPr>
            <w:r>
              <w:t xml:space="preserve">Type: Chaîne de caractères</w:t>
            </w:r>
            <w:r>
              <w:t xml:space="preserve"> </w:t>
            </w:r>
            <w:r>
              <w:t xml:space="preserve">(</w:t>
            </w:r>
            <w:hyperlink r:id="rId84">
              <w:r>
                <w:rPr>
                  <w:rStyle w:val="Hyperlink"/>
                </w:rPr>
                <w:t xml:space="preserve">xsd:string</w:t>
              </w:r>
            </w:hyperlink>
            <w:r>
              <w:t xml:space="preserve">)</w:t>
            </w:r>
          </w:p>
        </w:tc>
        <w:tc>
          <w:tcPr/>
          <w:p>
            <w:pPr>
              <w:pStyle w:val="Compact"/>
              <w:jc w:val="right"/>
            </w:pPr>
            <w:r>
              <w:t xml:space="preserve">0..1</w:t>
            </w:r>
          </w:p>
        </w:tc>
      </w:tr>
      <w:tr>
        <w:tc>
          <w:tcPr/>
          <w:p>
            <w:pPr>
              <w:pStyle w:val="Compact"/>
              <w:jc w:val="left"/>
            </w:pPr>
            <w:r>
              <w:rPr>
                <w:b/>
                <w:bCs/>
              </w:rPr>
              <w:t xml:space="preserve">Type de mouvement</w:t>
            </w:r>
            <w:r>
              <w:t xml:space="preserve"> </w:t>
            </w:r>
            <w:r>
              <w:t xml:space="preserve">(</w:t>
            </w:r>
            <w:hyperlink r:id="rId114">
              <w:r>
                <w:rPr>
                  <w:rStyle w:val="Hyperlink"/>
                </w:rPr>
                <w:t xml:space="preserve">:notificationType</w:t>
              </w:r>
            </w:hyperlink>
            <w:r>
              <w:t xml:space="preserve">)</w:t>
            </w:r>
          </w:p>
        </w:tc>
        <w:tc>
          <w:tcPr/>
          <w:p>
            <w:pPr>
              <w:pStyle w:val="Compact"/>
              <w:numPr>
                <w:ilvl w:val="0"/>
                <w:numId w:val="1024"/>
              </w:numPr>
              <w:jc w:val="left"/>
            </w:pPr>
            <w:r>
              <w:t xml:space="preserve">Type:</w:t>
            </w:r>
            <w:r>
              <w:t xml:space="preserve"> </w:t>
            </w:r>
            <w:hyperlink r:id="rId115">
              <w:r>
                <w:rPr>
                  <w:rStyle w:val="Hyperlink"/>
                </w:rPr>
                <w:t xml:space="preserve">:NotificationType</w:t>
              </w:r>
            </w:hyperlink>
          </w:p>
        </w:tc>
        <w:tc>
          <w:tcPr/>
          <w:p>
            <w:pPr>
              <w:pStyle w:val="Compact"/>
              <w:jc w:val="right"/>
            </w:pPr>
            <w:r>
              <w:t xml:space="preserve">1..1</w:t>
            </w:r>
          </w:p>
        </w:tc>
      </w:tr>
      <w:tr>
        <w:tc>
          <w:tcPr/>
          <w:p>
            <w:pPr>
              <w:pStyle w:val="Compact"/>
              <w:jc w:val="left"/>
            </w:pPr>
            <w:r>
              <w:rPr>
                <w:b/>
                <w:bCs/>
              </w:rPr>
              <w:t xml:space="preserve">Date de l’événement</w:t>
            </w:r>
            <w:r>
              <w:t xml:space="preserve"> </w:t>
            </w:r>
            <w:r>
              <w:t xml:space="preserve">(</w:t>
            </w:r>
            <w:hyperlink r:id="rId116">
              <w:r>
                <w:rPr>
                  <w:rStyle w:val="Hyperlink"/>
                </w:rPr>
                <w:t xml:space="preserve">:eventDate</w:t>
              </w:r>
            </w:hyperlink>
            <w:r>
              <w:t xml:space="preserve">): Date à</w:t>
            </w:r>
            <w:r>
              <w:t xml:space="preserve"> </w:t>
            </w:r>
            <w:r>
              <w:t xml:space="preserve">laquelle l’événement a eu lieu</w:t>
            </w:r>
          </w:p>
        </w:tc>
        <w:tc>
          <w:tcPr/>
          <w:p>
            <w:pPr>
              <w:pStyle w:val="Compact"/>
              <w:numPr>
                <w:ilvl w:val="0"/>
                <w:numId w:val="1025"/>
              </w:numPr>
              <w:jc w:val="left"/>
            </w:pPr>
            <w:r>
              <w:t xml:space="preserve">Type: Date (</w:t>
            </w:r>
            <w:hyperlink r:id="rId90">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Date d’annonce</w:t>
            </w:r>
            <w:r>
              <w:t xml:space="preserve"> </w:t>
            </w:r>
            <w:r>
              <w:t xml:space="preserve">(</w:t>
            </w:r>
            <w:hyperlink r:id="rId117">
              <w:r>
                <w:rPr>
                  <w:rStyle w:val="Hyperlink"/>
                </w:rPr>
                <w:t xml:space="preserve">:notificationDate</w:t>
              </w:r>
            </w:hyperlink>
            <w:r>
              <w:t xml:space="preserve">):</w:t>
            </w:r>
            <w:r>
              <w:t xml:space="preserve"> </w:t>
            </w:r>
            <w:r>
              <w:t xml:space="preserve">Date à laquelle l’événement a été annoncé</w:t>
            </w:r>
          </w:p>
        </w:tc>
        <w:tc>
          <w:tcPr/>
          <w:p>
            <w:pPr>
              <w:pStyle w:val="Compact"/>
              <w:numPr>
                <w:ilvl w:val="0"/>
                <w:numId w:val="1026"/>
              </w:numPr>
              <w:jc w:val="left"/>
            </w:pPr>
            <w:r>
              <w:t xml:space="preserve">Type: Date (</w:t>
            </w:r>
            <w:hyperlink r:id="rId90">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Nombre</w:t>
            </w:r>
            <w:r>
              <w:t xml:space="preserve"> </w:t>
            </w:r>
            <w:r>
              <w:t xml:space="preserve">(</w:t>
            </w:r>
            <w:hyperlink r:id="rId124">
              <w:r>
                <w:rPr>
                  <w:rStyle w:val="Hyperlink"/>
                </w:rPr>
                <w:t xml:space="preserve">:count</w:t>
              </w:r>
            </w:hyperlink>
            <w:r>
              <w:t xml:space="preserve">): Nombre</w:t>
            </w:r>
            <w:r>
              <w:t xml:space="preserve"> </w:t>
            </w:r>
            <w:r>
              <w:t xml:space="preserve">d’animaux déplacés lors d’un mouvement (porcs/volaille)</w:t>
            </w:r>
          </w:p>
        </w:tc>
        <w:tc>
          <w:tcPr/>
          <w:p>
            <w:pPr>
              <w:pStyle w:val="Compact"/>
              <w:numPr>
                <w:ilvl w:val="0"/>
                <w:numId w:val="1027"/>
              </w:numPr>
              <w:jc w:val="left"/>
            </w:pPr>
            <w:r>
              <w:t xml:space="preserve">Type: Nombre entier (</w:t>
            </w:r>
            <w:hyperlink r:id="rId125">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Poids</w:t>
            </w:r>
            <w:r>
              <w:t xml:space="preserve"> </w:t>
            </w:r>
            <w:r>
              <w:t xml:space="preserve">(</w:t>
            </w:r>
            <w:hyperlink r:id="rId126">
              <w:r>
                <w:rPr>
                  <w:rStyle w:val="Hyperlink"/>
                </w:rPr>
                <w:t xml:space="preserve">:weight</w:t>
              </w:r>
            </w:hyperlink>
            <w:r>
              <w:t xml:space="preserve">): Poids</w:t>
            </w:r>
            <w:r>
              <w:t xml:space="preserve"> </w:t>
            </w:r>
            <w:r>
              <w:t xml:space="preserve">total en kg du groupe d’animaux pour les annonces d’abattage de volaille</w:t>
            </w:r>
          </w:p>
        </w:tc>
        <w:tc>
          <w:tcPr/>
          <w:p>
            <w:pPr>
              <w:pStyle w:val="Compact"/>
              <w:numPr>
                <w:ilvl w:val="0"/>
                <w:numId w:val="1028"/>
              </w:numPr>
              <w:jc w:val="left"/>
            </w:pPr>
            <w:r>
              <w:t xml:space="preserve">Type: Nombre entier (</w:t>
            </w:r>
            <w:hyperlink r:id="rId125">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Type d’utilisation</w:t>
            </w:r>
            <w:r>
              <w:t xml:space="preserve"> </w:t>
            </w:r>
            <w:r>
              <w:t xml:space="preserve">(</w:t>
            </w:r>
            <w:hyperlink r:id="rId94">
              <w:r>
                <w:rPr>
                  <w:rStyle w:val="Hyperlink"/>
                </w:rPr>
                <w:t xml:space="preserve">:typeOfUse</w:t>
              </w:r>
            </w:hyperlink>
            <w:r>
              <w:t xml:space="preserve">): Type</w:t>
            </w:r>
            <w:r>
              <w:t xml:space="preserve"> </w:t>
            </w:r>
            <w:r>
              <w:t xml:space="preserve">d’utilisation du groupe d’animaux (pour les animaux individuels il figure sur la</w:t>
            </w:r>
            <w:r>
              <w:t xml:space="preserve"> </w:t>
            </w:r>
            <w:r>
              <w:t xml:space="preserve">classe «Einzeltier»)</w:t>
            </w:r>
          </w:p>
        </w:tc>
        <w:tc>
          <w:tcPr/>
          <w:p>
            <w:pPr>
              <w:pStyle w:val="Compact"/>
              <w:numPr>
                <w:ilvl w:val="0"/>
                <w:numId w:val="1029"/>
              </w:numPr>
              <w:jc w:val="left"/>
            </w:pPr>
            <w:r>
              <w:t xml:space="preserve">Type:</w:t>
            </w:r>
            <w:r>
              <w:t xml:space="preserve"> </w:t>
            </w:r>
            <w:hyperlink r:id="rId95">
              <w:r>
                <w:rPr>
                  <w:rStyle w:val="Hyperlink"/>
                </w:rPr>
                <w:t xml:space="preserve">:AnimalTypeOfUse</w:t>
              </w:r>
            </w:hyperlink>
          </w:p>
        </w:tc>
        <w:tc>
          <w:tcPr/>
          <w:p>
            <w:pPr>
              <w:pStyle w:val="Compact"/>
              <w:jc w:val="right"/>
            </w:pPr>
            <w:r>
              <w:t xml:space="preserve">0..1</w:t>
            </w:r>
          </w:p>
        </w:tc>
      </w:tr>
      <w:tr>
        <w:tc>
          <w:tcPr/>
          <w:p>
            <w:pPr>
              <w:pStyle w:val="Compact"/>
              <w:jc w:val="left"/>
            </w:pPr>
            <w:r>
              <w:rPr>
                <w:b/>
                <w:bCs/>
              </w:rPr>
              <w:t xml:space="preserve">Âge</w:t>
            </w:r>
            <w:r>
              <w:t xml:space="preserve"> </w:t>
            </w:r>
            <w:r>
              <w:t xml:space="preserve">(</w:t>
            </w:r>
            <w:hyperlink r:id="rId127">
              <w:r>
                <w:rPr>
                  <w:rStyle w:val="Hyperlink"/>
                </w:rPr>
                <w:t xml:space="preserve">:age</w:t>
              </w:r>
            </w:hyperlink>
            <w:r>
              <w:t xml:space="preserve">): Pour les annonces</w:t>
            </w:r>
            <w:r>
              <w:t xml:space="preserve"> </w:t>
            </w:r>
            <w:r>
              <w:t xml:space="preserve">de mise en place de volaille, l’âge doit être indiqué en semaines</w:t>
            </w:r>
          </w:p>
        </w:tc>
        <w:tc>
          <w:tcPr/>
          <w:p>
            <w:pPr>
              <w:pStyle w:val="Compact"/>
              <w:numPr>
                <w:ilvl w:val="0"/>
                <w:numId w:val="1030"/>
              </w:numPr>
              <w:jc w:val="left"/>
            </w:pPr>
            <w:r>
              <w:t xml:space="preserve">Type: Nombre entier (</w:t>
            </w:r>
            <w:hyperlink r:id="rId125">
              <w:r>
                <w:rPr>
                  <w:rStyle w:val="Hyperlink"/>
                </w:rPr>
                <w:t xml:space="preserve">xsd:integer</w:t>
              </w:r>
            </w:hyperlink>
            <w:r>
              <w:t xml:space="preserve">)</w:t>
            </w:r>
          </w:p>
        </w:tc>
        <w:tc>
          <w:tcPr/>
          <w:p>
            <w:pPr>
              <w:pStyle w:val="Compact"/>
              <w:jc w:val="right"/>
            </w:pPr>
            <w:r>
              <w:t xml:space="preserve">0..1</w:t>
            </w:r>
          </w:p>
        </w:tc>
      </w:tr>
    </w:tbl>
    <w:bookmarkEnd w:id="128"/>
    <w:bookmarkEnd w:id="129"/>
    <w:bookmarkStart w:id="134" w:name="sec-nodeshape-legalunitshape"/>
    <w:p>
      <w:pPr>
        <w:pStyle w:val="berschrift2"/>
      </w:pPr>
      <w:r>
        <w:t xml:space="preserve">3.5 Unité juridique</w:t>
      </w:r>
    </w:p>
    <w:p>
      <w:pPr>
        <w:pStyle w:val="FirstParagraph"/>
      </w:pPr>
      <w:r>
        <w:t xml:space="preserve">L’unité juridique au sens de l’eCH-0108 est une personne morale (p. ex. société anonyme, Sàrl), une société de personnes (p. ex. société en nom collectif) ou une personne physique exerçant une activité indépendante qui est soumise à la loi fédérale sur le numéro d’identification des entreprises (LIDE) et qui est inscrite au registre IDE. Elle identifie par exemple le sujet fiscal pour les autorités fiscales ou la personne assujettie aux cotisations d’assurances sociales. L’unité juridique est identifiée par son IDE. Ce n’est que lorsque l’entreprise est une «entreprise individuelle» que l’exploitant est en même temps une personne physique. Le système maître de ces données est le registre IDE de l’OFS ; le système d’information agricole obtient les données de ce registre via une interface. Le détenteur d’animaux et le propriétaire d’équidés sont les deux formes d’unité juridique qui apparaissent dans le présent Hilfsmittel (chapitre 3.1.1 de l’outil). Les attributs sont décrits dans l’</w:t>
      </w:r>
      <w:hyperlink r:id="rId101">
        <w:r>
          <w:rPr>
            <w:rStyle w:val="Hyperlink"/>
          </w:rPr>
          <w:t xml:space="preserve">eCH-0261</w:t>
        </w:r>
      </w:hyperlink>
      <w:r>
        <w:t xml:space="preserve">, chapitres 3.1 et 3.2, ainsi que dans l’</w:t>
      </w:r>
      <w:hyperlink r:id="rId130">
        <w:r>
          <w:rPr>
            <w:rStyle w:val="Hyperlink"/>
          </w:rPr>
          <w:t xml:space="preserve">eCH-0108</w:t>
        </w:r>
      </w:hyperlink>
      <w:r>
        <w:t xml:space="preserve">, chapitre 3.1.</w:t>
      </w:r>
    </w:p>
    <w:bookmarkStart w:id="133" w:name="sec-nodeshape-legalunitshape-overview"/>
    <w:p>
      <w:pPr>
        <w:pStyle w:val="berschrift3"/>
      </w:pPr>
      <w:r>
        <w:t xml:space="preserve">3.5.1 Aperçu</w:t>
      </w:r>
    </w:p>
    <w:p>
      <w:pPr>
        <w:pStyle w:val="DefinitionTerm"/>
      </w:pPr>
      <w:r>
        <w:t xml:space="preserve">Shape</w:t>
      </w:r>
    </w:p>
    <w:p>
      <w:pPr>
        <w:pStyle w:val="Definition"/>
      </w:pPr>
      <w:hyperlink r:id="rId131">
        <w:r>
          <w:rPr>
            <w:rStyle w:val="Hyperlink"/>
          </w:rPr>
          <w:t xml:space="preserve">:LegalUnitShape</w:t>
        </w:r>
      </w:hyperlink>
    </w:p>
    <w:p>
      <w:pPr>
        <w:pStyle w:val="DefinitionTerm"/>
      </w:pPr>
      <w:r>
        <w:t xml:space="preserve">Classe cible</w:t>
      </w:r>
    </w:p>
    <w:p>
      <w:pPr>
        <w:pStyle w:val="Definition"/>
      </w:pPr>
      <w:hyperlink r:id="rId132">
        <w:r>
          <w:rPr>
            <w:rStyle w:val="Hyperlink"/>
          </w:rPr>
          <w:t xml:space="preserve">:LegalUnit</w:t>
        </w:r>
      </w:hyperlink>
    </w:p>
    <w:bookmarkEnd w:id="133"/>
    <w:bookmarkEnd w:id="134"/>
    <w:bookmarkStart w:id="140" w:name="sec-nodeshape-localunitshape"/>
    <w:p>
      <w:pPr>
        <w:pStyle w:val="berschrift2"/>
      </w:pPr>
      <w:r>
        <w:t xml:space="preserve">3.6 Unité locale</w:t>
      </w:r>
    </w:p>
    <w:p>
      <w:pPr>
        <w:pStyle w:val="FirstParagraph"/>
      </w:pPr>
      <w:r>
        <w:t xml:space="preserve">Une unité locale au sens de l’eCH-0108 est une installation située en un lieu déterminé où s’exerce une activité économique. Une unité locale possède un numéro REE et est toujours rattachée à une unité juridique (ou entreprise). L’unité locale est identifiée par son numéro REE. Une unité locale peut se composer d’un ou de plusieurs bâtiments. L’EGID attribué au numéro REE se rapporte au «centre» de l’unité locale, respectivement à son bâtiment principal. Dans la BDTA, les unités locales sont appelées «unités d’élevage» et sont en outre identifiées par leur numéro BDTA. Cette définition est tirée de l’</w:t>
      </w:r>
      <w:hyperlink r:id="rId130">
        <w:r>
          <w:rPr>
            <w:rStyle w:val="Hyperlink"/>
          </w:rPr>
          <w:t xml:space="preserve">eCH-0108</w:t>
        </w:r>
      </w:hyperlink>
      <w:r>
        <w:t xml:space="preserve">, chapitre 1.5 ; les compléments spécifiques à l’agriculture sont décrits dans l’</w:t>
      </w:r>
      <w:hyperlink r:id="rId101">
        <w:r>
          <w:rPr>
            <w:rStyle w:val="Hyperlink"/>
          </w:rPr>
          <w:t xml:space="preserve">eCH-0261</w:t>
        </w:r>
      </w:hyperlink>
      <w:r>
        <w:t xml:space="preserve">, chapitres 3.3 et 3.4.</w:t>
      </w:r>
    </w:p>
    <w:bookmarkStart w:id="137" w:name="sec-nodeshape-localunitshape-overview"/>
    <w:p>
      <w:pPr>
        <w:pStyle w:val="berschrift3"/>
      </w:pPr>
      <w:r>
        <w:t xml:space="preserve">3.6.1 Aperçu</w:t>
      </w:r>
    </w:p>
    <w:p>
      <w:pPr>
        <w:pStyle w:val="DefinitionTerm"/>
      </w:pPr>
      <w:r>
        <w:t xml:space="preserve">Shape</w:t>
      </w:r>
    </w:p>
    <w:p>
      <w:pPr>
        <w:pStyle w:val="Definition"/>
      </w:pPr>
      <w:hyperlink r:id="rId135">
        <w:r>
          <w:rPr>
            <w:rStyle w:val="Hyperlink"/>
          </w:rPr>
          <w:t xml:space="preserve">:LocalUnitShape</w:t>
        </w:r>
      </w:hyperlink>
    </w:p>
    <w:p>
      <w:pPr>
        <w:pStyle w:val="DefinitionTerm"/>
      </w:pPr>
      <w:r>
        <w:t xml:space="preserve">Classe cible</w:t>
      </w:r>
    </w:p>
    <w:p>
      <w:pPr>
        <w:pStyle w:val="Definition"/>
      </w:pPr>
      <w:hyperlink r:id="rId136">
        <w:r>
          <w:rPr>
            <w:rStyle w:val="Hyperlink"/>
          </w:rPr>
          <w:t xml:space="preserve">:LocalUnit</w:t>
        </w:r>
      </w:hyperlink>
    </w:p>
    <w:bookmarkEnd w:id="137"/>
    <w:bookmarkStart w:id="139" w:name="sec-nodeshape-localunitshape-properties"/>
    <w:p>
      <w:pPr>
        <w:pStyle w:val="berschrift3"/>
      </w:pPr>
      <w:r>
        <w:t xml:space="preserve">3.6.2 Propriétés</w:t>
      </w:r>
    </w:p>
    <w:tbl>
      <w:tblPr>
        <w:tblStyle w:val="Table"/>
        <w:tblW w:type="pct" w:w="4965"/>
        <w:tblLayout w:type="fixed"/>
        <w:tblLook w:firstRow="1" w:lastRow="0" w:firstColumn="0" w:lastColumn="0" w:noHBand="0" w:noVBand="0" w:val="0020"/>
      </w:tblPr>
      <w:tblGrid>
        <w:gridCol w:w="4381"/>
        <w:gridCol w:w="2640"/>
        <w:gridCol w:w="8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Détenteur d’animaux</w:t>
            </w:r>
            <w:r>
              <w:t xml:space="preserve"> </w:t>
            </w:r>
            <w:r>
              <w:t xml:space="preserve">(</w:t>
            </w:r>
            <w:hyperlink r:id="rId138">
              <w:r>
                <w:rPr>
                  <w:rStyle w:val="Hyperlink"/>
                </w:rPr>
                <w:t xml:space="preserve">:animalKeeper</w:t>
              </w:r>
            </w:hyperlink>
            <w:r>
              <w:t xml:space="preserve">):</w:t>
            </w:r>
            <w:r>
              <w:t xml:space="preserve"> </w:t>
            </w:r>
            <w:r>
              <w:t xml:space="preserve">Rattachement de l’unité locale au détenteur d’animaux. Selon l’eCH-0108,</w:t>
            </w:r>
            <w:r>
              <w:t xml:space="preserve"> </w:t>
            </w:r>
            <w:r>
              <w:t xml:space="preserve">chapitre 1.5, une unité locale est toujours rattachée à une unité juridique</w:t>
            </w:r>
            <w:r>
              <w:t xml:space="preserve"> </w:t>
            </w:r>
            <w:r>
              <w:t xml:space="preserve">(ou entreprise) ; les données de base de l’unité locale comportent à cet</w:t>
            </w:r>
            <w:r>
              <w:t xml:space="preserve"> </w:t>
            </w:r>
            <w:r>
              <w:t xml:space="preserve">effet l’attribut facultatif «mainUid» contenant l’IDE de l’unité juridique</w:t>
            </w:r>
            <w:r>
              <w:t xml:space="preserve"> </w:t>
            </w:r>
            <w:r>
              <w:t xml:space="preserve">principale. Le détenteur d’animaux n’étant, selon le catalogue d’objets,</w:t>
            </w:r>
            <w:r>
              <w:t xml:space="preserve"> </w:t>
            </w:r>
            <w:r>
              <w:t xml:space="preserve">qu’une forme particulière de l’unité juridique, ce rattachement n’est pas</w:t>
            </w:r>
            <w:r>
              <w:t xml:space="preserve"> </w:t>
            </w:r>
            <w:r>
              <w:t xml:space="preserve">obligatoire.</w:t>
            </w:r>
          </w:p>
        </w:tc>
        <w:tc>
          <w:tcPr/>
          <w:p>
            <w:pPr>
              <w:pStyle w:val="Compact"/>
              <w:numPr>
                <w:ilvl w:val="0"/>
                <w:numId w:val="1031"/>
              </w:numPr>
              <w:jc w:val="left"/>
            </w:pPr>
            <w:r>
              <w:t xml:space="preserve">Type:</w:t>
            </w:r>
            <w:r>
              <w:t xml:space="preserve"> </w:t>
            </w:r>
            <w:hyperlink w:anchor="sec-nodeshape-animalkeepershape">
              <w:r>
                <w:rPr>
                  <w:rStyle w:val="Hyperlink"/>
                </w:rPr>
                <w:t xml:space="preserve">Détenteur</w:t>
              </w:r>
              <w:r>
                <w:rPr>
                  <w:rStyle w:val="Hyperlink"/>
                </w:rPr>
                <w:t xml:space="preserve"> </w:t>
              </w:r>
              <w:r>
                <w:rPr>
                  <w:rStyle w:val="Hyperlink"/>
                </w:rPr>
                <w:t xml:space="preserve">d’animaux</w:t>
              </w:r>
            </w:hyperlink>
          </w:p>
        </w:tc>
        <w:tc>
          <w:tcPr/>
          <w:p>
            <w:pPr>
              <w:pStyle w:val="Compact"/>
              <w:jc w:val="right"/>
            </w:pPr>
            <w:r>
              <w:t xml:space="preserve">0..1</w:t>
            </w:r>
          </w:p>
        </w:tc>
      </w:tr>
    </w:tbl>
    <w:bookmarkEnd w:id="139"/>
    <w:bookmarkEnd w:id="140"/>
    <w:bookmarkStart w:id="152" w:name="sec-nodeshape-equidshape"/>
    <w:p>
      <w:pPr>
        <w:pStyle w:val="berschrift2"/>
      </w:pPr>
      <w:r>
        <w:t xml:space="preserve">3.7 Équidé</w:t>
      </w:r>
    </w:p>
    <w:p>
      <w:pPr>
        <w:pStyle w:val="FirstParagraph"/>
      </w:pPr>
      <w:r>
        <w:t xml:space="preserve">Sous-classe de la classe animal individuel pour les animaux du genre équidé (cheval, mulet, bardot, âne). Tous les attributs de la classe animal individuel s’appliquent également aux équidés ; cette classe ne décrit que les informations supplémentaires propres aux équidés. Pour les équidés, la responsabilité des notifications incombe au propriétaire et non au détenteur d’animaux. Un propriétaire est l’unité juridique qui détient des équidés en propriété ; le terme n’est utilisé que pour les propriétaires d’équidés (chapitre 3.1.1 de l’outil).</w:t>
      </w:r>
    </w:p>
    <w:bookmarkStart w:id="143" w:name="sec-nodeshape-equidshape-overview"/>
    <w:p>
      <w:pPr>
        <w:pStyle w:val="berschrift3"/>
      </w:pPr>
      <w:r>
        <w:t xml:space="preserve">3.7.1 Aperçu</w:t>
      </w:r>
    </w:p>
    <w:p>
      <w:pPr>
        <w:pStyle w:val="DefinitionTerm"/>
      </w:pPr>
      <w:r>
        <w:t xml:space="preserve">Shape</w:t>
      </w:r>
    </w:p>
    <w:p>
      <w:pPr>
        <w:pStyle w:val="Definition"/>
      </w:pPr>
      <w:hyperlink r:id="rId141">
        <w:r>
          <w:rPr>
            <w:rStyle w:val="Hyperlink"/>
          </w:rPr>
          <w:t xml:space="preserve">:EquidShape</w:t>
        </w:r>
      </w:hyperlink>
    </w:p>
    <w:p>
      <w:pPr>
        <w:pStyle w:val="DefinitionTerm"/>
      </w:pPr>
      <w:r>
        <w:t xml:space="preserve">Classe cible</w:t>
      </w:r>
    </w:p>
    <w:p>
      <w:pPr>
        <w:pStyle w:val="Definition"/>
      </w:pPr>
      <w:hyperlink r:id="rId142">
        <w:r>
          <w:rPr>
            <w:rStyle w:val="Hyperlink"/>
          </w:rPr>
          <w:t xml:space="preserve">:Equid</w:t>
        </w:r>
      </w:hyperlink>
    </w:p>
    <w:bookmarkEnd w:id="143"/>
    <w:bookmarkStart w:id="151" w:name="sec-nodeshape-equidshape-properties"/>
    <w:p>
      <w:pPr>
        <w:pStyle w:val="berschrift3"/>
      </w:pPr>
      <w:r>
        <w:t xml:space="preserve">3.7.2 Propriétés</w:t>
      </w:r>
    </w:p>
    <w:tbl>
      <w:tblPr>
        <w:tblStyle w:val="Table"/>
        <w:tblW w:type="pct" w:w="4975"/>
        <w:tblLayout w:type="fixed"/>
        <w:tblLook w:firstRow="1" w:lastRow="0" w:firstColumn="0" w:lastColumn="0" w:noHBand="0" w:noVBand="0" w:val="0020"/>
      </w:tblPr>
      <w:tblGrid>
        <w:gridCol w:w="3502"/>
        <w:gridCol w:w="3780"/>
        <w:gridCol w:w="59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Propriétaire</w:t>
            </w:r>
            <w:r>
              <w:t xml:space="preserve"> </w:t>
            </w:r>
            <w:r>
              <w:t xml:space="preserve">(</w:t>
            </w:r>
            <w:hyperlink r:id="rId144">
              <w:r>
                <w:rPr>
                  <w:rStyle w:val="Hyperlink"/>
                </w:rPr>
                <w:t xml:space="preserve">:owner</w:t>
              </w:r>
            </w:hyperlink>
            <w:r>
              <w:t xml:space="preserve">):</w:t>
            </w:r>
            <w:r>
              <w:t xml:space="preserve"> </w:t>
            </w:r>
            <w:r>
              <w:t xml:space="preserve">L’unité juridique qui détient l’équidé en propriété. Pour les équidés, la</w:t>
            </w:r>
            <w:r>
              <w:t xml:space="preserve"> </w:t>
            </w:r>
            <w:r>
              <w:t xml:space="preserve">responsabilité des notifications incombe au propriétaire et non au détenteur</w:t>
            </w:r>
            <w:r>
              <w:t xml:space="preserve"> </w:t>
            </w:r>
            <w:r>
              <w:t xml:space="preserve">d’animaux (chapitre 3.1.1 de l’outil).</w:t>
            </w:r>
          </w:p>
        </w:tc>
        <w:tc>
          <w:tcPr/>
          <w:p>
            <w:pPr>
              <w:pStyle w:val="Compact"/>
              <w:numPr>
                <w:ilvl w:val="0"/>
                <w:numId w:val="1032"/>
              </w:numPr>
              <w:jc w:val="left"/>
            </w:pPr>
            <w:r>
              <w:t xml:space="preserve">Type:</w:t>
            </w:r>
            <w:r>
              <w:t xml:space="preserve"> </w:t>
            </w:r>
            <w:hyperlink w:anchor="sec-nodeshape-legalunitshape">
              <w:r>
                <w:rPr>
                  <w:rStyle w:val="Hyperlink"/>
                </w:rPr>
                <w:t xml:space="preserve">Unité juridique</w:t>
              </w:r>
            </w:hyperlink>
          </w:p>
        </w:tc>
        <w:tc>
          <w:tcPr/>
          <w:p>
            <w:pPr>
              <w:pStyle w:val="Compact"/>
              <w:jc w:val="right"/>
            </w:pPr>
            <w:r>
              <w:t xml:space="preserve">1..1</w:t>
            </w:r>
          </w:p>
        </w:tc>
      </w:tr>
      <w:tr>
        <w:tc>
          <w:tcPr/>
          <w:p>
            <w:pPr>
              <w:pStyle w:val="Compact"/>
              <w:jc w:val="left"/>
            </w:pPr>
            <w:r>
              <w:rPr>
                <w:b/>
                <w:bCs/>
              </w:rPr>
              <w:t xml:space="preserve">Catégorie de taille</w:t>
            </w:r>
            <w:r>
              <w:t xml:space="preserve"> </w:t>
            </w:r>
            <w:r>
              <w:t xml:space="preserve">(</w:t>
            </w:r>
            <w:hyperlink r:id="rId145">
              <w:r>
                <w:rPr>
                  <w:rStyle w:val="Hyperlink"/>
                </w:rPr>
                <w:t xml:space="preserve">:withersClass</w:t>
              </w:r>
            </w:hyperlink>
            <w:r>
              <w:t xml:space="preserve">)</w:t>
            </w:r>
          </w:p>
        </w:tc>
        <w:tc>
          <w:tcPr/>
          <w:p>
            <w:pPr>
              <w:pStyle w:val="Compact"/>
              <w:numPr>
                <w:ilvl w:val="0"/>
                <w:numId w:val="1033"/>
              </w:numPr>
              <w:jc w:val="left"/>
            </w:pPr>
            <w:r>
              <w:t xml:space="preserve">Type:</w:t>
            </w:r>
            <w:r>
              <w:t xml:space="preserve"> </w:t>
            </w:r>
            <w:hyperlink r:id="rId146">
              <w:r>
                <w:rPr>
                  <w:rStyle w:val="Hyperlink"/>
                </w:rPr>
                <w:t xml:space="preserve">:EquidWithersClass</w:t>
              </w:r>
            </w:hyperlink>
          </w:p>
        </w:tc>
        <w:tc>
          <w:tcPr/>
          <w:p>
            <w:pPr>
              <w:pStyle w:val="Compact"/>
              <w:jc w:val="right"/>
            </w:pPr>
            <w:r>
              <w:t xml:space="preserve">1..1</w:t>
            </w:r>
          </w:p>
        </w:tc>
      </w:tr>
      <w:tr>
        <w:tc>
          <w:tcPr/>
          <w:p>
            <w:pPr>
              <w:pStyle w:val="Compact"/>
              <w:jc w:val="left"/>
            </w:pPr>
            <w:r>
              <w:rPr>
                <w:b/>
                <w:bCs/>
              </w:rPr>
              <w:t xml:space="preserve">Statut d’annonce</w:t>
            </w:r>
            <w:r>
              <w:t xml:space="preserve"> </w:t>
            </w:r>
            <w:r>
              <w:t xml:space="preserve">(</w:t>
            </w:r>
            <w:hyperlink r:id="rId147">
              <w:r>
                <w:rPr>
                  <w:rStyle w:val="Hyperlink"/>
                </w:rPr>
                <w:t xml:space="preserve">:notificationState</w:t>
              </w:r>
            </w:hyperlink>
            <w:r>
              <w:t xml:space="preserve">):</w:t>
            </w:r>
            <w:r>
              <w:t xml:space="preserve"> </w:t>
            </w:r>
            <w:r>
              <w:t xml:space="preserve">Les équidés portent un statut d’annonce propre au lieu du statut de l’historique de</w:t>
            </w:r>
            <w:r>
              <w:t xml:space="preserve"> </w:t>
            </w:r>
            <w:r>
              <w:t xml:space="preserve">l’animal.</w:t>
            </w:r>
          </w:p>
        </w:tc>
        <w:tc>
          <w:tcPr/>
          <w:p>
            <w:pPr>
              <w:pStyle w:val="Compact"/>
              <w:numPr>
                <w:ilvl w:val="0"/>
                <w:numId w:val="1034"/>
              </w:numPr>
              <w:jc w:val="left"/>
            </w:pPr>
            <w:r>
              <w:t xml:space="preserve">Type:</w:t>
            </w:r>
            <w:r>
              <w:t xml:space="preserve"> </w:t>
            </w:r>
            <w:hyperlink r:id="rId148">
              <w:r>
                <w:rPr>
                  <w:rStyle w:val="Hyperlink"/>
                </w:rPr>
                <w:t xml:space="preserve">:EquidNotificationState</w:t>
              </w:r>
            </w:hyperlink>
          </w:p>
        </w:tc>
        <w:tc>
          <w:tcPr/>
          <w:p>
            <w:pPr>
              <w:pStyle w:val="Compact"/>
              <w:jc w:val="right"/>
            </w:pPr>
            <w:r>
              <w:t xml:space="preserve">1..1</w:t>
            </w:r>
          </w:p>
        </w:tc>
      </w:tr>
      <w:tr>
        <w:tc>
          <w:tcPr/>
          <w:p>
            <w:pPr>
              <w:pStyle w:val="Compact"/>
              <w:jc w:val="left"/>
            </w:pPr>
            <w:r>
              <w:rPr>
                <w:b/>
                <w:bCs/>
              </w:rPr>
              <w:t xml:space="preserve">Type d’utilisation</w:t>
            </w:r>
            <w:r>
              <w:t xml:space="preserve"> </w:t>
            </w:r>
            <w:r>
              <w:t xml:space="preserve">(</w:t>
            </w:r>
            <w:hyperlink r:id="rId149">
              <w:r>
                <w:rPr>
                  <w:rStyle w:val="Hyperlink"/>
                </w:rPr>
                <w:t xml:space="preserve">:typeOfEquidUsage</w:t>
              </w:r>
            </w:hyperlink>
            <w:r>
              <w:t xml:space="preserve">):</w:t>
            </w:r>
            <w:r>
              <w:t xml:space="preserve"> </w:t>
            </w:r>
            <w:r>
              <w:t xml:space="preserve">Les équidés utilisent un domaine de valeurs propre: animal de compagnie ou animal de</w:t>
            </w:r>
            <w:r>
              <w:t xml:space="preserve"> </w:t>
            </w:r>
            <w:r>
              <w:t xml:space="preserve">rente.</w:t>
            </w:r>
          </w:p>
        </w:tc>
        <w:tc>
          <w:tcPr/>
          <w:p>
            <w:pPr>
              <w:pStyle w:val="Compact"/>
              <w:numPr>
                <w:ilvl w:val="0"/>
                <w:numId w:val="1035"/>
              </w:numPr>
              <w:jc w:val="left"/>
            </w:pPr>
            <w:r>
              <w:t xml:space="preserve">Type:</w:t>
            </w:r>
            <w:r>
              <w:t xml:space="preserve"> </w:t>
            </w:r>
            <w:hyperlink r:id="rId150">
              <w:r>
                <w:rPr>
                  <w:rStyle w:val="Hyperlink"/>
                </w:rPr>
                <w:t xml:space="preserve">:EquidTypeOfUsage</w:t>
              </w:r>
            </w:hyperlink>
          </w:p>
        </w:tc>
        <w:tc>
          <w:tcPr/>
          <w:p>
            <w:pPr>
              <w:pStyle w:val="Compact"/>
              <w:jc w:val="right"/>
            </w:pPr>
            <w:r>
              <w:t xml:space="preserve">1..1</w:t>
            </w:r>
          </w:p>
        </w:tc>
      </w:tr>
      <w:tr>
        <w:tc>
          <w:tcPr/>
          <w:p>
            <w:pPr>
              <w:pStyle w:val="Compact"/>
              <w:jc w:val="left"/>
            </w:pPr>
            <w:r>
              <w:rPr>
                <w:b/>
                <w:bCs/>
              </w:rPr>
              <w:t xml:space="preserve">Père</w:t>
            </w:r>
            <w:r>
              <w:t xml:space="preserve"> </w:t>
            </w:r>
            <w:r>
              <w:t xml:space="preserve">(</w:t>
            </w:r>
            <w:hyperlink r:id="rId82">
              <w:r>
                <w:rPr>
                  <w:rStyle w:val="Hyperlink"/>
                </w:rPr>
                <w:t xml:space="preserve">:father</w:t>
              </w:r>
            </w:hyperlink>
            <w:r>
              <w:t xml:space="preserve">): Les équidés</w:t>
            </w:r>
            <w:r>
              <w:t xml:space="preserve"> </w:t>
            </w:r>
            <w:r>
              <w:t xml:space="preserve">n’ont pas de père: l’openAPI ne connaît pour eux que la mère et la mère génétique. Le</w:t>
            </w:r>
            <w:r>
              <w:t xml:space="preserve"> </w:t>
            </w:r>
            <w:r>
              <w:t xml:space="preserve">catalogue d’objets mentionne en revanche l’UELN du père dans l’attribut ; l’écart</w:t>
            </w:r>
            <w:r>
              <w:t xml:space="preserve"> </w:t>
            </w:r>
            <w:r>
              <w:t xml:space="preserve">fait l’objet de l’issue #45 auprès d’Identitas.</w:t>
            </w:r>
          </w:p>
        </w:tc>
        <w:tc>
          <w:tcPr/>
          <w:p>
            <w:pPr>
              <w:pStyle w:val="Compact"/>
            </w:pPr>
          </w:p>
        </w:tc>
        <w:tc>
          <w:tcPr/>
          <w:p>
            <w:pPr>
              <w:pStyle w:val="Compact"/>
              <w:jc w:val="right"/>
            </w:pPr>
            <w:r>
              <w:t xml:space="preserve">0..0</w:t>
            </w:r>
          </w:p>
        </w:tc>
      </w:tr>
      <w:tr>
        <w:tc>
          <w:tcPr/>
          <w:p>
            <w:pPr>
              <w:pStyle w:val="Compact"/>
              <w:jc w:val="left"/>
            </w:pPr>
            <w:r>
              <w:rPr>
                <w:b/>
                <w:bCs/>
              </w:rPr>
              <w:t xml:space="preserve">Statut de l’historique de l’animal</w:t>
            </w:r>
            <w:r>
              <w:t xml:space="preserve"> </w:t>
            </w:r>
            <w:r>
              <w:t xml:space="preserve">(</w:t>
            </w:r>
            <w:hyperlink r:id="rId92">
              <w:r>
                <w:rPr>
                  <w:rStyle w:val="Hyperlink"/>
                </w:rPr>
                <w:t xml:space="preserve">:historyState</w:t>
              </w:r>
            </w:hyperlink>
            <w:r>
              <w:t xml:space="preserve">): Désigné</w:t>
            </w:r>
            <w:r>
              <w:t xml:space="preserve"> </w:t>
            </w:r>
            <w:r>
              <w:t xml:space="preserve">dans le catalogue d’objets comme non pertinent pour les équidés; le statut d’annonce</w:t>
            </w:r>
            <w:r>
              <w:t xml:space="preserve"> </w:t>
            </w:r>
            <w:r>
              <w:t xml:space="preserve">prend sa place.</w:t>
            </w:r>
          </w:p>
        </w:tc>
        <w:tc>
          <w:tcPr/>
          <w:p>
            <w:pPr>
              <w:pStyle w:val="Compact"/>
            </w:pPr>
          </w:p>
        </w:tc>
        <w:tc>
          <w:tcPr/>
          <w:p>
            <w:pPr>
              <w:pStyle w:val="Compact"/>
              <w:jc w:val="right"/>
            </w:pPr>
            <w:r>
              <w:t xml:space="preserve">0..0</w:t>
            </w:r>
          </w:p>
        </w:tc>
      </w:tr>
      <w:tr>
        <w:tc>
          <w:tcPr/>
          <w:p>
            <w:pPr>
              <w:pStyle w:val="Compact"/>
              <w:jc w:val="left"/>
            </w:pPr>
            <w:r>
              <w:rPr>
                <w:b/>
                <w:bCs/>
              </w:rPr>
              <w:t xml:space="preserve">Type d’utilisation (animaux de rente)</w:t>
            </w:r>
            <w:r>
              <w:t xml:space="preserve"> </w:t>
            </w:r>
            <w:r>
              <w:t xml:space="preserve">(</w:t>
            </w:r>
            <w:hyperlink r:id="rId94">
              <w:r>
                <w:rPr>
                  <w:rStyle w:val="Hyperlink"/>
                </w:rPr>
                <w:t xml:space="preserve">:typeOfUse</w:t>
              </w:r>
            </w:hyperlink>
            <w:r>
              <w:t xml:space="preserve">): Ne s’applique</w:t>
            </w:r>
            <w:r>
              <w:t xml:space="preserve"> </w:t>
            </w:r>
            <w:r>
              <w:t xml:space="preserve">pas aux équidés; le type d’utilisation propre aux équidés prend sa place.</w:t>
            </w:r>
          </w:p>
        </w:tc>
        <w:tc>
          <w:tcPr/>
          <w:p>
            <w:pPr>
              <w:pStyle w:val="Compact"/>
            </w:pPr>
          </w:p>
        </w:tc>
        <w:tc>
          <w:tcPr/>
          <w:p>
            <w:pPr>
              <w:pStyle w:val="Compact"/>
              <w:jc w:val="right"/>
            </w:pPr>
            <w:r>
              <w:t xml:space="preserve">0..0</w:t>
            </w:r>
          </w:p>
        </w:tc>
      </w:tr>
    </w:tbl>
    <w:bookmarkEnd w:id="151"/>
    <w:bookmarkEnd w:id="152"/>
    <w:bookmarkStart w:id="162" w:name="sec-nodeshape-animalhealthstatusshape"/>
    <w:p>
      <w:pPr>
        <w:pStyle w:val="berschrift2"/>
      </w:pPr>
      <w:r>
        <w:t xml:space="preserve">3.8 État sanitaire de l’animal individuel</w:t>
      </w:r>
    </w:p>
    <w:p>
      <w:pPr>
        <w:pStyle w:val="FirstParagraph"/>
      </w:pPr>
      <w:r>
        <w:t xml:space="preserve">Une information épizootique enregistrée sur un animal individuel. Outre le statut épizootique individuel, les vaccinations pertinentes sont également enregistrées.</w:t>
      </w:r>
    </w:p>
    <w:bookmarkStart w:id="155" w:name="Xb758c4c0d2989683d029ced6d0d85d02664499b"/>
    <w:p>
      <w:pPr>
        <w:pStyle w:val="berschrift3"/>
      </w:pPr>
      <w:r>
        <w:t xml:space="preserve">3.8.1 Aperçu</w:t>
      </w:r>
    </w:p>
    <w:p>
      <w:pPr>
        <w:pStyle w:val="DefinitionTerm"/>
      </w:pPr>
      <w:r>
        <w:t xml:space="preserve">Shape</w:t>
      </w:r>
    </w:p>
    <w:p>
      <w:pPr>
        <w:pStyle w:val="Definition"/>
      </w:pPr>
      <w:hyperlink r:id="rId153">
        <w:r>
          <w:rPr>
            <w:rStyle w:val="Hyperlink"/>
          </w:rPr>
          <w:t xml:space="preserve">:AnimalHealthStatusShape</w:t>
        </w:r>
      </w:hyperlink>
    </w:p>
    <w:p>
      <w:pPr>
        <w:pStyle w:val="DefinitionTerm"/>
      </w:pPr>
      <w:r>
        <w:t xml:space="preserve">Classe cible</w:t>
      </w:r>
    </w:p>
    <w:p>
      <w:pPr>
        <w:pStyle w:val="Definition"/>
      </w:pPr>
      <w:hyperlink r:id="rId154">
        <w:r>
          <w:rPr>
            <w:rStyle w:val="Hyperlink"/>
          </w:rPr>
          <w:t xml:space="preserve">:AnimalHealthStatus</w:t>
        </w:r>
      </w:hyperlink>
    </w:p>
    <w:bookmarkEnd w:id="155"/>
    <w:bookmarkStart w:id="161" w:name="Xf7e08a05ecdfca2135266a5c394aaad995f88f7"/>
    <w:p>
      <w:pPr>
        <w:pStyle w:val="berschrift3"/>
      </w:pPr>
      <w:r>
        <w:t xml:space="preserve">3.8.2 Propriétés</w:t>
      </w:r>
    </w:p>
    <w:tbl>
      <w:tblPr>
        <w:tblStyle w:val="Table"/>
        <w:tblW w:type="pct" w:w="4974"/>
        <w:tblLayout w:type="fixed"/>
        <w:tblLook w:firstRow="1" w:lastRow="0" w:firstColumn="0" w:lastColumn="0" w:noHBand="0" w:noVBand="0" w:val="0020"/>
      </w:tblPr>
      <w:tblGrid>
        <w:gridCol w:w="3492"/>
        <w:gridCol w:w="3777"/>
        <w:gridCol w:w="609"/>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ID de l’animal</w:t>
            </w:r>
            <w:r>
              <w:t xml:space="preserve"> </w:t>
            </w:r>
            <w:r>
              <w:t xml:space="preserve">(</w:t>
            </w:r>
            <w:hyperlink r:id="rId110">
              <w:r>
                <w:rPr>
                  <w:rStyle w:val="Hyperlink"/>
                </w:rPr>
                <w:t xml:space="preserve">:animal</w:t>
              </w:r>
            </w:hyperlink>
            <w:r>
              <w:t xml:space="preserve">):</w:t>
            </w:r>
            <w:r>
              <w:t xml:space="preserve"> </w:t>
            </w:r>
            <w:r>
              <w:t xml:space="preserve">Un état sanitaire de l’animal individuel se rapporte à exactement un animal</w:t>
            </w:r>
            <w:r>
              <w:t xml:space="preserve"> </w:t>
            </w:r>
            <w:r>
              <w:t xml:space="preserve">individuel.</w:t>
            </w:r>
          </w:p>
        </w:tc>
        <w:tc>
          <w:tcPr/>
          <w:p>
            <w:pPr>
              <w:pStyle w:val="Compact"/>
              <w:numPr>
                <w:ilvl w:val="0"/>
                <w:numId w:val="1036"/>
              </w:numPr>
              <w:jc w:val="left"/>
            </w:pPr>
            <w:r>
              <w:t xml:space="preserve">Type:</w:t>
            </w:r>
            <w:r>
              <w:t xml:space="preserve"> </w:t>
            </w:r>
            <w:hyperlink w:anchor="sec-nodeshape-animalshape">
              <w:r>
                <w:rPr>
                  <w:rStyle w:val="Hyperlink"/>
                </w:rPr>
                <w:t xml:space="preserve">Animal individuel</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156">
              <w:r>
                <w:rPr>
                  <w:rStyle w:val="Hyperlink"/>
                </w:rPr>
                <w:t xml:space="preserve">:healthStatusType</w:t>
              </w:r>
            </w:hyperlink>
            <w:r>
              <w:t xml:space="preserve">):</w:t>
            </w:r>
            <w:r>
              <w:t xml:space="preserve"> </w:t>
            </w:r>
            <w:r>
              <w:t xml:space="preserve">p. ex. statut épizootique, vaccinal ou de risque</w:t>
            </w:r>
          </w:p>
        </w:tc>
        <w:tc>
          <w:tcPr/>
          <w:p>
            <w:pPr>
              <w:pStyle w:val="Compact"/>
              <w:numPr>
                <w:ilvl w:val="0"/>
                <w:numId w:val="1037"/>
              </w:numPr>
              <w:jc w:val="left"/>
            </w:pPr>
            <w:r>
              <w:t xml:space="preserve">Type:</w:t>
            </w:r>
            <w:r>
              <w:t xml:space="preserve"> </w:t>
            </w:r>
            <w:hyperlink r:id="rId157">
              <w:r>
                <w:rPr>
                  <w:rStyle w:val="Hyperlink"/>
                </w:rPr>
                <w:t xml:space="preserve">:HealthStatusType</w:t>
              </w:r>
            </w:hyperlink>
          </w:p>
        </w:tc>
        <w:tc>
          <w:tcPr/>
          <w:p>
            <w:pPr>
              <w:pStyle w:val="Compact"/>
              <w:jc w:val="right"/>
            </w:pPr>
            <w:r>
              <w:t xml:space="preserve">0..1</w:t>
            </w:r>
          </w:p>
        </w:tc>
      </w:tr>
      <w:tr>
        <w:tc>
          <w:tcPr/>
          <w:p>
            <w:pPr>
              <w:pStyle w:val="Compact"/>
              <w:jc w:val="left"/>
            </w:pPr>
            <w:r>
              <w:rPr>
                <w:b/>
                <w:bCs/>
              </w:rPr>
              <w:t xml:space="preserve">Statut</w:t>
            </w:r>
            <w:r>
              <w:t xml:space="preserve"> </w:t>
            </w:r>
            <w:r>
              <w:t xml:space="preserve">(</w:t>
            </w:r>
            <w:hyperlink r:id="rId158">
              <w:r>
                <w:rPr>
                  <w:rStyle w:val="Hyperlink"/>
                </w:rPr>
                <w:t xml:space="preserve">:epizooticStatus</w:t>
              </w:r>
            </w:hyperlink>
            <w:r>
              <w:t xml:space="preserve">)</w:t>
            </w:r>
          </w:p>
        </w:tc>
        <w:tc>
          <w:tcPr/>
          <w:p>
            <w:pPr>
              <w:pStyle w:val="Compact"/>
              <w:numPr>
                <w:ilvl w:val="0"/>
                <w:numId w:val="1038"/>
              </w:numPr>
              <w:jc w:val="left"/>
            </w:pPr>
            <w:r>
              <w:t xml:space="preserve">Type:</w:t>
            </w:r>
            <w:r>
              <w:t xml:space="preserve"> </w:t>
            </w:r>
            <w:hyperlink r:id="rId159">
              <w:r>
                <w:rPr>
                  <w:rStyle w:val="Hyperlink"/>
                </w:rPr>
                <w:t xml:space="preserve">:AnimalEpizooticStatus</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160">
              <w:r>
                <w:rPr>
                  <w:rStyle w:val="Hyperlink"/>
                </w:rPr>
                <w:t xml:space="preserve">:validFrom</w:t>
              </w:r>
            </w:hyperlink>
            <w:r>
              <w:t xml:space="preserve">): Date</w:t>
            </w:r>
            <w:r>
              <w:t xml:space="preserve"> </w:t>
            </w:r>
            <w:r>
              <w:t xml:space="preserve">à partir de laquelle le statut est valable, ou la date de vaccination</w:t>
            </w:r>
          </w:p>
        </w:tc>
        <w:tc>
          <w:tcPr/>
          <w:p>
            <w:pPr>
              <w:pStyle w:val="Compact"/>
              <w:numPr>
                <w:ilvl w:val="0"/>
                <w:numId w:val="1039"/>
              </w:numPr>
              <w:jc w:val="left"/>
            </w:pPr>
            <w:r>
              <w:t xml:space="preserve">Type: Date (</w:t>
            </w:r>
            <w:hyperlink r:id="rId90">
              <w:r>
                <w:rPr>
                  <w:rStyle w:val="Hyperlink"/>
                </w:rPr>
                <w:t xml:space="preserve">xsd:date</w:t>
              </w:r>
            </w:hyperlink>
            <w:r>
              <w:t xml:space="preserve">)</w:t>
            </w:r>
          </w:p>
        </w:tc>
        <w:tc>
          <w:tcPr/>
          <w:p>
            <w:pPr>
              <w:pStyle w:val="Compact"/>
              <w:jc w:val="right"/>
            </w:pPr>
            <w:r>
              <w:t xml:space="preserve">0..1</w:t>
            </w:r>
          </w:p>
        </w:tc>
      </w:tr>
    </w:tbl>
    <w:bookmarkEnd w:id="161"/>
    <w:bookmarkEnd w:id="162"/>
    <w:bookmarkStart w:id="168" w:name="sec-nodeshape-localunithealthstatusshape"/>
    <w:p>
      <w:pPr>
        <w:pStyle w:val="berschrift2"/>
      </w:pPr>
      <w:r>
        <w:t xml:space="preserve">3.9 État sanitaire de l’unité locale</w:t>
      </w:r>
    </w:p>
    <w:p>
      <w:pPr>
        <w:pStyle w:val="FirstParagraph"/>
      </w:pPr>
      <w:r>
        <w:t xml:space="preserve">Lorsque des épizooties revêtent une importance nationale, il est essentiel que les détenteurs d’animaux soient informés des interdictions de déplacement et du statut épizootique, afin de minimiser le risque de propagation par le trafic des animaux. Une information épizootique enregistrée sur une unité locale. Outre le statut épizootique d’une unité locale, les résultats de vaccination, de risque et de laboratoire peuvent également être représentés. La spécification openAPI d’AnimalTracing ne prévoit pas de classe distincte à cet effet ; les informations correspondantes y sont des attributs de l’unité locale.</w:t>
      </w:r>
    </w:p>
    <w:bookmarkStart w:id="165" w:name="Xd76f8e56e32004c31775842ef07b6b63f81aed7"/>
    <w:p>
      <w:pPr>
        <w:pStyle w:val="berschrift3"/>
      </w:pPr>
      <w:r>
        <w:t xml:space="preserve">3.9.1 Aperçu</w:t>
      </w:r>
    </w:p>
    <w:p>
      <w:pPr>
        <w:pStyle w:val="DefinitionTerm"/>
      </w:pPr>
      <w:r>
        <w:t xml:space="preserve">Shape</w:t>
      </w:r>
    </w:p>
    <w:p>
      <w:pPr>
        <w:pStyle w:val="Definition"/>
      </w:pPr>
      <w:hyperlink r:id="rId163">
        <w:r>
          <w:rPr>
            <w:rStyle w:val="Hyperlink"/>
          </w:rPr>
          <w:t xml:space="preserve">:LocalUnitHealthStatusShape</w:t>
        </w:r>
      </w:hyperlink>
    </w:p>
    <w:p>
      <w:pPr>
        <w:pStyle w:val="DefinitionTerm"/>
      </w:pPr>
      <w:r>
        <w:t xml:space="preserve">Classe cible</w:t>
      </w:r>
    </w:p>
    <w:p>
      <w:pPr>
        <w:pStyle w:val="Definition"/>
      </w:pPr>
      <w:hyperlink r:id="rId164">
        <w:r>
          <w:rPr>
            <w:rStyle w:val="Hyperlink"/>
          </w:rPr>
          <w:t xml:space="preserve">:LocalUnitHealthStatus</w:t>
        </w:r>
      </w:hyperlink>
    </w:p>
    <w:bookmarkEnd w:id="165"/>
    <w:bookmarkStart w:id="167" w:name="X862e0b7718ba7490c724a805d4ccf3962ba3fc6"/>
    <w:p>
      <w:pPr>
        <w:pStyle w:val="berschrift3"/>
      </w:pPr>
      <w:r>
        <w:t xml:space="preserve">3.9.2 Propriétés</w:t>
      </w:r>
    </w:p>
    <w:tbl>
      <w:tblPr>
        <w:tblStyle w:val="Table"/>
        <w:tblW w:type="pct" w:w="4975"/>
        <w:tblLayout w:type="fixed"/>
        <w:tblLook w:firstRow="1" w:lastRow="0" w:firstColumn="0" w:lastColumn="0" w:noHBand="0" w:noVBand="0" w:val="0020"/>
      </w:tblPr>
      <w:tblGrid>
        <w:gridCol w:w="3388"/>
        <w:gridCol w:w="3900"/>
        <w:gridCol w:w="59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Unité locale</w:t>
            </w:r>
            <w:r>
              <w:t xml:space="preserve"> </w:t>
            </w:r>
            <w:r>
              <w:t xml:space="preserve">(</w:t>
            </w:r>
            <w:hyperlink r:id="rId111">
              <w:r>
                <w:rPr>
                  <w:rStyle w:val="Hyperlink"/>
                </w:rPr>
                <w:t xml:space="preserve">:localUnit</w:t>
              </w:r>
            </w:hyperlink>
            <w:r>
              <w:t xml:space="preserve">): Numéro REE de</w:t>
            </w:r>
            <w:r>
              <w:t xml:space="preserve"> </w:t>
            </w:r>
            <w:r>
              <w:t xml:space="preserve">l’unité locale</w:t>
            </w:r>
          </w:p>
        </w:tc>
        <w:tc>
          <w:tcPr/>
          <w:p>
            <w:pPr>
              <w:pStyle w:val="Compact"/>
              <w:numPr>
                <w:ilvl w:val="0"/>
                <w:numId w:val="1040"/>
              </w:numPr>
              <w:jc w:val="left"/>
            </w:pPr>
            <w:r>
              <w:t xml:space="preserve">Type:</w:t>
            </w:r>
            <w:r>
              <w:t xml:space="preserve"> </w:t>
            </w:r>
            <w:hyperlink w:anchor="sec-nodeshape-localunitshape">
              <w:r>
                <w:rPr>
                  <w:rStyle w:val="Hyperlink"/>
                </w:rPr>
                <w:t xml:space="preserve">Unité locale</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156">
              <w:r>
                <w:rPr>
                  <w:rStyle w:val="Hyperlink"/>
                </w:rPr>
                <w:t xml:space="preserve">:healthStatusType</w:t>
              </w:r>
            </w:hyperlink>
            <w:r>
              <w:t xml:space="preserve">):</w:t>
            </w:r>
            <w:r>
              <w:t xml:space="preserve"> </w:t>
            </w:r>
            <w:r>
              <w:t xml:space="preserve">p. ex. statut épizootique, vaccinal ou de risque</w:t>
            </w:r>
          </w:p>
        </w:tc>
        <w:tc>
          <w:tcPr/>
          <w:p>
            <w:pPr>
              <w:pStyle w:val="Compact"/>
              <w:numPr>
                <w:ilvl w:val="0"/>
                <w:numId w:val="1041"/>
              </w:numPr>
              <w:jc w:val="left"/>
            </w:pPr>
            <w:r>
              <w:t xml:space="preserve">Type:</w:t>
            </w:r>
            <w:r>
              <w:t xml:space="preserve"> </w:t>
            </w:r>
            <w:hyperlink r:id="rId157">
              <w:r>
                <w:rPr>
                  <w:rStyle w:val="Hyperlink"/>
                </w:rPr>
                <w:t xml:space="preserve">:HealthStatusType</w:t>
              </w:r>
            </w:hyperlink>
          </w:p>
        </w:tc>
        <w:tc>
          <w:tcPr/>
          <w:p>
            <w:pPr>
              <w:pStyle w:val="Compact"/>
              <w:jc w:val="right"/>
            </w:pPr>
            <w:r>
              <w:t xml:space="preserve">0..1</w:t>
            </w:r>
          </w:p>
        </w:tc>
      </w:tr>
      <w:tr>
        <w:tc>
          <w:tcPr/>
          <w:p>
            <w:pPr>
              <w:pStyle w:val="Compact"/>
              <w:jc w:val="left"/>
            </w:pPr>
            <w:r>
              <w:rPr>
                <w:b/>
                <w:bCs/>
              </w:rPr>
              <w:t xml:space="preserve">Statut</w:t>
            </w:r>
            <w:r>
              <w:t xml:space="preserve"> </w:t>
            </w:r>
            <w:r>
              <w:t xml:space="preserve">(</w:t>
            </w:r>
            <w:hyperlink r:id="rId158">
              <w:r>
                <w:rPr>
                  <w:rStyle w:val="Hyperlink"/>
                </w:rPr>
                <w:t xml:space="preserve">:epizooticStatus</w:t>
              </w:r>
            </w:hyperlink>
            <w:r>
              <w:t xml:space="preserve">)</w:t>
            </w:r>
          </w:p>
        </w:tc>
        <w:tc>
          <w:tcPr/>
          <w:p>
            <w:pPr>
              <w:pStyle w:val="Compact"/>
              <w:numPr>
                <w:ilvl w:val="0"/>
                <w:numId w:val="1042"/>
              </w:numPr>
              <w:jc w:val="left"/>
            </w:pPr>
            <w:r>
              <w:t xml:space="preserve">Type:</w:t>
            </w:r>
            <w:r>
              <w:t xml:space="preserve"> </w:t>
            </w:r>
            <w:hyperlink r:id="rId166">
              <w:r>
                <w:rPr>
                  <w:rStyle w:val="Hyperlink"/>
                </w:rPr>
                <w:t xml:space="preserve">:LocalUnitEpizooticStatus</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160">
              <w:r>
                <w:rPr>
                  <w:rStyle w:val="Hyperlink"/>
                </w:rPr>
                <w:t xml:space="preserve">:validFrom</w:t>
              </w:r>
            </w:hyperlink>
            <w:r>
              <w:t xml:space="preserve">): Date</w:t>
            </w:r>
            <w:r>
              <w:t xml:space="preserve"> </w:t>
            </w:r>
            <w:r>
              <w:t xml:space="preserve">à partir de laquelle le statut est valable</w:t>
            </w:r>
          </w:p>
        </w:tc>
        <w:tc>
          <w:tcPr/>
          <w:p>
            <w:pPr>
              <w:pStyle w:val="Compact"/>
              <w:numPr>
                <w:ilvl w:val="0"/>
                <w:numId w:val="1043"/>
              </w:numPr>
              <w:jc w:val="left"/>
            </w:pPr>
            <w:r>
              <w:t xml:space="preserve">Type: Date (</w:t>
            </w:r>
            <w:hyperlink r:id="rId90">
              <w:r>
                <w:rPr>
                  <w:rStyle w:val="Hyperlink"/>
                </w:rPr>
                <w:t xml:space="preserve">xsd:date</w:t>
              </w:r>
            </w:hyperlink>
            <w:r>
              <w:t xml:space="preserve">)</w:t>
            </w:r>
          </w:p>
        </w:tc>
        <w:tc>
          <w:tcPr/>
          <w:p>
            <w:pPr>
              <w:pStyle w:val="Compact"/>
              <w:jc w:val="right"/>
            </w:pPr>
            <w:r>
              <w:t xml:space="preserve">0..1</w:t>
            </w:r>
          </w:p>
        </w:tc>
      </w:tr>
    </w:tbl>
    <w:bookmarkEnd w:id="167"/>
    <w:bookmarkEnd w:id="168"/>
    <w:bookmarkEnd w:id="169"/>
    <w:bookmarkStart w:id="193" w:name="sec-code-lists"/>
    <w:p>
      <w:pPr>
        <w:pStyle w:val="berschrift1"/>
      </w:pPr>
      <w:r>
        <w:t xml:space="preserve">4. Domaines de valeurs</w:t>
      </w:r>
    </w:p>
    <w:p>
      <w:pPr>
        <w:pStyle w:val="FirstParagraph"/>
      </w:pPr>
      <w:r>
        <w:t xml:space="preserve">Pour une partie de ces domaines de valeurs, aucune désignation française ou italienne n’est encore disponible ; les désignations sont indiquées en allemand et en anglais, telles que les sources les fournissent. (</w:t>
      </w:r>
      <w:hyperlink r:id="rId170">
        <w:r>
          <w:rPr>
            <w:rStyle w:val="Hyperlink"/>
          </w:rPr>
          <w:t xml:space="preserve">https://test-03-tvd-api-at.identitas.ch/open-api/v1.0</w:t>
        </w:r>
      </w:hyperlink>
      <w:r>
        <w:t xml:space="preserve">, 2026-09-24)</w:t>
      </w:r>
    </w:p>
    <w:bookmarkStart w:id="172" w:name="sec-codelist-animalhealthstatus"/>
    <w:p>
      <w:pPr>
        <w:pStyle w:val="berschrift2"/>
      </w:pPr>
      <w:r>
        <w:t xml:space="preserve">4.1 État sanitaire de l’animal individuel</w:t>
      </w:r>
    </w:p>
    <w:tbl>
      <w:tblPr>
        <w:tblStyle w:val="Table"/>
        <w:tblW w:type="pct" w:w="5000"/>
        <w:tblLayout w:type="fixed"/>
        <w:tblLook w:firstRow="0" w:lastRow="0" w:firstColumn="0" w:lastColumn="0" w:noHBand="0" w:noVBand="0" w:val="0000"/>
      </w:tblPr>
      <w:tblGrid>
        <w:gridCol w:w="7920"/>
      </w:tblGrid>
      <w:tr>
        <w:tc>
          <w:tcPr/>
          <w:bookmarkStart w:id="171" w:name="tbl-codelist-animalhealthstatus"/>
          <w:p>
            <w:pPr>
              <w:jc w:val="center"/>
            </w:pPr>
            <w:pPr>
              <w:jc w:val="left"/>
              <w:spacing w:before="200"/>
              <w:pStyle w:val="ImageCaption"/>
            </w:pPr>
            <w:r>
              <w:t xml:space="preserve">Table 2: Valeurs du domaine de valeurs État sanitaire de l’animal individuel</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Bloqué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Free</w:t>
                  </w:r>
                </w:p>
              </w:tc>
              <w:tc>
                <w:tcPr/>
                <w:p>
                  <w:pPr>
                    <w:pStyle w:val="Compact"/>
                    <w:jc w:val="left"/>
                    <w:jc w:val="center"/>
                  </w:pPr>
                  <w:r>
                    <w:t xml:space="preserve">Libre</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NotTested</w:t>
                  </w:r>
                </w:p>
              </w:tc>
              <w:tc>
                <w:tcPr/>
                <w:p>
                  <w:pPr>
                    <w:pStyle w:val="Compact"/>
                    <w:jc w:val="left"/>
                    <w:jc w:val="center"/>
                  </w:pPr>
                  <w:r>
                    <w:t xml:space="preserve">Non testé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Vaccinated</w:t>
                  </w:r>
                </w:p>
              </w:tc>
              <w:tc>
                <w:tcPr/>
                <w:p>
                  <w:pPr>
                    <w:pStyle w:val="Compact"/>
                    <w:jc w:val="left"/>
                    <w:jc w:val="center"/>
                  </w:pPr>
                  <w:r>
                    <w:t xml:space="preserve">Vacciné</w:t>
                  </w:r>
                </w:p>
              </w:tc>
              <w:tc>
                <w:tcPr/>
                <w:p>
                  <w:pPr>
                    <w:pStyle w:val="Compact"/>
                    <w:jc w:val="left"/>
                    <w:jc w:val="center"/>
                  </w:pPr>
                  <w:r>
                    <w:t xml:space="preserve">Type : statut vaccinal</w:t>
                  </w:r>
                </w:p>
              </w:tc>
            </w:tr>
          </w:tbl>
          <w:bookmarkEnd w:id="171"/>
          <w:p/>
        </w:tc>
      </w:tr>
    </w:tbl>
    <w:bookmarkEnd w:id="172"/>
    <w:bookmarkStart w:id="174" w:name="sec-codelist-animalhistorystate"/>
    <w:p>
      <w:pPr>
        <w:pStyle w:val="berschrift2"/>
      </w:pPr>
      <w:r>
        <w:t xml:space="preserve">4.2 Statut de l’historique de l’animal</w:t>
      </w:r>
    </w:p>
    <w:tbl>
      <w:tblPr>
        <w:tblStyle w:val="Table"/>
        <w:tblW w:type="pct" w:w="5000"/>
        <w:tblLayout w:type="fixed"/>
        <w:tblLook w:firstRow="0" w:lastRow="0" w:firstColumn="0" w:lastColumn="0" w:noHBand="0" w:noVBand="0" w:val="0000"/>
      </w:tblPr>
      <w:tblGrid>
        <w:gridCol w:w="7920"/>
      </w:tblGrid>
      <w:tr>
        <w:tc>
          <w:tcPr/>
          <w:bookmarkStart w:id="173" w:name="tbl-codelist-animalhistorystate"/>
          <w:p>
            <w:pPr>
              <w:jc w:val="center"/>
            </w:pPr>
            <w:pPr>
              <w:jc w:val="left"/>
              <w:spacing w:before="200"/>
              <w:pStyle w:val="ImageCaption"/>
            </w:pPr>
            <w:r>
              <w:t xml:space="preserve">Table 3: Valeurs du domaine de valeurs Statut de l’historique de l’animal</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Lost</w:t>
                  </w:r>
                </w:p>
              </w:tc>
              <w:tc>
                <w:tcPr/>
                <w:p>
                  <w:pPr>
                    <w:pStyle w:val="Compact"/>
                    <w:jc w:val="left"/>
                    <w:jc w:val="center"/>
                  </w:pPr>
                  <w:r>
                    <w:t xml:space="preserve">Verschollen</w:t>
                  </w:r>
                </w:p>
              </w:tc>
              <w:tc>
                <w:tcPr/>
                <w:p>
                  <w:pPr>
                    <w:pStyle w:val="Compact"/>
                  </w:pPr>
                </w:p>
              </w:tc>
            </w:tr>
            <w:tr>
              <w:tc>
                <w:tcPr/>
                <w:p>
                  <w:pPr>
                    <w:pStyle w:val="Compact"/>
                    <w:jc w:val="left"/>
                    <w:jc w:val="center"/>
                  </w:pPr>
                  <w:r>
                    <w:rPr>
                      <w:rStyle w:val="VerbatimChar"/>
                    </w:rPr>
                    <w:t xml:space="preserve">NotDefined</w:t>
                  </w:r>
                </w:p>
              </w:tc>
              <w:tc>
                <w:tcPr/>
                <w:p>
                  <w:pPr>
                    <w:pStyle w:val="Compact"/>
                    <w:jc w:val="left"/>
                    <w:jc w:val="center"/>
                  </w:pPr>
                  <w:r>
                    <w:t xml:space="preserve">Nicht definiert</w:t>
                  </w:r>
                </w:p>
              </w:tc>
              <w:tc>
                <w:tcPr/>
                <w:p>
                  <w:pPr>
                    <w:pStyle w:val="Compact"/>
                  </w:pPr>
                </w:p>
              </w:tc>
            </w:tr>
            <w:tr>
              <w:tc>
                <w:tcPr/>
                <w:p>
                  <w:pPr>
                    <w:pStyle w:val="Compact"/>
                    <w:jc w:val="left"/>
                    <w:jc w:val="center"/>
                  </w:pPr>
                  <w:r>
                    <w:rPr>
                      <w:rStyle w:val="VerbatimChar"/>
                    </w:rPr>
                    <w:t xml:space="preserve">NotOk</w:t>
                  </w:r>
                </w:p>
              </w:tc>
              <w:tc>
                <w:tcPr/>
                <w:p>
                  <w:pPr>
                    <w:pStyle w:val="Compact"/>
                    <w:jc w:val="left"/>
                    <w:jc w:val="center"/>
                  </w:pPr>
                  <w:r>
                    <w:t xml:space="preserve">Fehlerhaft</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TemporaryOk</w:t>
                  </w:r>
                </w:p>
              </w:tc>
              <w:tc>
                <w:tcPr/>
                <w:p>
                  <w:pPr>
                    <w:pStyle w:val="Compact"/>
                    <w:jc w:val="left"/>
                    <w:jc w:val="center"/>
                  </w:pPr>
                  <w:r>
                    <w:t xml:space="preserve">Temporär OK</w:t>
                  </w:r>
                </w:p>
              </w:tc>
              <w:tc>
                <w:tcPr/>
                <w:p>
                  <w:pPr>
                    <w:pStyle w:val="Compact"/>
                  </w:pPr>
                </w:p>
              </w:tc>
            </w:tr>
          </w:tbl>
          <w:bookmarkEnd w:id="173"/>
          <w:p/>
        </w:tc>
      </w:tr>
    </w:tbl>
    <w:bookmarkEnd w:id="174"/>
    <w:bookmarkStart w:id="176" w:name="sec-codelist-animaltypeofuse"/>
    <w:p>
      <w:pPr>
        <w:pStyle w:val="berschrift2"/>
      </w:pPr>
      <w:r>
        <w:t xml:space="preserve">4.3 Type d’utilisation (bovins, ovins, caprins)</w:t>
      </w:r>
    </w:p>
    <w:tbl>
      <w:tblPr>
        <w:tblStyle w:val="Table"/>
        <w:tblW w:type="pct" w:w="5000"/>
        <w:tblLayout w:type="fixed"/>
        <w:tblLook w:firstRow="0" w:lastRow="0" w:firstColumn="0" w:lastColumn="0" w:noHBand="0" w:noVBand="0" w:val="0000"/>
      </w:tblPr>
      <w:tblGrid>
        <w:gridCol w:w="7920"/>
      </w:tblGrid>
      <w:tr>
        <w:tc>
          <w:tcPr/>
          <w:bookmarkStart w:id="175" w:name="tbl-codelist-animaltypeofuse"/>
          <w:p>
            <w:pPr>
              <w:jc w:val="center"/>
            </w:pPr>
            <w:pPr>
              <w:jc w:val="left"/>
              <w:spacing w:before="200"/>
              <w:pStyle w:val="ImageCaption"/>
            </w:pPr>
            <w:r>
              <w:t xml:space="preserve">Table 4: Valeurs du domaine de valeurs Type d’utilisation (bovins, ovins, caprins)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Milk</w:t>
                  </w:r>
                </w:p>
              </w:tc>
              <w:tc>
                <w:tcPr/>
                <w:p>
                  <w:pPr>
                    <w:pStyle w:val="Compact"/>
                    <w:jc w:val="left"/>
                    <w:jc w:val="center"/>
                  </w:pPr>
                  <w:r>
                    <w:t xml:space="preserve">Milch</w:t>
                  </w:r>
                </w:p>
              </w:tc>
              <w:tc>
                <w:tcPr/>
                <w:p>
                  <w:pPr>
                    <w:pStyle w:val="Compact"/>
                    <w:jc w:val="left"/>
                    <w:jc w:val="center"/>
                  </w:pPr>
                  <w:r>
                    <w:t xml:space="preserve">Milchkühe, -schafe und -ziegen</w:t>
                  </w:r>
                </w:p>
              </w:tc>
            </w:tr>
            <w:tr>
              <w:tc>
                <w:tcPr/>
                <w:p>
                  <w:pPr>
                    <w:pStyle w:val="Compact"/>
                    <w:jc w:val="left"/>
                    <w:jc w:val="center"/>
                  </w:pPr>
                  <w:r>
                    <w:rPr>
                      <w:rStyle w:val="VerbatimChar"/>
                    </w:rPr>
                    <w:t xml:space="preserve">Other</w:t>
                  </w:r>
                </w:p>
              </w:tc>
              <w:tc>
                <w:tcPr/>
                <w:p>
                  <w:pPr>
                    <w:pStyle w:val="Compact"/>
                    <w:jc w:val="left"/>
                    <w:jc w:val="center"/>
                  </w:pPr>
                  <w:r>
                    <w:t xml:space="preserve">Andere</w:t>
                  </w:r>
                </w:p>
              </w:tc>
              <w:tc>
                <w:tcPr/>
                <w:p>
                  <w:pPr>
                    <w:pStyle w:val="Compact"/>
                  </w:pPr>
                </w:p>
              </w:tc>
            </w:tr>
          </w:tbl>
          <w:bookmarkEnd w:id="175"/>
          <w:p/>
        </w:tc>
      </w:tr>
    </w:tbl>
    <w:bookmarkEnd w:id="176"/>
    <w:bookmarkStart w:id="178" w:name="sec-codelist-equidnotificationstate"/>
    <w:p>
      <w:pPr>
        <w:pStyle w:val="berschrift2"/>
      </w:pPr>
      <w:r>
        <w:t xml:space="preserve">4.4 Statut d’annonce de l’équidé</w:t>
      </w:r>
    </w:p>
    <w:tbl>
      <w:tblPr>
        <w:tblStyle w:val="Table"/>
        <w:tblW w:type="pct" w:w="5000"/>
        <w:tblLayout w:type="fixed"/>
        <w:tblLook w:firstRow="0" w:lastRow="0" w:firstColumn="0" w:lastColumn="0" w:noHBand="0" w:noVBand="0" w:val="0000"/>
      </w:tblPr>
      <w:tblGrid>
        <w:gridCol w:w="7920"/>
      </w:tblGrid>
      <w:tr>
        <w:tc>
          <w:tcPr/>
          <w:bookmarkStart w:id="177" w:name="tbl-codelist-equidnotificationstate"/>
          <w:p>
            <w:pPr>
              <w:jc w:val="center"/>
            </w:pPr>
            <w:pPr>
              <w:jc w:val="left"/>
              <w:spacing w:before="200"/>
              <w:pStyle w:val="ImageCaption"/>
            </w:pPr>
            <w:r>
              <w:t xml:space="preserve">Table 5: Valeurs du domaine de valeurs Statut d’annonce de l’équidé</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LocationChangeAndAcquisitionPending</w:t>
                  </w:r>
                </w:p>
              </w:tc>
              <w:tc>
                <w:tcPr/>
                <w:p>
                  <w:pPr>
                    <w:pStyle w:val="Compact"/>
                    <w:jc w:val="left"/>
                    <w:jc w:val="center"/>
                  </w:pPr>
                  <w:r>
                    <w:t xml:space="preserve">Changement de lieu et reprise de propriété en attente</w:t>
                  </w:r>
                </w:p>
              </w:tc>
              <w:tc>
                <w:tcPr/>
                <w:p>
                  <w:pPr>
                    <w:pStyle w:val="Compact"/>
                  </w:pPr>
                </w:p>
              </w:tc>
            </w:tr>
            <w:tr>
              <w:tc>
                <w:tcPr/>
                <w:p>
                  <w:pPr>
                    <w:pStyle w:val="Compact"/>
                    <w:jc w:val="left"/>
                    <w:jc w:val="center"/>
                  </w:pPr>
                  <w:r>
                    <w:rPr>
                      <w:rStyle w:val="VerbatimChar"/>
                    </w:rPr>
                    <w:t xml:space="preserve">LocationChangePending</w:t>
                  </w:r>
                </w:p>
              </w:tc>
              <w:tc>
                <w:tcPr/>
                <w:p>
                  <w:pPr>
                    <w:pStyle w:val="Compact"/>
                    <w:jc w:val="left"/>
                    <w:jc w:val="center"/>
                  </w:pPr>
                  <w:r>
                    <w:t xml:space="preserve">Changement de lieu en attente</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OwnershipAcquisitionPending</w:t>
                  </w:r>
                </w:p>
              </w:tc>
              <w:tc>
                <w:tcPr/>
                <w:p>
                  <w:pPr>
                    <w:pStyle w:val="Compact"/>
                    <w:jc w:val="left"/>
                    <w:jc w:val="center"/>
                  </w:pPr>
                  <w:r>
                    <w:t xml:space="preserve">Reprise de propriété en attente</w:t>
                  </w:r>
                </w:p>
              </w:tc>
              <w:tc>
                <w:tcPr/>
                <w:p>
                  <w:pPr>
                    <w:pStyle w:val="Compact"/>
                  </w:pPr>
                </w:p>
              </w:tc>
            </w:tr>
          </w:tbl>
          <w:bookmarkEnd w:id="177"/>
          <w:p/>
        </w:tc>
      </w:tr>
    </w:tbl>
    <w:bookmarkEnd w:id="178"/>
    <w:bookmarkStart w:id="180" w:name="sec-codelist-equidtypeofusage"/>
    <w:p>
      <w:pPr>
        <w:pStyle w:val="berschrift2"/>
      </w:pPr>
      <w:r>
        <w:t xml:space="preserve">4.5 Type d’utilisation (équidés)</w:t>
      </w:r>
    </w:p>
    <w:tbl>
      <w:tblPr>
        <w:tblStyle w:val="Table"/>
        <w:tblW w:type="pct" w:w="5000"/>
        <w:tblLayout w:type="fixed"/>
        <w:tblLook w:firstRow="0" w:lastRow="0" w:firstColumn="0" w:lastColumn="0" w:noHBand="0" w:noVBand="0" w:val="0000"/>
      </w:tblPr>
      <w:tblGrid>
        <w:gridCol w:w="7920"/>
      </w:tblGrid>
      <w:tr>
        <w:tc>
          <w:tcPr/>
          <w:bookmarkStart w:id="179" w:name="tbl-codelist-equidtypeofusage"/>
          <w:p>
            <w:pPr>
              <w:jc w:val="center"/>
            </w:pPr>
            <w:pPr>
              <w:jc w:val="left"/>
              <w:spacing w:before="200"/>
              <w:pStyle w:val="ImageCaption"/>
            </w:pPr>
            <w:r>
              <w:t xml:space="preserve">Table 6: Valeurs du domaine de valeurs Type d’utilisation (équidés)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CompanionAnimal</w:t>
                  </w:r>
                </w:p>
              </w:tc>
              <w:tc>
                <w:tcPr/>
                <w:p>
                  <w:pPr>
                    <w:pStyle w:val="Compact"/>
                    <w:jc w:val="left"/>
                    <w:jc w:val="center"/>
                  </w:pPr>
                  <w:r>
                    <w:t xml:space="preserve">Heimtier</w:t>
                  </w:r>
                </w:p>
              </w:tc>
              <w:tc>
                <w:tcPr/>
                <w:p>
                  <w:pPr>
                    <w:pStyle w:val="Compact"/>
                  </w:pPr>
                </w:p>
              </w:tc>
            </w:tr>
            <w:tr>
              <w:tc>
                <w:tcPr/>
                <w:p>
                  <w:pPr>
                    <w:pStyle w:val="Compact"/>
                    <w:jc w:val="left"/>
                    <w:jc w:val="center"/>
                  </w:pPr>
                  <w:r>
                    <w:rPr>
                      <w:rStyle w:val="VerbatimChar"/>
                    </w:rPr>
                    <w:t xml:space="preserve">FarmAnimal</w:t>
                  </w:r>
                </w:p>
              </w:tc>
              <w:tc>
                <w:tcPr/>
                <w:p>
                  <w:pPr>
                    <w:pStyle w:val="Compact"/>
                    <w:jc w:val="left"/>
                    <w:jc w:val="center"/>
                  </w:pPr>
                  <w:r>
                    <w:t xml:space="preserve">Nutztier</w:t>
                  </w:r>
                </w:p>
              </w:tc>
              <w:tc>
                <w:tcPr/>
                <w:p>
                  <w:pPr>
                    <w:pStyle w:val="Compact"/>
                  </w:pPr>
                </w:p>
              </w:tc>
            </w:tr>
          </w:tbl>
          <w:bookmarkEnd w:id="179"/>
          <w:p/>
        </w:tc>
      </w:tr>
    </w:tbl>
    <w:bookmarkEnd w:id="180"/>
    <w:bookmarkStart w:id="182" w:name="sec-codelist-equidwithersclass"/>
    <w:p>
      <w:pPr>
        <w:pStyle w:val="berschrift2"/>
      </w:pPr>
      <w:r>
        <w:t xml:space="preserve">4.6 Catégorie de taille</w:t>
      </w:r>
    </w:p>
    <w:tbl>
      <w:tblPr>
        <w:tblStyle w:val="Table"/>
        <w:tblW w:type="pct" w:w="5000"/>
        <w:tblLayout w:type="fixed"/>
        <w:tblLook w:firstRow="0" w:lastRow="0" w:firstColumn="0" w:lastColumn="0" w:noHBand="0" w:noVBand="0" w:val="0000"/>
      </w:tblPr>
      <w:tblGrid>
        <w:gridCol w:w="7920"/>
      </w:tblGrid>
      <w:tr>
        <w:tc>
          <w:tcPr/>
          <w:bookmarkStart w:id="181" w:name="tbl-codelist-equidwithersclass"/>
          <w:p>
            <w:pPr>
              <w:jc w:val="center"/>
            </w:pPr>
            <w:pPr>
              <w:jc w:val="left"/>
              <w:spacing w:before="200"/>
              <w:pStyle w:val="ImageCaption"/>
            </w:pPr>
            <w:r>
              <w:t xml:space="preserve">Table 7: Valeurs du domaine de valeurs Catégorie de taille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GreaterThan148cm</w:t>
                  </w:r>
                </w:p>
              </w:tc>
              <w:tc>
                <w:tcPr/>
                <w:p>
                  <w:pPr>
                    <w:pStyle w:val="Compact"/>
                    <w:jc w:val="left"/>
                    <w:jc w:val="center"/>
                  </w:pPr>
                  <w:r>
                    <w:t xml:space="preserve">Hauteur au garrot supérieure à 148 cm</w:t>
                  </w:r>
                </w:p>
              </w:tc>
              <w:tc>
                <w:tcPr/>
                <w:p>
                  <w:pPr>
                    <w:pStyle w:val="Compact"/>
                  </w:pPr>
                </w:p>
              </w:tc>
            </w:tr>
            <w:tr>
              <w:tc>
                <w:tcPr/>
                <w:p>
                  <w:pPr>
                    <w:pStyle w:val="Compact"/>
                    <w:jc w:val="left"/>
                    <w:jc w:val="center"/>
                  </w:pPr>
                  <w:r>
                    <w:rPr>
                      <w:rStyle w:val="VerbatimChar"/>
                    </w:rPr>
                    <w:t xml:space="preserve">LessOrEqualThan148cm</w:t>
                  </w:r>
                </w:p>
              </w:tc>
              <w:tc>
                <w:tcPr/>
                <w:p>
                  <w:pPr>
                    <w:pStyle w:val="Compact"/>
                    <w:jc w:val="left"/>
                    <w:jc w:val="center"/>
                  </w:pPr>
                  <w:r>
                    <w:t xml:space="preserve">Hauteur au garrot jusqu’à 148 cm</w:t>
                  </w:r>
                </w:p>
              </w:tc>
              <w:tc>
                <w:tcPr/>
                <w:p>
                  <w:pPr>
                    <w:pStyle w:val="Compact"/>
                  </w:pPr>
                </w:p>
              </w:tc>
            </w:tr>
          </w:tbl>
          <w:bookmarkEnd w:id="181"/>
          <w:p/>
        </w:tc>
      </w:tr>
    </w:tbl>
    <w:bookmarkEnd w:id="182"/>
    <w:bookmarkStart w:id="184" w:name="sec-codelist-gender"/>
    <w:p>
      <w:pPr>
        <w:pStyle w:val="berschrift2"/>
      </w:pPr>
      <w:r>
        <w:t xml:space="preserve">4.7 Sexe</w:t>
      </w:r>
    </w:p>
    <w:tbl>
      <w:tblPr>
        <w:tblStyle w:val="Table"/>
        <w:tblW w:type="pct" w:w="5000"/>
        <w:tblLayout w:type="fixed"/>
        <w:tblLook w:firstRow="0" w:lastRow="0" w:firstColumn="0" w:lastColumn="0" w:noHBand="0" w:noVBand="0" w:val="0000"/>
      </w:tblPr>
      <w:tblGrid>
        <w:gridCol w:w="7920"/>
      </w:tblGrid>
      <w:tr>
        <w:tc>
          <w:tcPr/>
          <w:bookmarkStart w:id="183" w:name="tbl-codelist-gender"/>
          <w:p>
            <w:pPr>
              <w:jc w:val="center"/>
            </w:pPr>
            <w:pPr>
              <w:jc w:val="left"/>
              <w:spacing w:before="200"/>
              <w:pStyle w:val="ImageCaption"/>
            </w:pPr>
            <w:r>
              <w:t xml:space="preserve">Table 8: Valeurs du domaine de valeurs Sexe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Female</w:t>
                  </w:r>
                </w:p>
              </w:tc>
              <w:tc>
                <w:tcPr/>
                <w:p>
                  <w:pPr>
                    <w:pStyle w:val="Compact"/>
                    <w:jc w:val="left"/>
                    <w:jc w:val="center"/>
                  </w:pPr>
                  <w:r>
                    <w:t xml:space="preserve">Weiblich</w:t>
                  </w:r>
                </w:p>
              </w:tc>
              <w:tc>
                <w:tcPr/>
                <w:p>
                  <w:pPr>
                    <w:pStyle w:val="Compact"/>
                  </w:pPr>
                </w:p>
              </w:tc>
            </w:tr>
            <w:tr>
              <w:tc>
                <w:tcPr/>
                <w:p>
                  <w:pPr>
                    <w:pStyle w:val="Compact"/>
                    <w:jc w:val="left"/>
                    <w:jc w:val="center"/>
                  </w:pPr>
                  <w:r>
                    <w:rPr>
                      <w:rStyle w:val="VerbatimChar"/>
                    </w:rPr>
                    <w:t xml:space="preserve">Male</w:t>
                  </w:r>
                </w:p>
              </w:tc>
              <w:tc>
                <w:tcPr/>
                <w:p>
                  <w:pPr>
                    <w:pStyle w:val="Compact"/>
                    <w:jc w:val="left"/>
                    <w:jc w:val="center"/>
                  </w:pPr>
                  <w:r>
                    <w:t xml:space="preserve">Männlich</w:t>
                  </w:r>
                </w:p>
              </w:tc>
              <w:tc>
                <w:tcPr/>
                <w:p>
                  <w:pPr>
                    <w:pStyle w:val="Compact"/>
                  </w:pPr>
                </w:p>
              </w:tc>
            </w:tr>
          </w:tbl>
          <w:bookmarkEnd w:id="183"/>
          <w:p/>
        </w:tc>
      </w:tr>
    </w:tbl>
    <w:bookmarkEnd w:id="184"/>
    <w:bookmarkStart w:id="186" w:name="sec-codelist-genus"/>
    <w:p>
      <w:pPr>
        <w:pStyle w:val="berschrift2"/>
      </w:pPr>
      <w:r>
        <w:t xml:space="preserve">4.8 Espèce d’animal de rente</w:t>
      </w:r>
    </w:p>
    <w:tbl>
      <w:tblPr>
        <w:tblStyle w:val="Table"/>
        <w:tblW w:type="pct" w:w="5000"/>
        <w:tblLayout w:type="fixed"/>
        <w:tblLook w:firstRow="0" w:lastRow="0" w:firstColumn="0" w:lastColumn="0" w:noHBand="0" w:noVBand="0" w:val="0000"/>
      </w:tblPr>
      <w:tblGrid>
        <w:gridCol w:w="7920"/>
      </w:tblGrid>
      <w:tr>
        <w:tc>
          <w:tcPr/>
          <w:bookmarkStart w:id="185" w:name="tbl-codelist-genus"/>
          <w:p>
            <w:pPr>
              <w:jc w:val="center"/>
            </w:pPr>
            <w:pPr>
              <w:jc w:val="left"/>
              <w:spacing w:before="200"/>
              <w:pStyle w:val="ImageCaption"/>
            </w:pPr>
            <w:r>
              <w:t xml:space="preserve">Table 9: Valeurs du domaine de valeurs Espèce d’animal de rente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Camelid</w:t>
                  </w:r>
                </w:p>
              </w:tc>
              <w:tc>
                <w:tcPr/>
                <w:p>
                  <w:pPr>
                    <w:pStyle w:val="Compact"/>
                    <w:jc w:val="left"/>
                    <w:jc w:val="center"/>
                  </w:pPr>
                  <w:r>
                    <w:t xml:space="preserve">Kameliden</w:t>
                  </w:r>
                </w:p>
              </w:tc>
              <w:tc>
                <w:tcPr/>
                <w:p>
                  <w:pPr>
                    <w:pStyle w:val="Compact"/>
                    <w:jc w:val="left"/>
                    <w:jc w:val="center"/>
                  </w:pPr>
                  <w:r>
                    <w:t xml:space="preserve">Neuweltkameliden</w:t>
                  </w:r>
                </w:p>
              </w:tc>
            </w:tr>
            <w:tr>
              <w:tc>
                <w:tcPr/>
                <w:p>
                  <w:pPr>
                    <w:pStyle w:val="Compact"/>
                    <w:jc w:val="left"/>
                    <w:jc w:val="center"/>
                  </w:pPr>
                  <w:r>
                    <w:rPr>
                      <w:rStyle w:val="VerbatimChar"/>
                    </w:rPr>
                    <w:t xml:space="preserve">Cattle</w:t>
                  </w:r>
                </w:p>
              </w:tc>
              <w:tc>
                <w:tcPr/>
                <w:p>
                  <w:pPr>
                    <w:pStyle w:val="Compact"/>
                    <w:jc w:val="left"/>
                    <w:jc w:val="center"/>
                  </w:pPr>
                  <w:r>
                    <w:t xml:space="preserve">Rindvieh</w:t>
                  </w:r>
                </w:p>
              </w:tc>
              <w:tc>
                <w:tcPr/>
                <w:p>
                  <w:pPr>
                    <w:pStyle w:val="Compact"/>
                    <w:jc w:val="left"/>
                    <w:jc w:val="center"/>
                  </w:pPr>
                  <w:r>
                    <w:t xml:space="preserve">Tiere der Rindergattung (</w:t>
                  </w:r>
                  <w:r>
                    <w:rPr>
                      <w:i/>
                      <w:iCs/>
                    </w:rPr>
                    <w:t xml:space="preserve">Bos</w:t>
                  </w:r>
                  <w:r>
                    <w:t xml:space="preserve">) und Wasserbüffel (</w:t>
                  </w:r>
                  <w:r>
                    <w:rPr>
                      <w:i/>
                      <w:iCs/>
                    </w:rPr>
                    <w:t xml:space="preserve">Bubalus bubalis</w:t>
                  </w:r>
                  <w:r>
                    <w:t xml:space="preserve">)</w:t>
                  </w:r>
                </w:p>
              </w:tc>
            </w:tr>
            <w:tr>
              <w:tc>
                <w:tcPr/>
                <w:p>
                  <w:pPr>
                    <w:pStyle w:val="Compact"/>
                    <w:jc w:val="left"/>
                    <w:jc w:val="center"/>
                  </w:pPr>
                  <w:r>
                    <w:rPr>
                      <w:rStyle w:val="VerbatimChar"/>
                    </w:rPr>
                    <w:t xml:space="preserve">Equid</w:t>
                  </w:r>
                </w:p>
              </w:tc>
              <w:tc>
                <w:tcPr/>
                <w:p>
                  <w:pPr>
                    <w:pStyle w:val="Compact"/>
                    <w:jc w:val="left"/>
                    <w:jc w:val="center"/>
                  </w:pPr>
                  <w:r>
                    <w:t xml:space="preserve">Equiden</w:t>
                  </w:r>
                </w:p>
              </w:tc>
              <w:tc>
                <w:tcPr/>
                <w:p>
                  <w:pPr>
                    <w:pStyle w:val="Compact"/>
                    <w:jc w:val="left"/>
                    <w:jc w:val="center"/>
                  </w:pPr>
                  <w:r>
                    <w:t xml:space="preserve">Tiere der Pferdegattung (Pferd, Maultier, Maulesel, Esel)</w:t>
                  </w:r>
                </w:p>
              </w:tc>
            </w:tr>
            <w:tr>
              <w:tc>
                <w:tcPr/>
                <w:p>
                  <w:pPr>
                    <w:pStyle w:val="Compact"/>
                    <w:jc w:val="left"/>
                    <w:jc w:val="center"/>
                  </w:pPr>
                  <w:r>
                    <w:rPr>
                      <w:rStyle w:val="VerbatimChar"/>
                    </w:rPr>
                    <w:t xml:space="preserve">Game</w:t>
                  </w:r>
                </w:p>
              </w:tc>
              <w:tc>
                <w:tcPr/>
                <w:p>
                  <w:pPr>
                    <w:pStyle w:val="Compact"/>
                    <w:jc w:val="left"/>
                    <w:jc w:val="center"/>
                  </w:pPr>
                  <w:r>
                    <w:t xml:space="preserve">Wild</w:t>
                  </w:r>
                </w:p>
              </w:tc>
              <w:tc>
                <w:tcPr/>
                <w:p>
                  <w:pPr>
                    <w:pStyle w:val="Compact"/>
                    <w:jc w:val="left"/>
                    <w:jc w:val="center"/>
                  </w:pPr>
                  <w:r>
                    <w:t xml:space="preserve">Wild in Gehegen</w:t>
                  </w:r>
                </w:p>
              </w:tc>
            </w:tr>
            <w:tr>
              <w:tc>
                <w:tcPr/>
                <w:p>
                  <w:pPr>
                    <w:pStyle w:val="Compact"/>
                    <w:jc w:val="left"/>
                    <w:jc w:val="center"/>
                  </w:pPr>
                  <w:r>
                    <w:rPr>
                      <w:rStyle w:val="VerbatimChar"/>
                    </w:rPr>
                    <w:t xml:space="preserve">Goat</w:t>
                  </w:r>
                </w:p>
              </w:tc>
              <w:tc>
                <w:tcPr/>
                <w:p>
                  <w:pPr>
                    <w:pStyle w:val="Compact"/>
                    <w:jc w:val="left"/>
                    <w:jc w:val="center"/>
                  </w:pPr>
                  <w:r>
                    <w:t xml:space="preserve">Ziegen</w:t>
                  </w:r>
                </w:p>
              </w:tc>
              <w:tc>
                <w:tcPr/>
                <w:p>
                  <w:pPr>
                    <w:pStyle w:val="Compact"/>
                  </w:pPr>
                </w:p>
              </w:tc>
            </w:tr>
            <w:tr>
              <w:tc>
                <w:tcPr/>
                <w:p>
                  <w:pPr>
                    <w:pStyle w:val="Compact"/>
                    <w:jc w:val="left"/>
                    <w:jc w:val="center"/>
                  </w:pPr>
                  <w:r>
                    <w:rPr>
                      <w:rStyle w:val="VerbatimChar"/>
                    </w:rPr>
                    <w:t xml:space="preserve">Pig</w:t>
                  </w:r>
                </w:p>
              </w:tc>
              <w:tc>
                <w:tcPr/>
                <w:p>
                  <w:pPr>
                    <w:pStyle w:val="Compact"/>
                    <w:jc w:val="left"/>
                    <w:jc w:val="center"/>
                  </w:pPr>
                  <w:r>
                    <w:t xml:space="preserve">Schweine</w:t>
                  </w:r>
                </w:p>
              </w:tc>
              <w:tc>
                <w:tcPr/>
                <w:p>
                  <w:pPr>
                    <w:pStyle w:val="Compact"/>
                  </w:pPr>
                </w:p>
              </w:tc>
            </w:tr>
            <w:tr>
              <w:tc>
                <w:tcPr/>
                <w:p>
                  <w:pPr>
                    <w:pStyle w:val="Compact"/>
                    <w:jc w:val="left"/>
                    <w:jc w:val="center"/>
                  </w:pPr>
                  <w:r>
                    <w:rPr>
                      <w:rStyle w:val="VerbatimChar"/>
                    </w:rPr>
                    <w:t xml:space="preserve">Poultry</w:t>
                  </w:r>
                </w:p>
              </w:tc>
              <w:tc>
                <w:tcPr/>
                <w:p>
                  <w:pPr>
                    <w:pStyle w:val="Compact"/>
                    <w:jc w:val="left"/>
                    <w:jc w:val="center"/>
                  </w:pPr>
                  <w:r>
                    <w:t xml:space="preserve">Geflügel</w:t>
                  </w:r>
                </w:p>
              </w:tc>
              <w:tc>
                <w:tcPr/>
                <w:p>
                  <w:pPr>
                    <w:pStyle w:val="Compact"/>
                  </w:pPr>
                </w:p>
              </w:tc>
            </w:tr>
            <w:tr>
              <w:tc>
                <w:tcPr/>
                <w:p>
                  <w:pPr>
                    <w:pStyle w:val="Compact"/>
                    <w:jc w:val="left"/>
                    <w:jc w:val="center"/>
                  </w:pPr>
                  <w:r>
                    <w:rPr>
                      <w:rStyle w:val="VerbatimChar"/>
                    </w:rPr>
                    <w:t xml:space="preserve">Sheep</w:t>
                  </w:r>
                </w:p>
              </w:tc>
              <w:tc>
                <w:tcPr/>
                <w:p>
                  <w:pPr>
                    <w:pStyle w:val="Compact"/>
                    <w:jc w:val="left"/>
                    <w:jc w:val="center"/>
                  </w:pPr>
                  <w:r>
                    <w:t xml:space="preserve">Schafe</w:t>
                  </w:r>
                </w:p>
              </w:tc>
              <w:tc>
                <w:tcPr/>
                <w:p>
                  <w:pPr>
                    <w:pStyle w:val="Compact"/>
                  </w:pPr>
                </w:p>
              </w:tc>
            </w:tr>
          </w:tbl>
          <w:bookmarkEnd w:id="185"/>
          <w:p/>
        </w:tc>
      </w:tr>
    </w:tbl>
    <w:bookmarkEnd w:id="186"/>
    <w:bookmarkStart w:id="188" w:name="sec-codelist-healthstatustype"/>
    <w:p>
      <w:pPr>
        <w:pStyle w:val="berschrift2"/>
      </w:pPr>
      <w:r>
        <w:t xml:space="preserve">4.9 Type d’état sanitaire</w:t>
      </w:r>
    </w:p>
    <w:tbl>
      <w:tblPr>
        <w:tblStyle w:val="Table"/>
        <w:tblW w:type="pct" w:w="5000"/>
        <w:tblLayout w:type="fixed"/>
        <w:tblLook w:firstRow="0" w:lastRow="0" w:firstColumn="0" w:lastColumn="0" w:noHBand="0" w:noVBand="0" w:val="0000"/>
      </w:tblPr>
      <w:tblGrid>
        <w:gridCol w:w="7920"/>
      </w:tblGrid>
      <w:tr>
        <w:tc>
          <w:tcPr/>
          <w:bookmarkStart w:id="187" w:name="tbl-codelist-healthstatustype"/>
          <w:p>
            <w:pPr>
              <w:jc w:val="center"/>
            </w:pPr>
            <w:pPr>
              <w:jc w:val="left"/>
              <w:spacing w:before="200"/>
              <w:pStyle w:val="ImageCaption"/>
            </w:pPr>
            <w:r>
              <w:t xml:space="preserve">Table 10: Valeurs du domaine de valeurs Type d’état sanitaire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EpizooticStatus</w:t>
                  </w:r>
                </w:p>
              </w:tc>
              <w:tc>
                <w:tcPr/>
                <w:p>
                  <w:pPr>
                    <w:pStyle w:val="Compact"/>
                    <w:jc w:val="left"/>
                    <w:jc w:val="center"/>
                  </w:pPr>
                  <w:r>
                    <w:t xml:space="preserve">Statut épizootique</w:t>
                  </w:r>
                </w:p>
              </w:tc>
              <w:tc>
                <w:tcPr/>
                <w:p>
                  <w:pPr>
                    <w:pStyle w:val="Compact"/>
                  </w:pPr>
                </w:p>
              </w:tc>
            </w:tr>
            <w:tr>
              <w:tc>
                <w:tcPr/>
                <w:p>
                  <w:pPr>
                    <w:pStyle w:val="Compact"/>
                    <w:jc w:val="left"/>
                    <w:jc w:val="center"/>
                  </w:pPr>
                  <w:r>
                    <w:rPr>
                      <w:rStyle w:val="VerbatimChar"/>
                    </w:rPr>
                    <w:t xml:space="preserve">LaboratoryResult</w:t>
                  </w:r>
                </w:p>
              </w:tc>
              <w:tc>
                <w:tcPr/>
                <w:p>
                  <w:pPr>
                    <w:pStyle w:val="Compact"/>
                    <w:jc w:val="left"/>
                    <w:jc w:val="center"/>
                  </w:pPr>
                  <w:r>
                    <w:t xml:space="preserve">Résultat de laboratoire</w:t>
                  </w:r>
                </w:p>
              </w:tc>
              <w:tc>
                <w:tcPr/>
                <w:p>
                  <w:pPr>
                    <w:pStyle w:val="Compact"/>
                  </w:pPr>
                </w:p>
              </w:tc>
            </w:tr>
            <w:tr>
              <w:tc>
                <w:tcPr/>
                <w:p>
                  <w:pPr>
                    <w:pStyle w:val="Compact"/>
                    <w:jc w:val="left"/>
                    <w:jc w:val="center"/>
                  </w:pPr>
                  <w:r>
                    <w:rPr>
                      <w:rStyle w:val="VerbatimChar"/>
                    </w:rPr>
                    <w:t xml:space="preserve">RiskStatus</w:t>
                  </w:r>
                </w:p>
              </w:tc>
              <w:tc>
                <w:tcPr/>
                <w:p>
                  <w:pPr>
                    <w:pStyle w:val="Compact"/>
                    <w:jc w:val="left"/>
                    <w:jc w:val="center"/>
                  </w:pPr>
                  <w:r>
                    <w:t xml:space="preserve">Statut de risque</w:t>
                  </w:r>
                </w:p>
              </w:tc>
              <w:tc>
                <w:tcPr/>
                <w:p>
                  <w:pPr>
                    <w:pStyle w:val="Compact"/>
                  </w:pPr>
                </w:p>
              </w:tc>
            </w:tr>
            <w:tr>
              <w:tc>
                <w:tcPr/>
                <w:p>
                  <w:pPr>
                    <w:pStyle w:val="Compact"/>
                    <w:jc w:val="left"/>
                    <w:jc w:val="center"/>
                  </w:pPr>
                  <w:r>
                    <w:rPr>
                      <w:rStyle w:val="VerbatimChar"/>
                    </w:rPr>
                    <w:t xml:space="preserve">VaccinationStatus</w:t>
                  </w:r>
                </w:p>
              </w:tc>
              <w:tc>
                <w:tcPr/>
                <w:p>
                  <w:pPr>
                    <w:pStyle w:val="Compact"/>
                    <w:jc w:val="left"/>
                    <w:jc w:val="center"/>
                  </w:pPr>
                  <w:r>
                    <w:t xml:space="preserve">Statut vaccinal</w:t>
                  </w:r>
                </w:p>
              </w:tc>
              <w:tc>
                <w:tcPr/>
                <w:p>
                  <w:pPr>
                    <w:pStyle w:val="Compact"/>
                  </w:pPr>
                </w:p>
              </w:tc>
            </w:tr>
          </w:tbl>
          <w:bookmarkEnd w:id="187"/>
          <w:p/>
        </w:tc>
      </w:tr>
    </w:tbl>
    <w:bookmarkEnd w:id="188"/>
    <w:bookmarkStart w:id="190" w:name="sec-codelist-localunithealthstatus"/>
    <w:p>
      <w:pPr>
        <w:pStyle w:val="berschrift2"/>
      </w:pPr>
      <w:r>
        <w:t xml:space="preserve">4.10 État sanitaire de l’unité locale</w:t>
      </w:r>
    </w:p>
    <w:tbl>
      <w:tblPr>
        <w:tblStyle w:val="Table"/>
        <w:tblW w:type="pct" w:w="5000"/>
        <w:tblLayout w:type="fixed"/>
        <w:tblLook w:firstRow="0" w:lastRow="0" w:firstColumn="0" w:lastColumn="0" w:noHBand="0" w:noVBand="0" w:val="0000"/>
      </w:tblPr>
      <w:tblGrid>
        <w:gridCol w:w="7920"/>
      </w:tblGrid>
      <w:tr>
        <w:tc>
          <w:tcPr/>
          <w:bookmarkStart w:id="189" w:name="tbl-codelist-localunithealthstatus"/>
          <w:p>
            <w:pPr>
              <w:jc w:val="center"/>
            </w:pPr>
            <w:pPr>
              <w:jc w:val="left"/>
              <w:spacing w:before="200"/>
              <w:pStyle w:val="ImageCaption"/>
            </w:pPr>
            <w:r>
              <w:t xml:space="preserve">Table 11: Valeurs du domaine de valeurs État sanitaire de l’unité locale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Bloqué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Free</w:t>
                  </w:r>
                </w:p>
              </w:tc>
              <w:tc>
                <w:tcPr/>
                <w:p>
                  <w:pPr>
                    <w:pStyle w:val="Compact"/>
                    <w:jc w:val="left"/>
                    <w:jc w:val="center"/>
                  </w:pPr>
                  <w:r>
                    <w:t xml:space="preserve">Libre</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High</w:t>
                  </w:r>
                </w:p>
              </w:tc>
              <w:tc>
                <w:tcPr/>
                <w:p>
                  <w:pPr>
                    <w:pStyle w:val="Compact"/>
                    <w:jc w:val="left"/>
                    <w:jc w:val="center"/>
                  </w:pPr>
                  <w:r>
                    <w:t xml:space="preserve">Élevé</w:t>
                  </w:r>
                </w:p>
              </w:tc>
              <w:tc>
                <w:tcPr/>
                <w:p>
                  <w:pPr>
                    <w:pStyle w:val="Compact"/>
                    <w:jc w:val="left"/>
                    <w:jc w:val="center"/>
                  </w:pPr>
                  <w:r>
                    <w:t xml:space="preserve">Type : statut de risque</w:t>
                  </w:r>
                </w:p>
              </w:tc>
            </w:tr>
            <w:tr>
              <w:tc>
                <w:tcPr/>
                <w:p>
                  <w:pPr>
                    <w:pStyle w:val="Compact"/>
                    <w:jc w:val="left"/>
                    <w:jc w:val="center"/>
                  </w:pPr>
                  <w:r>
                    <w:rPr>
                      <w:rStyle w:val="VerbatimChar"/>
                    </w:rPr>
                    <w:t xml:space="preserve">Low</w:t>
                  </w:r>
                </w:p>
              </w:tc>
              <w:tc>
                <w:tcPr/>
                <w:p>
                  <w:pPr>
                    <w:pStyle w:val="Compact"/>
                    <w:jc w:val="left"/>
                    <w:jc w:val="center"/>
                  </w:pPr>
                  <w:r>
                    <w:t xml:space="preserve">Faible</w:t>
                  </w:r>
                </w:p>
              </w:tc>
              <w:tc>
                <w:tcPr/>
                <w:p>
                  <w:pPr>
                    <w:pStyle w:val="Compact"/>
                    <w:jc w:val="left"/>
                    <w:jc w:val="center"/>
                  </w:pPr>
                  <w:r>
                    <w:t xml:space="preserve">Type : statut de risque</w:t>
                  </w:r>
                </w:p>
              </w:tc>
            </w:tr>
            <w:tr>
              <w:tc>
                <w:tcPr/>
                <w:p>
                  <w:pPr>
                    <w:pStyle w:val="Compact"/>
                    <w:jc w:val="left"/>
                    <w:jc w:val="center"/>
                  </w:pPr>
                  <w:r>
                    <w:rPr>
                      <w:rStyle w:val="VerbatimChar"/>
                    </w:rPr>
                    <w:t xml:space="preserve">Medium</w:t>
                  </w:r>
                </w:p>
              </w:tc>
              <w:tc>
                <w:tcPr/>
                <w:p>
                  <w:pPr>
                    <w:pStyle w:val="Compact"/>
                    <w:jc w:val="left"/>
                    <w:jc w:val="center"/>
                  </w:pPr>
                  <w:r>
                    <w:t xml:space="preserve">Moyen</w:t>
                  </w:r>
                </w:p>
              </w:tc>
              <w:tc>
                <w:tcPr/>
                <w:p>
                  <w:pPr>
                    <w:pStyle w:val="Compact"/>
                    <w:jc w:val="left"/>
                    <w:jc w:val="center"/>
                  </w:pPr>
                  <w:r>
                    <w:t xml:space="preserve">Type : statut de risque</w:t>
                  </w:r>
                </w:p>
              </w:tc>
            </w:tr>
            <w:tr>
              <w:tc>
                <w:tcPr/>
                <w:p>
                  <w:pPr>
                    <w:pStyle w:val="Compact"/>
                    <w:jc w:val="left"/>
                    <w:jc w:val="center"/>
                  </w:pPr>
                  <w:r>
                    <w:rPr>
                      <w:rStyle w:val="VerbatimChar"/>
                    </w:rPr>
                    <w:t xml:space="preserve">Negative</w:t>
                  </w:r>
                </w:p>
              </w:tc>
              <w:tc>
                <w:tcPr/>
                <w:p>
                  <w:pPr>
                    <w:pStyle w:val="Compact"/>
                    <w:jc w:val="left"/>
                    <w:jc w:val="center"/>
                  </w:pPr>
                  <w:r>
                    <w:t xml:space="preserve">Négatif</w:t>
                  </w:r>
                </w:p>
              </w:tc>
              <w:tc>
                <w:tcPr/>
                <w:p>
                  <w:pPr>
                    <w:pStyle w:val="Compact"/>
                    <w:jc w:val="left"/>
                    <w:jc w:val="center"/>
                  </w:pPr>
                  <w:r>
                    <w:t xml:space="preserve">Type : résultat de laboratoire</w:t>
                  </w:r>
                </w:p>
              </w:tc>
            </w:tr>
            <w:tr>
              <w:tc>
                <w:tcPr/>
                <w:p>
                  <w:pPr>
                    <w:pStyle w:val="Compact"/>
                    <w:jc w:val="left"/>
                    <w:jc w:val="center"/>
                  </w:pPr>
                  <w:r>
                    <w:rPr>
                      <w:rStyle w:val="VerbatimChar"/>
                    </w:rPr>
                    <w:t xml:space="preserve">NotTested</w:t>
                  </w:r>
                </w:p>
              </w:tc>
              <w:tc>
                <w:tcPr/>
                <w:p>
                  <w:pPr>
                    <w:pStyle w:val="Compact"/>
                    <w:jc w:val="left"/>
                    <w:jc w:val="center"/>
                  </w:pPr>
                  <w:r>
                    <w:t xml:space="preserve">Non testé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Positive</w:t>
                  </w:r>
                </w:p>
              </w:tc>
              <w:tc>
                <w:tcPr/>
                <w:p>
                  <w:pPr>
                    <w:pStyle w:val="Compact"/>
                    <w:jc w:val="left"/>
                    <w:jc w:val="center"/>
                  </w:pPr>
                  <w:r>
                    <w:t xml:space="preserve">Positif</w:t>
                  </w:r>
                </w:p>
              </w:tc>
              <w:tc>
                <w:tcPr/>
                <w:p>
                  <w:pPr>
                    <w:pStyle w:val="Compact"/>
                    <w:jc w:val="left"/>
                    <w:jc w:val="center"/>
                  </w:pPr>
                  <w:r>
                    <w:t xml:space="preserve">Type : résultat de laboratoire</w:t>
                  </w:r>
                </w:p>
              </w:tc>
            </w:tr>
          </w:tbl>
          <w:bookmarkEnd w:id="189"/>
          <w:p/>
        </w:tc>
      </w:tr>
    </w:tbl>
    <w:bookmarkEnd w:id="190"/>
    <w:bookmarkStart w:id="192" w:name="sec-codelist-notificationtype"/>
    <w:p>
      <w:pPr>
        <w:pStyle w:val="berschrift2"/>
      </w:pPr>
      <w:r>
        <w:t xml:space="preserve">4.11 Type de mouvement</w:t>
      </w:r>
    </w:p>
    <w:tbl>
      <w:tblPr>
        <w:tblStyle w:val="Table"/>
        <w:tblW w:type="pct" w:w="5000"/>
        <w:tblLayout w:type="fixed"/>
        <w:tblLook w:firstRow="0" w:lastRow="0" w:firstColumn="0" w:lastColumn="0" w:noHBand="0" w:noVBand="0" w:val="0000"/>
      </w:tblPr>
      <w:tblGrid>
        <w:gridCol w:w="7920"/>
      </w:tblGrid>
      <w:tr>
        <w:tc>
          <w:tcPr/>
          <w:bookmarkStart w:id="191" w:name="tbl-codelist-notificationtype"/>
          <w:p>
            <w:pPr>
              <w:jc w:val="center"/>
            </w:pPr>
            <w:pPr>
              <w:jc w:val="left"/>
              <w:spacing w:before="200"/>
              <w:pStyle w:val="ImageCaption"/>
            </w:pPr>
            <w:r>
              <w:t xml:space="preserve">Table 12: Valeurs du domaine de valeurs Type de mouvement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Arrival</w:t>
                  </w:r>
                </w:p>
              </w:tc>
              <w:tc>
                <w:tcPr/>
                <w:p>
                  <w:pPr>
                    <w:pStyle w:val="Compact"/>
                    <w:jc w:val="left"/>
                    <w:jc w:val="center"/>
                  </w:pPr>
                  <w:r>
                    <w:t xml:space="preserve">Entrée</w:t>
                  </w:r>
                </w:p>
              </w:tc>
              <w:tc>
                <w:tcPr/>
                <w:p>
                  <w:pPr>
                    <w:pStyle w:val="Compact"/>
                    <w:jc w:val="left"/>
                    <w:jc w:val="center"/>
                  </w:pPr>
                  <w:r>
                    <w:t xml:space="preserve">Pas pour les équidés</w:t>
                  </w:r>
                </w:p>
              </w:tc>
            </w:tr>
            <w:tr>
              <w:tc>
                <w:tcPr/>
                <w:p>
                  <w:pPr>
                    <w:pStyle w:val="Compact"/>
                    <w:jc w:val="left"/>
                    <w:jc w:val="center"/>
                  </w:pPr>
                  <w:r>
                    <w:rPr>
                      <w:rStyle w:val="VerbatimChar"/>
                    </w:rPr>
                    <w:t xml:space="preserve">Birth</w:t>
                  </w:r>
                </w:p>
              </w:tc>
              <w:tc>
                <w:tcPr/>
                <w:p>
                  <w:pPr>
                    <w:pStyle w:val="Compact"/>
                    <w:jc w:val="left"/>
                    <w:jc w:val="center"/>
                  </w:pPr>
                  <w:r>
                    <w:t xml:space="preserve">Naissance</w:t>
                  </w:r>
                </w:p>
              </w:tc>
              <w:tc>
                <w:tcPr/>
                <w:p>
                  <w:pPr>
                    <w:pStyle w:val="Compact"/>
                  </w:pPr>
                </w:p>
              </w:tc>
            </w:tr>
            <w:tr>
              <w:tc>
                <w:tcPr/>
                <w:p>
                  <w:pPr>
                    <w:pStyle w:val="Compact"/>
                    <w:jc w:val="left"/>
                    <w:jc w:val="center"/>
                  </w:pPr>
                  <w:r>
                    <w:rPr>
                      <w:rStyle w:val="VerbatimChar"/>
                    </w:rPr>
                    <w:t xml:space="preserve">DayStay</w:t>
                  </w:r>
                </w:p>
              </w:tc>
              <w:tc>
                <w:tcPr/>
                <w:p>
                  <w:pPr>
                    <w:pStyle w:val="Compact"/>
                    <w:jc w:val="left"/>
                    <w:jc w:val="center"/>
                  </w:pPr>
                  <w:r>
                    <w:t xml:space="preserve">Séjour à la journée</w:t>
                  </w:r>
                </w:p>
              </w:tc>
              <w:tc>
                <w:tcPr/>
                <w:p>
                  <w:pPr>
                    <w:pStyle w:val="Compact"/>
                    <w:jc w:val="left"/>
                    <w:jc w:val="center"/>
                  </w:pPr>
                  <w:r>
                    <w:t xml:space="preserve">Pas pour les équidés</w:t>
                  </w:r>
                </w:p>
              </w:tc>
            </w:tr>
            <w:tr>
              <w:tc>
                <w:tcPr/>
                <w:p>
                  <w:pPr>
                    <w:pStyle w:val="Compact"/>
                    <w:jc w:val="left"/>
                    <w:jc w:val="center"/>
                  </w:pPr>
                  <w:r>
                    <w:rPr>
                      <w:rStyle w:val="VerbatimChar"/>
                    </w:rPr>
                    <w:t xml:space="preserve">DeathBirth</w:t>
                  </w:r>
                </w:p>
              </w:tc>
              <w:tc>
                <w:tcPr/>
                <w:p>
                  <w:pPr>
                    <w:pStyle w:val="Compact"/>
                    <w:jc w:val="left"/>
                    <w:jc w:val="center"/>
                  </w:pPr>
                  <w:r>
                    <w:t xml:space="preserve">Mortinaissance</w:t>
                  </w:r>
                </w:p>
              </w:tc>
              <w:tc>
                <w:tcPr/>
                <w:p>
                  <w:pPr>
                    <w:pStyle w:val="Compact"/>
                    <w:jc w:val="left"/>
                    <w:jc w:val="center"/>
                  </w:pPr>
                  <w:r>
                    <w:t xml:space="preserve">Pas pour les équidés</w:t>
                  </w:r>
                </w:p>
              </w:tc>
            </w:tr>
            <w:tr>
              <w:tc>
                <w:tcPr/>
                <w:p>
                  <w:pPr>
                    <w:pStyle w:val="Compact"/>
                    <w:jc w:val="left"/>
                    <w:jc w:val="center"/>
                  </w:pPr>
                  <w:r>
                    <w:rPr>
                      <w:rStyle w:val="VerbatimChar"/>
                    </w:rPr>
                    <w:t xml:space="preserve">Deceased</w:t>
                  </w:r>
                </w:p>
              </w:tc>
              <w:tc>
                <w:tcPr/>
                <w:p>
                  <w:pPr>
                    <w:pStyle w:val="Compact"/>
                    <w:jc w:val="left"/>
                    <w:jc w:val="center"/>
                  </w:pPr>
                  <w:r>
                    <w:t xml:space="preserve">Mort</w:t>
                  </w:r>
                </w:p>
              </w:tc>
              <w:tc>
                <w:tcPr/>
                <w:p>
                  <w:pPr>
                    <w:pStyle w:val="Compact"/>
                    <w:jc w:val="left"/>
                    <w:jc w:val="center"/>
                  </w:pPr>
                  <w:r>
                    <w:t xml:space="preserve">Pour les équidés : euthanasie</w:t>
                  </w:r>
                </w:p>
              </w:tc>
            </w:tr>
            <w:tr>
              <w:tc>
                <w:tcPr/>
                <w:p>
                  <w:pPr>
                    <w:pStyle w:val="Compact"/>
                    <w:jc w:val="left"/>
                    <w:jc w:val="center"/>
                  </w:pPr>
                  <w:r>
                    <w:rPr>
                      <w:rStyle w:val="VerbatimChar"/>
                    </w:rPr>
                    <w:t xml:space="preserve">Export</w:t>
                  </w:r>
                </w:p>
              </w:tc>
              <w:tc>
                <w:tcPr/>
                <w:p>
                  <w:pPr>
                    <w:pStyle w:val="Compact"/>
                    <w:jc w:val="left"/>
                    <w:jc w:val="center"/>
                  </w:pPr>
                  <w:r>
                    <w:t xml:space="preserve">Exportation</w:t>
                  </w:r>
                </w:p>
              </w:tc>
              <w:tc>
                <w:tcPr/>
                <w:p>
                  <w:pPr>
                    <w:pStyle w:val="Compact"/>
                    <w:jc w:val="left"/>
                    <w:jc w:val="center"/>
                  </w:pPr>
                  <w:r>
                    <w:t xml:space="preserve">Pour les équidés : cession de propriété à l’étranger</w:t>
                  </w:r>
                </w:p>
              </w:tc>
            </w:tr>
            <w:tr>
              <w:tc>
                <w:tcPr/>
                <w:p>
                  <w:pPr>
                    <w:pStyle w:val="Compact"/>
                    <w:jc w:val="left"/>
                    <w:jc w:val="center"/>
                  </w:pPr>
                  <w:r>
                    <w:rPr>
                      <w:rStyle w:val="VerbatimChar"/>
                    </w:rPr>
                    <w:t xml:space="preserve">FirstRegistration</w:t>
                  </w:r>
                </w:p>
              </w:tc>
              <w:tc>
                <w:tcPr/>
                <w:p>
                  <w:pPr>
                    <w:pStyle w:val="Compact"/>
                    <w:jc w:val="left"/>
                    <w:jc w:val="center"/>
                  </w:pPr>
                  <w:r>
                    <w:t xml:space="preserve">Premier enregistrement</w:t>
                  </w:r>
                </w:p>
              </w:tc>
              <w:tc>
                <w:tcPr/>
                <w:p>
                  <w:pPr>
                    <w:pStyle w:val="Compact"/>
                  </w:pPr>
                </w:p>
              </w:tc>
            </w:tr>
            <w:tr>
              <w:tc>
                <w:tcPr/>
                <w:p>
                  <w:pPr>
                    <w:pStyle w:val="Compact"/>
                    <w:jc w:val="left"/>
                    <w:jc w:val="center"/>
                  </w:pPr>
                  <w:r>
                    <w:rPr>
                      <w:rStyle w:val="VerbatimChar"/>
                    </w:rPr>
                    <w:t xml:space="preserve">Import</w:t>
                  </w:r>
                </w:p>
              </w:tc>
              <w:tc>
                <w:tcPr/>
                <w:p>
                  <w:pPr>
                    <w:pStyle w:val="Compact"/>
                    <w:jc w:val="left"/>
                    <w:jc w:val="center"/>
                  </w:pPr>
                  <w:r>
                    <w:t xml:space="preserve">Importation</w:t>
                  </w:r>
                </w:p>
              </w:tc>
              <w:tc>
                <w:tcPr/>
                <w:p>
                  <w:pPr>
                    <w:pStyle w:val="Compact"/>
                  </w:pPr>
                </w:p>
              </w:tc>
            </w:tr>
            <w:tr>
              <w:tc>
                <w:tcPr/>
                <w:p>
                  <w:pPr>
                    <w:pStyle w:val="Compact"/>
                    <w:jc w:val="left"/>
                    <w:jc w:val="center"/>
                  </w:pPr>
                  <w:r>
                    <w:rPr>
                      <w:rStyle w:val="VerbatimChar"/>
                    </w:rPr>
                    <w:t xml:space="preserve">ImportAfterExport</w:t>
                  </w:r>
                </w:p>
              </w:tc>
              <w:tc>
                <w:tcPr/>
                <w:p>
                  <w:pPr>
                    <w:pStyle w:val="Compact"/>
                    <w:jc w:val="left"/>
                    <w:jc w:val="center"/>
                  </w:pPr>
                  <w:r>
                    <w:t xml:space="preserve">Importation après exportation</w:t>
                  </w:r>
                </w:p>
              </w:tc>
              <w:tc>
                <w:tcPr/>
                <w:p>
                  <w:pPr>
                    <w:pStyle w:val="Compact"/>
                    <w:jc w:val="left"/>
                    <w:jc w:val="center"/>
                  </w:pPr>
                  <w:r>
                    <w:t xml:space="preserve">Pas pour les équidés</w:t>
                  </w:r>
                </w:p>
              </w:tc>
            </w:tr>
            <w:tr>
              <w:tc>
                <w:tcPr/>
                <w:p>
                  <w:pPr>
                    <w:pStyle w:val="Compact"/>
                    <w:jc w:val="left"/>
                    <w:jc w:val="center"/>
                  </w:pPr>
                  <w:r>
                    <w:rPr>
                      <w:rStyle w:val="VerbatimChar"/>
                    </w:rPr>
                    <w:t xml:space="preserve">Leaving</w:t>
                  </w:r>
                </w:p>
              </w:tc>
              <w:tc>
                <w:tcPr/>
                <w:p>
                  <w:pPr>
                    <w:pStyle w:val="Compact"/>
                    <w:jc w:val="left"/>
                    <w:jc w:val="center"/>
                  </w:pPr>
                  <w:r>
                    <w:t xml:space="preserve">Sortie</w:t>
                  </w:r>
                </w:p>
              </w:tc>
              <w:tc>
                <w:tcPr/>
                <w:p>
                  <w:pPr>
                    <w:pStyle w:val="Compact"/>
                    <w:jc w:val="left"/>
                    <w:jc w:val="center"/>
                  </w:pPr>
                  <w:r>
                    <w:t xml:space="preserve">Pas pour les équidés</w:t>
                  </w:r>
                </w:p>
              </w:tc>
            </w:tr>
            <w:tr>
              <w:tc>
                <w:tcPr/>
                <w:p>
                  <w:pPr>
                    <w:pStyle w:val="Compact"/>
                    <w:jc w:val="left"/>
                    <w:jc w:val="center"/>
                  </w:pPr>
                  <w:r>
                    <w:rPr>
                      <w:rStyle w:val="VerbatimChar"/>
                    </w:rPr>
                    <w:t xml:space="preserve">LocationChange</w:t>
                  </w:r>
                </w:p>
              </w:tc>
              <w:tc>
                <w:tcPr/>
                <w:p>
                  <w:pPr>
                    <w:pStyle w:val="Compact"/>
                    <w:jc w:val="left"/>
                    <w:jc w:val="center"/>
                  </w:pPr>
                  <w:r>
                    <w:t xml:space="preserve">Changement de lieu</w:t>
                  </w:r>
                </w:p>
              </w:tc>
              <w:tc>
                <w:tcPr/>
                <w:p>
                  <w:pPr>
                    <w:pStyle w:val="Compact"/>
                    <w:jc w:val="left"/>
                    <w:jc w:val="center"/>
                  </w:pPr>
                  <w:r>
                    <w:t xml:space="preserve">Uniquement pour les équidés</w:t>
                  </w:r>
                </w:p>
              </w:tc>
            </w:tr>
            <w:tr>
              <w:tc>
                <w:tcPr/>
                <w:p>
                  <w:pPr>
                    <w:pStyle w:val="Compact"/>
                    <w:jc w:val="left"/>
                    <w:jc w:val="center"/>
                  </w:pPr>
                  <w:r>
                    <w:rPr>
                      <w:rStyle w:val="VerbatimChar"/>
                    </w:rPr>
                    <w:t xml:space="preserve">OnFarmSlaughter</w:t>
                  </w:r>
                </w:p>
              </w:tc>
              <w:tc>
                <w:tcPr/>
                <w:p>
                  <w:pPr>
                    <w:pStyle w:val="Compact"/>
                    <w:jc w:val="left"/>
                    <w:jc w:val="center"/>
                  </w:pPr>
                  <w:r>
                    <w:t xml:space="preserve">Abattage à la ferme</w:t>
                  </w:r>
                </w:p>
              </w:tc>
              <w:tc>
                <w:tcPr/>
                <w:p>
                  <w:pPr>
                    <w:pStyle w:val="Compact"/>
                    <w:jc w:val="left"/>
                    <w:jc w:val="center"/>
                  </w:pPr>
                  <w:r>
                    <w:t xml:space="preserve">Pas pour les équidés</w:t>
                  </w:r>
                </w:p>
              </w:tc>
            </w:tr>
            <w:tr>
              <w:tc>
                <w:tcPr/>
                <w:p>
                  <w:pPr>
                    <w:pStyle w:val="Compact"/>
                    <w:jc w:val="left"/>
                    <w:jc w:val="center"/>
                  </w:pPr>
                  <w:r>
                    <w:rPr>
                      <w:rStyle w:val="VerbatimChar"/>
                    </w:rPr>
                    <w:t xml:space="preserve">Slaughter</w:t>
                  </w:r>
                </w:p>
              </w:tc>
              <w:tc>
                <w:tcPr/>
                <w:p>
                  <w:pPr>
                    <w:pStyle w:val="Compact"/>
                    <w:jc w:val="left"/>
                    <w:jc w:val="center"/>
                  </w:pPr>
                  <w:r>
                    <w:t xml:space="preserve">Abattage</w:t>
                  </w:r>
                </w:p>
              </w:tc>
              <w:tc>
                <w:tcPr/>
                <w:p>
                  <w:pPr>
                    <w:pStyle w:val="Compact"/>
                  </w:pPr>
                </w:p>
              </w:tc>
            </w:tr>
          </w:tbl>
          <w:bookmarkEnd w:id="191"/>
          <w:p/>
        </w:tc>
      </w:tr>
    </w:tbl>
    <w:bookmarkEnd w:id="192"/>
    <w:bookmarkEnd w:id="193"/>
    <w:bookmarkStart w:id="194"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94"/>
    <w:bookmarkStart w:id="195"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95"/>
    <w:bookmarkStart w:id="196"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96"/>
    <w:bookmarkStart w:id="200" w:name="sec-appendix-a"/>
    <w:p>
      <w:pPr>
        <w:pStyle w:val="berschrift1"/>
      </w:pPr>
      <w:r>
        <w:t xml:space="preserve">8. Annexe A - Références</w:t>
      </w:r>
    </w:p>
    <w:bookmarkStart w:id="199" w:name="refs"/>
    <w:bookmarkStart w:id="198"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97">
        <w:r>
          <w:rPr>
            <w:rStyle w:val="Hyperlink"/>
            <w:i/>
            <w:iCs/>
          </w:rPr>
          <w:t xml:space="preserve">RDF 1.1 Turtle – Terse RDF Triple Language</w:t>
        </w:r>
      </w:hyperlink>
      <w:r>
        <w:t xml:space="preserve"> </w:t>
      </w:r>
      <w:r>
        <w:t xml:space="preserve">(W3C Recommendation) : World Wide Web Consortium (W3C), 2014</w:t>
      </w:r>
    </w:p>
    <w:bookmarkEnd w:id="198"/>
    <w:bookmarkEnd w:id="199"/>
    <w:bookmarkEnd w:id="200"/>
    <w:bookmarkStart w:id="201" w:name="sec-appendix-b"/>
    <w:p>
      <w:pPr>
        <w:pStyle w:val="berschrift1"/>
      </w:pPr>
      <w:r>
        <w:t xml:space="preserve">9. Annexe B - Collaboration et Vérification</w:t>
      </w:r>
    </w:p>
    <w:bookmarkEnd w:id="201"/>
    <w:bookmarkStart w:id="203"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202" w:name="tbl-glossary"/>
          <w:p>
            <w:pPr>
              <w:jc w:val="center"/>
            </w:pPr>
            <w:pPr>
              <w:jc w:val="left"/>
              <w:spacing w:before="200"/>
              <w:pStyle w:val="ImageCaption"/>
            </w:pPr>
            <w:r>
              <w:t xml:space="preserve">Table 13: Glossaire de l’eCH-0309</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Exploitant</w:t>
                  </w:r>
                </w:p>
              </w:tc>
              <w:tc>
                <w:tcPr/>
                <w:p>
                  <w:pPr>
                    <w:pStyle w:val="Compact"/>
                    <w:jc w:val="left"/>
                    <w:jc w:val="center"/>
                  </w:pPr>
                  <w:r>
                    <w:t xml:space="preserve">Une unité juridique qui assume le risque économique d’une</w:t>
                  </w:r>
                  <w:r>
                    <w:t xml:space="preserve"> </w:t>
                  </w:r>
                  <w:r>
                    <w:t xml:space="preserve">exploitation (OTerm art. 2). Le détenteur d’animaux est une</w:t>
                  </w:r>
                  <w:r>
                    <w:t xml:space="preserve"> </w:t>
                  </w:r>
                  <w:r>
                    <w:t xml:space="preserve">forme d’exploitant qui détient des animaux (OTerm art. 11a).</w:t>
                  </w:r>
                </w:p>
              </w:tc>
            </w:tr>
            <w:tr>
              <w:tc>
                <w:tcPr/>
                <w:p>
                  <w:pPr>
                    <w:pStyle w:val="Compact"/>
                    <w:jc w:val="left"/>
                    <w:jc w:val="center"/>
                  </w:pPr>
                  <w:r>
                    <w:rPr>
                      <w:b/>
                      <w:bCs/>
                    </w:rPr>
                    <w:t xml:space="preserve">Exploitation de référence</w:t>
                  </w:r>
                </w:p>
              </w:tc>
              <w:tc>
                <w:tcPr/>
                <w:p>
                  <w:pPr>
                    <w:pStyle w:val="Compact"/>
                    <w:jc w:val="left"/>
                    <w:jc w:val="center"/>
                  </w:pPr>
                  <w:r>
                    <w:t xml:space="preserve">Pour les bovins, une exploitation de référence peut être</w:t>
                  </w:r>
                  <w:r>
                    <w:t xml:space="preserve"> </w:t>
                  </w:r>
                  <w:r>
                    <w:t xml:space="preserve">enregistrée afin de représenter l’appartenance des animaux à</w:t>
                  </w:r>
                  <w:r>
                    <w:t xml:space="preserve"> </w:t>
                  </w:r>
                  <w:r>
                    <w:t xml:space="preserve">une unité d’élevage lorsqu’un animal se trouve sur une autre</w:t>
                  </w:r>
                  <w:r>
                    <w:t xml:space="preserve"> </w:t>
                  </w:r>
                  <w:r>
                    <w:t xml:space="preserve">unité locale.</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Personne déclarante</w:t>
                  </w:r>
                </w:p>
              </w:tc>
              <w:tc>
                <w:tcPr/>
                <w:p>
                  <w:pPr>
                    <w:pStyle w:val="Compact"/>
                    <w:jc w:val="left"/>
                    <w:jc w:val="center"/>
                  </w:pPr>
                  <w:r>
                    <w:t xml:space="preserve">La personne ou les personnes qui effectuent les annonces pour</w:t>
                  </w:r>
                  <w:r>
                    <w:t xml:space="preserve"> </w:t>
                  </w:r>
                  <w:r>
                    <w:t xml:space="preserve">une unité d’élevage ou pour un propriétaire d’équidés.</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Unité d’élevage</w:t>
                  </w:r>
                </w:p>
              </w:tc>
              <w:tc>
                <w:tcPr/>
                <w:p>
                  <w:pPr>
                    <w:pStyle w:val="Compact"/>
                    <w:jc w:val="left"/>
                    <w:jc w:val="center"/>
                  </w:pPr>
                  <w:r>
                    <w:t xml:space="preserve">Dans la banque de données sur le trafic des animaux, les unités</w:t>
                  </w:r>
                  <w:r>
                    <w:t xml:space="preserve"> </w:t>
                  </w:r>
                  <w:r>
                    <w:t xml:space="preserve">locales sont appelées «unités d’élevage»; elles sont en outre</w:t>
                  </w:r>
                  <w:r>
                    <w:t xml:space="preserve"> </w:t>
                  </w:r>
                  <w:r>
                    <w:t xml:space="preserve">identifiées par leur numéro BDTA.</w:t>
                  </w:r>
                </w:p>
              </w:tc>
            </w:tr>
          </w:tbl>
          <w:bookmarkEnd w:id="202"/>
          <w:p/>
        </w:tc>
      </w:tr>
    </w:tbl>
    <w:bookmarkEnd w:id="203"/>
    <w:bookmarkStart w:id="204" w:name="sec-appendix-d"/>
    <w:p>
      <w:pPr>
        <w:pStyle w:val="berschrift1"/>
      </w:pPr>
      <w:r>
        <w:t xml:space="preserve">11. Annexe D - Modifications par rapport à la version précédente</w:t>
      </w:r>
    </w:p>
    <w:bookmarkEnd w:id="204"/>
    <w:bookmarkStart w:id="205" w:name="sec-appendix-e"/>
    <w:p>
      <w:pPr>
        <w:pStyle w:val="berschrift1"/>
      </w:pPr>
      <w:r>
        <w:t xml:space="preserve">12. Annexe E - Table des illustrations</w:t>
      </w:r>
    </w:p>
    <w:bookmarkEnd w:id="205"/>
    <w:bookmarkStart w:id="206" w:name="sec-appendix-f"/>
    <w:p>
      <w:pPr>
        <w:pStyle w:val="berschrift1"/>
      </w:pPr>
      <w:r>
        <w:t xml:space="preserve">13. Annexe F - Liste des tableaux</w:t>
      </w:r>
    </w:p>
    <w:bookmarkEnd w:id="206"/>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unotentext"/>
      </w:pPr>
      <w:r>
        <w:rPr>
          <w:rStyle w:val="FootnoteReference"/>
        </w:rPr>
        <w:footnoteRef/>
      </w:r>
      <w:r>
        <w:t xml:space="preserve"> </w:t>
      </w:r>
      <w:hyperlink r:id="rId29">
        <w:r>
          <w:rPr>
            <w:rStyle w:val="Hyperlink"/>
          </w:rPr>
          <w:t xml:space="preserve">https://www.news.admin.ch/de/nsb?id=57438</w:t>
        </w:r>
      </w:hyperlink>
    </w:p>
  </w:footnote>
  <w:footnote w:id="30">
    <w:p>
      <w:pPr>
        <w:pStyle w:val="Funotentext"/>
      </w:pPr>
      <w:r>
        <w:rPr>
          <w:rStyle w:val="FootnoteReference"/>
        </w:rPr>
        <w:footnoteRef/>
      </w:r>
      <w:r>
        <w:t xml:space="preserve"> </w:t>
      </w:r>
      <w:hyperlink r:id="rId31">
        <w:r>
          <w:rPr>
            <w:rStyle w:val="Hyperlink"/>
          </w:rPr>
          <w:t xml:space="preserve">https://www.fedlex.admin.ch/eli/cc/1966/1565_1621_1604/de</w:t>
        </w:r>
      </w:hyperlink>
    </w:p>
  </w:footnote>
  <w:footnote w:id="32">
    <w:p>
      <w:pPr>
        <w:pStyle w:val="Funotentext"/>
      </w:pPr>
      <w:r>
        <w:rPr>
          <w:rStyle w:val="FootnoteReference"/>
        </w:rPr>
        <w:footnoteRef/>
      </w:r>
      <w:r>
        <w:t xml:space="preserve"> </w:t>
      </w:r>
      <w:hyperlink r:id="rId33">
        <w:r>
          <w:rPr>
            <w:rStyle w:val="Hyperlink"/>
          </w:rPr>
          <w:t xml:space="preserve">https://www.fedlex.admin.ch/eli/cc/1995/3716_3716_3716/de</w:t>
        </w:r>
      </w:hyperlink>
    </w:p>
  </w:footnote>
  <w:footnote w:id="34">
    <w:p>
      <w:pPr>
        <w:pStyle w:val="Funotentext"/>
      </w:pPr>
      <w:r>
        <w:rPr>
          <w:rStyle w:val="FootnoteReference"/>
        </w:rPr>
        <w:footnoteRef/>
      </w:r>
      <w:r>
        <w:t xml:space="preserve"> </w:t>
      </w:r>
      <w:hyperlink r:id="rId35">
        <w:r>
          <w:rPr>
            <w:rStyle w:val="Hyperlink"/>
          </w:rPr>
          <w:t xml:space="preserve">https://eur-lex.europa.eu/DE/legal-content/summary/the-eu-animal-health-law.html</w:t>
        </w:r>
      </w:hyperlink>
    </w:p>
  </w:footnote>
  <w:footnote w:id="36">
    <w:p>
      <w:pPr>
        <w:pStyle w:val="Funotentext"/>
      </w:pPr>
      <w:r>
        <w:rPr>
          <w:rStyle w:val="FootnoteReference"/>
        </w:rPr>
        <w:footnoteRef/>
      </w:r>
      <w:r>
        <w:t xml:space="preserve"> </w:t>
      </w:r>
      <w:hyperlink r:id="rId37">
        <w:r>
          <w:rPr>
            <w:rStyle w:val="Hyperlink"/>
          </w:rPr>
          <w:t xml:space="preserve">https://fedlex.data.admin.ch/eli/cc/2011/775</w:t>
        </w:r>
      </w:hyperlink>
      <w:r>
        <w:t xml:space="preserve">, Version 1.1.2014, Seite 20</w:t>
      </w:r>
    </w:p>
  </w:footnote>
  <w:footnote w:id="38">
    <w:p>
      <w:pPr>
        <w:pStyle w:val="Funotentext"/>
      </w:pPr>
      <w:r>
        <w:rPr>
          <w:rStyle w:val="FootnoteReference"/>
        </w:rPr>
        <w:footnoteRef/>
      </w:r>
      <w:r>
        <w:t xml:space="preserve"> </w:t>
      </w:r>
      <w:hyperlink r:id="rId39">
        <w:r>
          <w:rPr>
            <w:rStyle w:val="Hyperlink"/>
          </w:rPr>
          <w:t xml:space="preserve">https://www.fedlex.admin.ch/eli/cc/2021/751/de#annex_1/lvl_u1/lvl_2</w:t>
        </w:r>
      </w:hyperlink>
    </w:p>
  </w:footnote>
  <w:footnote w:id="40">
    <w:p>
      <w:pPr>
        <w:pStyle w:val="Funotentext"/>
      </w:pPr>
      <w:r>
        <w:rPr>
          <w:rStyle w:val="FootnoteReference"/>
        </w:rPr>
        <w:footnoteRef/>
      </w:r>
      <w:r>
        <w:t xml:space="preserve"> </w:t>
      </w:r>
      <w:hyperlink r:id="rId41">
        <w:r>
          <w:rPr>
            <w:rStyle w:val="Hyperlink"/>
          </w:rPr>
          <w:t xml:space="preserve">https://www.fedlex.admin.ch/eli/cc/1966/1565_1621_1604/de#art_14</w:t>
        </w:r>
      </w:hyperlink>
      <w:r>
        <w:t xml:space="preserve">,</w:t>
      </w:r>
      <w:r>
        <w:t xml:space="preserve"> </w:t>
      </w:r>
      <w:hyperlink r:id="rId42">
        <w:r>
          <w:rPr>
            <w:rStyle w:val="Hyperlink"/>
          </w:rPr>
          <w:t xml:space="preserve">https://www.fedlex.admin.ch/eli/cc/1966/1565_1621_1604/de#art_15_a</w:t>
        </w:r>
      </w:hyperlink>
    </w:p>
  </w:footnote>
  <w:footnote w:id="43">
    <w:p>
      <w:pPr>
        <w:pStyle w:val="Funotentext"/>
      </w:pPr>
      <w:r>
        <w:rPr>
          <w:rStyle w:val="FootnoteReference"/>
        </w:rPr>
        <w:footnoteRef/>
      </w:r>
      <w:r>
        <w:t xml:space="preserve"> </w:t>
      </w:r>
      <w:hyperlink r:id="rId44">
        <w:r>
          <w:rPr>
            <w:rStyle w:val="Hyperlink"/>
          </w:rPr>
          <w:t xml:space="preserve">https://www.fedlex.admin.ch/eli/cc/1995/3716_3716_3716/de#art_14</w:t>
        </w:r>
      </w:hyperlink>
    </w:p>
  </w:footnote>
  <w:footnote w:id="45">
    <w:p>
      <w:pPr>
        <w:pStyle w:val="Funotentext"/>
      </w:pPr>
      <w:r>
        <w:rPr>
          <w:rStyle w:val="FootnoteReference"/>
        </w:rPr>
        <w:footnoteRef/>
      </w:r>
      <w:r>
        <w:t xml:space="preserve"> </w:t>
      </w:r>
      <w:hyperlink r:id="rId46">
        <w:r>
          <w:rPr>
            <w:rStyle w:val="Hyperlink"/>
          </w:rPr>
          <w:t xml:space="preserve">https://www.blw.admin.ch/blw/de/home/politik/datenmanagement/agate.html</w:t>
        </w:r>
      </w:hyperlink>
    </w:p>
  </w:footnote>
  <w:footnote w:id="47">
    <w:p>
      <w:pPr>
        <w:pStyle w:val="Funotentext"/>
      </w:pPr>
      <w:r>
        <w:rPr>
          <w:rStyle w:val="FootnoteReference"/>
        </w:rPr>
        <w:footnoteRef/>
      </w:r>
      <w:r>
        <w:t xml:space="preserve"> </w:t>
      </w:r>
      <w:hyperlink r:id="rId48">
        <w:r>
          <w:rPr>
            <w:rStyle w:val="Hyperlink"/>
          </w:rPr>
          <w:t xml:space="preserve">https://www.blw.admin.ch/blw/de/home/politik/datenmanagement/agate/agis.html</w:t>
        </w:r>
      </w:hyperlink>
    </w:p>
  </w:footnote>
  <w:footnote w:id="49">
    <w:p>
      <w:pPr>
        <w:pStyle w:val="Funotentext"/>
      </w:pPr>
      <w:r>
        <w:rPr>
          <w:rStyle w:val="FootnoteReference"/>
        </w:rPr>
        <w:footnoteRef/>
      </w:r>
      <w:r>
        <w:t xml:space="preserve"> </w:t>
      </w:r>
      <w:hyperlink r:id="rId50">
        <w:r>
          <w:rPr>
            <w:rStyle w:val="Hyperlink"/>
          </w:rPr>
          <w:t xml:space="preserve">https://www.fedlex.admin.ch/eli/cc/2021/751/de</w:t>
        </w:r>
      </w:hyperlink>
    </w:p>
  </w:footnote>
  <w:footnote w:id="51">
    <w:p>
      <w:pPr>
        <w:pStyle w:val="Funotentext"/>
      </w:pPr>
      <w:r>
        <w:rPr>
          <w:rStyle w:val="FootnoteReference"/>
        </w:rPr>
        <w:footnoteRef/>
      </w:r>
      <w:r>
        <w:t xml:space="preserve"> </w:t>
      </w:r>
      <w:hyperlink r:id="rId52">
        <w:r>
          <w:rPr>
            <w:rStyle w:val="Hyperlink"/>
          </w:rPr>
          <w:t xml:space="preserve">https://www.fedlex.admin.ch/eli/cc/1998/3033_3033_3033/de</w:t>
        </w:r>
      </w:hyperlink>
    </w:p>
  </w:footnote>
  <w:footnote w:id="53">
    <w:p>
      <w:pPr>
        <w:pStyle w:val="Funotentext"/>
      </w:pPr>
      <w:r>
        <w:rPr>
          <w:rStyle w:val="FootnoteReference"/>
        </w:rPr>
        <w:footnoteRef/>
      </w:r>
      <w:r>
        <w:t xml:space="preserve"> </w:t>
      </w:r>
      <w:hyperlink r:id="rId54">
        <w:r>
          <w:rPr>
            <w:rStyle w:val="Hyperlink"/>
          </w:rPr>
          <w:t xml:space="preserve">https://www.fedlex.admin.ch/eli/cc/2013/765/de#tit_2/chap_5/sec_7</w:t>
        </w:r>
      </w:hyperlink>
      <w:r>
        <w:t xml:space="preserve">,</w:t>
      </w:r>
      <w:r>
        <w:t xml:space="preserve"> </w:t>
      </w:r>
      <w:hyperlink r:id="rId55">
        <w:r>
          <w:rPr>
            <w:rStyle w:val="Hyperlink"/>
          </w:rPr>
          <w:t xml:space="preserve">https://www.fedlex.admin.ch/eli/cc/2013/765/de#tit_2/chap_5/sec_8</w:t>
        </w:r>
      </w:hyperlink>
      <w:r>
        <w:t xml:space="preserve">,</w:t>
      </w:r>
      <w:r>
        <w:t xml:space="preserve"> </w:t>
      </w:r>
      <w:hyperlink r:id="rId56">
        <w:r>
          <w:rPr>
            <w:rStyle w:val="Hyperlink"/>
          </w:rPr>
          <w:t xml:space="preserve">https://www.fedlex.admin.ch/eli/cc/2013/765/de#tit_2/chap_5/sec_9</w:t>
        </w:r>
      </w:hyperlink>
    </w:p>
  </w:footnote>
  <w:footnote w:id="57">
    <w:p>
      <w:pPr>
        <w:pStyle w:val="Funotentext"/>
      </w:pPr>
      <w:r>
        <w:rPr>
          <w:rStyle w:val="FootnoteReference"/>
        </w:rPr>
        <w:footnoteRef/>
      </w:r>
      <w:r>
        <w:t xml:space="preserve"> </w:t>
      </w:r>
      <w:hyperlink r:id="rId58">
        <w:r>
          <w:rPr>
            <w:rStyle w:val="Hyperlink"/>
          </w:rPr>
          <w:t xml:space="preserve">https://www.blw.admin.ch/de/agrarumweltmonitoring</w:t>
        </w:r>
      </w:hyperlink>
    </w:p>
  </w:footnote>
  <w:footnote w:id="59">
    <w:p>
      <w:pPr>
        <w:pStyle w:val="Funotentext"/>
      </w:pPr>
      <w:r>
        <w:rPr>
          <w:rStyle w:val="FootnoteReference"/>
        </w:rPr>
        <w:footnoteRef/>
      </w:r>
      <w:r>
        <w:t xml:space="preserve"> </w:t>
      </w:r>
      <w:hyperlink r:id="rId60">
        <w:r>
          <w:rPr>
            <w:rStyle w:val="Hyperlink"/>
          </w:rPr>
          <w:t xml:space="preserve">https://www.bfs.admin.ch/bfs/de/home/statistiken/land-forstwirtschaft/erhebungen/stru.html</w:t>
        </w:r>
      </w:hyperlink>
    </w:p>
  </w:footnote>
  <w:footnote w:id="61">
    <w:p>
      <w:pPr>
        <w:pStyle w:val="Funotentext"/>
      </w:pPr>
      <w:r>
        <w:rPr>
          <w:rStyle w:val="FootnoteReference"/>
        </w:rPr>
        <w:footnoteRef/>
      </w:r>
      <w:r>
        <w:t xml:space="preserve"> </w:t>
      </w:r>
      <w:hyperlink r:id="rId62">
        <w:r>
          <w:rPr>
            <w:rStyle w:val="Hyperlink"/>
          </w:rPr>
          <w:t xml:space="preserve">https://www.sbv-usp.ch/de/services/agristat-statistik-der-schweizer-landwirtschaft</w:t>
        </w:r>
      </w:hyperlink>
    </w:p>
  </w:footnote>
  <w:footnote w:id="63">
    <w:p>
      <w:pPr>
        <w:pStyle w:val="Funotentext"/>
      </w:pPr>
      <w:r>
        <w:rPr>
          <w:rStyle w:val="FootnoteReference"/>
        </w:rPr>
        <w:footnoteRef/>
      </w:r>
      <w:r>
        <w:t xml:space="preserve"> </w:t>
      </w:r>
      <w:hyperlink r:id="rId64">
        <w:r>
          <w:rPr>
            <w:rStyle w:val="Hyperlink"/>
          </w:rPr>
          <w:t xml:space="preserve">https://www.proviande.ch/de/herkunft</w:t>
        </w:r>
      </w:hyperlink>
      <w:r>
        <w:t xml:space="preserve">,</w:t>
      </w:r>
      <w:r>
        <w:t xml:space="preserve"> </w:t>
      </w:r>
      <w:hyperlink r:id="rId65">
        <w:r>
          <w:rPr>
            <w:rStyle w:val="Hyperlink"/>
          </w:rPr>
          <w:t xml:space="preserve">https://www.identitas.ch/produkte/labelbase</w:t>
        </w:r>
      </w:hyperlink>
    </w:p>
  </w:footnote>
  <w:footnote w:id="66">
    <w:p>
      <w:pPr>
        <w:pStyle w:val="Funotentext"/>
      </w:pPr>
      <w:r>
        <w:rPr>
          <w:rStyle w:val="FootnoteReference"/>
        </w:rPr>
        <w:footnoteRef/>
      </w:r>
      <w:r>
        <w:t xml:space="preserve"> </w:t>
      </w:r>
      <w:hyperlink r:id="rId67">
        <w:r>
          <w:rPr>
            <w:rStyle w:val="Hyperlink"/>
          </w:rPr>
          <w:t xml:space="preserve">https://tierstatistik.identitas.ch</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74" Target="media/rId74.png" /><Relationship Type="http://schemas.openxmlformats.org/officeDocument/2006/relationships/hyperlink" Id="rId97" Target="http://www.w3.org/2001/XMLSchema#boolean" TargetMode="External" /><Relationship Type="http://schemas.openxmlformats.org/officeDocument/2006/relationships/hyperlink" Id="rId90" Target="http://www.w3.org/2001/XMLSchema#date" TargetMode="External" /><Relationship Type="http://schemas.openxmlformats.org/officeDocument/2006/relationships/hyperlink" Id="rId125" Target="http://www.w3.org/2001/XMLSchema#integer" TargetMode="External" /><Relationship Type="http://schemas.openxmlformats.org/officeDocument/2006/relationships/hyperlink" Id="rId84" Target="http://www.w3.org/2001/XMLSchema#string" TargetMode="External" /><Relationship Type="http://schemas.openxmlformats.org/officeDocument/2006/relationships/hyperlink" Id="rId79" Target="https://agriculture.ld.admin.ch/eCH-0309/1/Animal" TargetMode="External" /><Relationship Type="http://schemas.openxmlformats.org/officeDocument/2006/relationships/hyperlink" Id="rId159" Target="https://agriculture.ld.admin.ch/eCH-0309/1/AnimalEpizooticStatus" TargetMode="External" /><Relationship Type="http://schemas.openxmlformats.org/officeDocument/2006/relationships/hyperlink" Id="rId154" Target="https://agriculture.ld.admin.ch/eCH-0309/1/AnimalHealthStatus" TargetMode="External" /><Relationship Type="http://schemas.openxmlformats.org/officeDocument/2006/relationships/hyperlink" Id="rId153" Target="https://agriculture.ld.admin.ch/eCH-0309/1/AnimalHealthStatusShape" TargetMode="External" /><Relationship Type="http://schemas.openxmlformats.org/officeDocument/2006/relationships/hyperlink" Id="rId93" Target="https://agriculture.ld.admin.ch/eCH-0309/1/AnimalHistoryState" TargetMode="External" /><Relationship Type="http://schemas.openxmlformats.org/officeDocument/2006/relationships/hyperlink" Id="rId103" Target="https://agriculture.ld.admin.ch/eCH-0309/1/AnimalKeeper" TargetMode="External" /><Relationship Type="http://schemas.openxmlformats.org/officeDocument/2006/relationships/hyperlink" Id="rId102" Target="https://agriculture.ld.admin.ch/eCH-0309/1/AnimalKeeperShape" TargetMode="External" /><Relationship Type="http://schemas.openxmlformats.org/officeDocument/2006/relationships/hyperlink" Id="rId108" Target="https://agriculture.ld.admin.ch/eCH-0309/1/AnimalNotification" TargetMode="External" /><Relationship Type="http://schemas.openxmlformats.org/officeDocument/2006/relationships/hyperlink" Id="rId107" Target="https://agriculture.ld.admin.ch/eCH-0309/1/AnimalNotificationShape" TargetMode="External" /><Relationship Type="http://schemas.openxmlformats.org/officeDocument/2006/relationships/hyperlink" Id="rId78" Target="https://agriculture.ld.admin.ch/eCH-0309/1/AnimalShape" TargetMode="External" /><Relationship Type="http://schemas.openxmlformats.org/officeDocument/2006/relationships/hyperlink" Id="rId95" Target="https://agriculture.ld.admin.ch/eCH-0309/1/AnimalTypeOfUse" TargetMode="External" /><Relationship Type="http://schemas.openxmlformats.org/officeDocument/2006/relationships/hyperlink" Id="rId142" Target="https://agriculture.ld.admin.ch/eCH-0309/1/Equid" TargetMode="External" /><Relationship Type="http://schemas.openxmlformats.org/officeDocument/2006/relationships/hyperlink" Id="rId148" Target="https://agriculture.ld.admin.ch/eCH-0309/1/EquidNotificationState" TargetMode="External" /><Relationship Type="http://schemas.openxmlformats.org/officeDocument/2006/relationships/hyperlink" Id="rId141" Target="https://agriculture.ld.admin.ch/eCH-0309/1/EquidShape" TargetMode="External" /><Relationship Type="http://schemas.openxmlformats.org/officeDocument/2006/relationships/hyperlink" Id="rId150" Target="https://agriculture.ld.admin.ch/eCH-0309/1/EquidTypeOfUsage" TargetMode="External" /><Relationship Type="http://schemas.openxmlformats.org/officeDocument/2006/relationships/hyperlink" Id="rId146" Target="https://agriculture.ld.admin.ch/eCH-0309/1/EquidWithersClass" TargetMode="External" /><Relationship Type="http://schemas.openxmlformats.org/officeDocument/2006/relationships/hyperlink" Id="rId88" Target="https://agriculture.ld.admin.ch/eCH-0309/1/Gender" TargetMode="External" /><Relationship Type="http://schemas.openxmlformats.org/officeDocument/2006/relationships/hyperlink" Id="rId86" Target="https://agriculture.ld.admin.ch/eCH-0309/1/Genus" TargetMode="External" /><Relationship Type="http://schemas.openxmlformats.org/officeDocument/2006/relationships/hyperlink" Id="rId121" Target="https://agriculture.ld.admin.ch/eCH-0309/1/GroupNotification" TargetMode="External" /><Relationship Type="http://schemas.openxmlformats.org/officeDocument/2006/relationships/hyperlink" Id="rId120" Target="https://agriculture.ld.admin.ch/eCH-0309/1/GroupNotificationShape" TargetMode="External" /><Relationship Type="http://schemas.openxmlformats.org/officeDocument/2006/relationships/hyperlink" Id="rId157" Target="https://agriculture.ld.admin.ch/eCH-0309/1/HealthStatusType" TargetMode="External" /><Relationship Type="http://schemas.openxmlformats.org/officeDocument/2006/relationships/hyperlink" Id="rId132" Target="https://agriculture.ld.admin.ch/eCH-0309/1/LegalUnit" TargetMode="External" /><Relationship Type="http://schemas.openxmlformats.org/officeDocument/2006/relationships/hyperlink" Id="rId131" Target="https://agriculture.ld.admin.ch/eCH-0309/1/LegalUnitShape" TargetMode="External" /><Relationship Type="http://schemas.openxmlformats.org/officeDocument/2006/relationships/hyperlink" Id="rId136" Target="https://agriculture.ld.admin.ch/eCH-0309/1/LocalUnit" TargetMode="External" /><Relationship Type="http://schemas.openxmlformats.org/officeDocument/2006/relationships/hyperlink" Id="rId166" Target="https://agriculture.ld.admin.ch/eCH-0309/1/LocalUnitEpizooticStatus" TargetMode="External" /><Relationship Type="http://schemas.openxmlformats.org/officeDocument/2006/relationships/hyperlink" Id="rId164" Target="https://agriculture.ld.admin.ch/eCH-0309/1/LocalUnitHealthStatus" TargetMode="External" /><Relationship Type="http://schemas.openxmlformats.org/officeDocument/2006/relationships/hyperlink" Id="rId163" Target="https://agriculture.ld.admin.ch/eCH-0309/1/LocalUnitHealthStatusShape" TargetMode="External" /><Relationship Type="http://schemas.openxmlformats.org/officeDocument/2006/relationships/hyperlink" Id="rId135" Target="https://agriculture.ld.admin.ch/eCH-0309/1/LocalUnitShape" TargetMode="External" /><Relationship Type="http://schemas.openxmlformats.org/officeDocument/2006/relationships/hyperlink" Id="rId115" Target="https://agriculture.ld.admin.ch/eCH-0309/1/NotificationType" TargetMode="External" /><Relationship Type="http://schemas.openxmlformats.org/officeDocument/2006/relationships/hyperlink" Id="rId127" Target="https://agriculture.ld.admin.ch/eCH-0309/1/age" TargetMode="External" /><Relationship Type="http://schemas.openxmlformats.org/officeDocument/2006/relationships/hyperlink" Id="rId110" Target="https://agriculture.ld.admin.ch/eCH-0309/1/animal" TargetMode="External" /><Relationship Type="http://schemas.openxmlformats.org/officeDocument/2006/relationships/hyperlink" Id="rId138" Target="https://agriculture.ld.admin.ch/eCH-0309/1/animalKeeper" TargetMode="External" /><Relationship Type="http://schemas.openxmlformats.org/officeDocument/2006/relationships/hyperlink" Id="rId96" Target="https://agriculture.ld.admin.ch/eCH-0309/1/castrated" TargetMode="External" /><Relationship Type="http://schemas.openxmlformats.org/officeDocument/2006/relationships/hyperlink" Id="rId124" Target="https://agriculture.ld.admin.ch/eCH-0309/1/count" TargetMode="External" /><Relationship Type="http://schemas.openxmlformats.org/officeDocument/2006/relationships/hyperlink" Id="rId89" Target="https://agriculture.ld.admin.ch/eCH-0309/1/dateOfBirth" TargetMode="External" /><Relationship Type="http://schemas.openxmlformats.org/officeDocument/2006/relationships/hyperlink" Id="rId91" Target="https://agriculture.ld.admin.ch/eCH-0309/1/dateOfDeath" TargetMode="External" /><Relationship Type="http://schemas.openxmlformats.org/officeDocument/2006/relationships/hyperlink" Id="rId158" Target="https://agriculture.ld.admin.ch/eCH-0309/1/epizooticStatus" TargetMode="External" /><Relationship Type="http://schemas.openxmlformats.org/officeDocument/2006/relationships/hyperlink" Id="rId116" Target="https://agriculture.ld.admin.ch/eCH-0309/1/eventDate" TargetMode="External" /><Relationship Type="http://schemas.openxmlformats.org/officeDocument/2006/relationships/hyperlink" Id="rId82" Target="https://agriculture.ld.admin.ch/eCH-0309/1/father" TargetMode="External" /><Relationship Type="http://schemas.openxmlformats.org/officeDocument/2006/relationships/hyperlink" Id="rId87" Target="https://agriculture.ld.admin.ch/eCH-0309/1/gender" TargetMode="External" /><Relationship Type="http://schemas.openxmlformats.org/officeDocument/2006/relationships/hyperlink" Id="rId85" Target="https://agriculture.ld.admin.ch/eCH-0309/1/genus" TargetMode="External" /><Relationship Type="http://schemas.openxmlformats.org/officeDocument/2006/relationships/hyperlink" Id="rId123" Target="https://agriculture.ld.admin.ch/eCH-0309/1/groupInformation" TargetMode="External" /><Relationship Type="http://schemas.openxmlformats.org/officeDocument/2006/relationships/hyperlink" Id="rId156" Target="https://agriculture.ld.admin.ch/eCH-0309/1/healthStatusType" TargetMode="External" /><Relationship Type="http://schemas.openxmlformats.org/officeDocument/2006/relationships/hyperlink" Id="rId92" Target="https://agriculture.ld.admin.ch/eCH-0309/1/historyState" TargetMode="External" /><Relationship Type="http://schemas.openxmlformats.org/officeDocument/2006/relationships/hyperlink" Id="rId113" Target="https://agriculture.ld.admin.ch/eCH-0309/1/id" TargetMode="External" /><Relationship Type="http://schemas.openxmlformats.org/officeDocument/2006/relationships/hyperlink" Id="rId83" Target="https://agriculture.ld.admin.ch/eCH-0309/1/identifier" TargetMode="External" /><Relationship Type="http://schemas.openxmlformats.org/officeDocument/2006/relationships/hyperlink" Id="rId111" Target="https://agriculture.ld.admin.ch/eCH-0309/1/localUnit" TargetMode="External" /><Relationship Type="http://schemas.openxmlformats.org/officeDocument/2006/relationships/hyperlink" Id="rId81" Target="https://agriculture.ld.admin.ch/eCH-0309/1/mother" TargetMode="External" /><Relationship Type="http://schemas.openxmlformats.org/officeDocument/2006/relationships/hyperlink" Id="rId117" Target="https://agriculture.ld.admin.ch/eCH-0309/1/notificationDate" TargetMode="External" /><Relationship Type="http://schemas.openxmlformats.org/officeDocument/2006/relationships/hyperlink" Id="rId147" Target="https://agriculture.ld.admin.ch/eCH-0309/1/notificationState" TargetMode="External" /><Relationship Type="http://schemas.openxmlformats.org/officeDocument/2006/relationships/hyperlink" Id="rId114" Target="https://agriculture.ld.admin.ch/eCH-0309/1/notificationType" TargetMode="External" /><Relationship Type="http://schemas.openxmlformats.org/officeDocument/2006/relationships/hyperlink" Id="rId112" Target="https://agriculture.ld.admin.ch/eCH-0309/1/originLocalUnit" TargetMode="External" /><Relationship Type="http://schemas.openxmlformats.org/officeDocument/2006/relationships/hyperlink" Id="rId144" Target="https://agriculture.ld.admin.ch/eCH-0309/1/owner" TargetMode="External" /><Relationship Type="http://schemas.openxmlformats.org/officeDocument/2006/relationships/hyperlink" Id="rId149" Target="https://agriculture.ld.admin.ch/eCH-0309/1/typeOfEquidUsage" TargetMode="External" /><Relationship Type="http://schemas.openxmlformats.org/officeDocument/2006/relationships/hyperlink" Id="rId94" Target="https://agriculture.ld.admin.ch/eCH-0309/1/typeOfUse" TargetMode="External" /><Relationship Type="http://schemas.openxmlformats.org/officeDocument/2006/relationships/hyperlink" Id="rId160" Target="https://agriculture.ld.admin.ch/eCH-0309/1/validFrom" TargetMode="External" /><Relationship Type="http://schemas.openxmlformats.org/officeDocument/2006/relationships/hyperlink" Id="rId126" Target="https://agriculture.ld.admin.ch/eCH-0309/1/weight" TargetMode="External" /><Relationship Type="http://schemas.openxmlformats.org/officeDocument/2006/relationships/hyperlink" Id="rId145" Target="https://agriculture.ld.admin.ch/eCH-0309/1/withersClass" TargetMode="External" /><Relationship Type="http://schemas.openxmlformats.org/officeDocument/2006/relationships/hyperlink" Id="rId130"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01"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170" Target="https://test-03-tvd-api-at.identitas.ch/open-api/v1.0"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08"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197"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07"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97" Target="http://www.w3.org/2001/XMLSchema#boolean" TargetMode="External" /><Relationship Type="http://schemas.openxmlformats.org/officeDocument/2006/relationships/hyperlink" Id="rId90" Target="http://www.w3.org/2001/XMLSchema#date" TargetMode="External" /><Relationship Type="http://schemas.openxmlformats.org/officeDocument/2006/relationships/hyperlink" Id="rId125" Target="http://www.w3.org/2001/XMLSchema#integer" TargetMode="External" /><Relationship Type="http://schemas.openxmlformats.org/officeDocument/2006/relationships/hyperlink" Id="rId84" Target="http://www.w3.org/2001/XMLSchema#string" TargetMode="External" /><Relationship Type="http://schemas.openxmlformats.org/officeDocument/2006/relationships/hyperlink" Id="rId79" Target="https://agriculture.ld.admin.ch/eCH-0309/1/Animal" TargetMode="External" /><Relationship Type="http://schemas.openxmlformats.org/officeDocument/2006/relationships/hyperlink" Id="rId159" Target="https://agriculture.ld.admin.ch/eCH-0309/1/AnimalEpizooticStatus" TargetMode="External" /><Relationship Type="http://schemas.openxmlformats.org/officeDocument/2006/relationships/hyperlink" Id="rId154" Target="https://agriculture.ld.admin.ch/eCH-0309/1/AnimalHealthStatus" TargetMode="External" /><Relationship Type="http://schemas.openxmlformats.org/officeDocument/2006/relationships/hyperlink" Id="rId153" Target="https://agriculture.ld.admin.ch/eCH-0309/1/AnimalHealthStatusShape" TargetMode="External" /><Relationship Type="http://schemas.openxmlformats.org/officeDocument/2006/relationships/hyperlink" Id="rId93" Target="https://agriculture.ld.admin.ch/eCH-0309/1/AnimalHistoryState" TargetMode="External" /><Relationship Type="http://schemas.openxmlformats.org/officeDocument/2006/relationships/hyperlink" Id="rId103" Target="https://agriculture.ld.admin.ch/eCH-0309/1/AnimalKeeper" TargetMode="External" /><Relationship Type="http://schemas.openxmlformats.org/officeDocument/2006/relationships/hyperlink" Id="rId102" Target="https://agriculture.ld.admin.ch/eCH-0309/1/AnimalKeeperShape" TargetMode="External" /><Relationship Type="http://schemas.openxmlformats.org/officeDocument/2006/relationships/hyperlink" Id="rId108" Target="https://agriculture.ld.admin.ch/eCH-0309/1/AnimalNotification" TargetMode="External" /><Relationship Type="http://schemas.openxmlformats.org/officeDocument/2006/relationships/hyperlink" Id="rId107" Target="https://agriculture.ld.admin.ch/eCH-0309/1/AnimalNotificationShape" TargetMode="External" /><Relationship Type="http://schemas.openxmlformats.org/officeDocument/2006/relationships/hyperlink" Id="rId78" Target="https://agriculture.ld.admin.ch/eCH-0309/1/AnimalShape" TargetMode="External" /><Relationship Type="http://schemas.openxmlformats.org/officeDocument/2006/relationships/hyperlink" Id="rId95" Target="https://agriculture.ld.admin.ch/eCH-0309/1/AnimalTypeOfUse" TargetMode="External" /><Relationship Type="http://schemas.openxmlformats.org/officeDocument/2006/relationships/hyperlink" Id="rId142" Target="https://agriculture.ld.admin.ch/eCH-0309/1/Equid" TargetMode="External" /><Relationship Type="http://schemas.openxmlformats.org/officeDocument/2006/relationships/hyperlink" Id="rId148" Target="https://agriculture.ld.admin.ch/eCH-0309/1/EquidNotificationState" TargetMode="External" /><Relationship Type="http://schemas.openxmlformats.org/officeDocument/2006/relationships/hyperlink" Id="rId141" Target="https://agriculture.ld.admin.ch/eCH-0309/1/EquidShape" TargetMode="External" /><Relationship Type="http://schemas.openxmlformats.org/officeDocument/2006/relationships/hyperlink" Id="rId150" Target="https://agriculture.ld.admin.ch/eCH-0309/1/EquidTypeOfUsage" TargetMode="External" /><Relationship Type="http://schemas.openxmlformats.org/officeDocument/2006/relationships/hyperlink" Id="rId146" Target="https://agriculture.ld.admin.ch/eCH-0309/1/EquidWithersClass" TargetMode="External" /><Relationship Type="http://schemas.openxmlformats.org/officeDocument/2006/relationships/hyperlink" Id="rId88" Target="https://agriculture.ld.admin.ch/eCH-0309/1/Gender" TargetMode="External" /><Relationship Type="http://schemas.openxmlformats.org/officeDocument/2006/relationships/hyperlink" Id="rId86" Target="https://agriculture.ld.admin.ch/eCH-0309/1/Genus" TargetMode="External" /><Relationship Type="http://schemas.openxmlformats.org/officeDocument/2006/relationships/hyperlink" Id="rId121" Target="https://agriculture.ld.admin.ch/eCH-0309/1/GroupNotification" TargetMode="External" /><Relationship Type="http://schemas.openxmlformats.org/officeDocument/2006/relationships/hyperlink" Id="rId120" Target="https://agriculture.ld.admin.ch/eCH-0309/1/GroupNotificationShape" TargetMode="External" /><Relationship Type="http://schemas.openxmlformats.org/officeDocument/2006/relationships/hyperlink" Id="rId157" Target="https://agriculture.ld.admin.ch/eCH-0309/1/HealthStatusType" TargetMode="External" /><Relationship Type="http://schemas.openxmlformats.org/officeDocument/2006/relationships/hyperlink" Id="rId132" Target="https://agriculture.ld.admin.ch/eCH-0309/1/LegalUnit" TargetMode="External" /><Relationship Type="http://schemas.openxmlformats.org/officeDocument/2006/relationships/hyperlink" Id="rId131" Target="https://agriculture.ld.admin.ch/eCH-0309/1/LegalUnitShape" TargetMode="External" /><Relationship Type="http://schemas.openxmlformats.org/officeDocument/2006/relationships/hyperlink" Id="rId136" Target="https://agriculture.ld.admin.ch/eCH-0309/1/LocalUnit" TargetMode="External" /><Relationship Type="http://schemas.openxmlformats.org/officeDocument/2006/relationships/hyperlink" Id="rId166" Target="https://agriculture.ld.admin.ch/eCH-0309/1/LocalUnitEpizooticStatus" TargetMode="External" /><Relationship Type="http://schemas.openxmlformats.org/officeDocument/2006/relationships/hyperlink" Id="rId164" Target="https://agriculture.ld.admin.ch/eCH-0309/1/LocalUnitHealthStatus" TargetMode="External" /><Relationship Type="http://schemas.openxmlformats.org/officeDocument/2006/relationships/hyperlink" Id="rId163" Target="https://agriculture.ld.admin.ch/eCH-0309/1/LocalUnitHealthStatusShape" TargetMode="External" /><Relationship Type="http://schemas.openxmlformats.org/officeDocument/2006/relationships/hyperlink" Id="rId135" Target="https://agriculture.ld.admin.ch/eCH-0309/1/LocalUnitShape" TargetMode="External" /><Relationship Type="http://schemas.openxmlformats.org/officeDocument/2006/relationships/hyperlink" Id="rId115" Target="https://agriculture.ld.admin.ch/eCH-0309/1/NotificationType" TargetMode="External" /><Relationship Type="http://schemas.openxmlformats.org/officeDocument/2006/relationships/hyperlink" Id="rId127" Target="https://agriculture.ld.admin.ch/eCH-0309/1/age" TargetMode="External" /><Relationship Type="http://schemas.openxmlformats.org/officeDocument/2006/relationships/hyperlink" Id="rId110" Target="https://agriculture.ld.admin.ch/eCH-0309/1/animal" TargetMode="External" /><Relationship Type="http://schemas.openxmlformats.org/officeDocument/2006/relationships/hyperlink" Id="rId138" Target="https://agriculture.ld.admin.ch/eCH-0309/1/animalKeeper" TargetMode="External" /><Relationship Type="http://schemas.openxmlformats.org/officeDocument/2006/relationships/hyperlink" Id="rId96" Target="https://agriculture.ld.admin.ch/eCH-0309/1/castrated" TargetMode="External" /><Relationship Type="http://schemas.openxmlformats.org/officeDocument/2006/relationships/hyperlink" Id="rId124" Target="https://agriculture.ld.admin.ch/eCH-0309/1/count" TargetMode="External" /><Relationship Type="http://schemas.openxmlformats.org/officeDocument/2006/relationships/hyperlink" Id="rId89" Target="https://agriculture.ld.admin.ch/eCH-0309/1/dateOfBirth" TargetMode="External" /><Relationship Type="http://schemas.openxmlformats.org/officeDocument/2006/relationships/hyperlink" Id="rId91" Target="https://agriculture.ld.admin.ch/eCH-0309/1/dateOfDeath" TargetMode="External" /><Relationship Type="http://schemas.openxmlformats.org/officeDocument/2006/relationships/hyperlink" Id="rId158" Target="https://agriculture.ld.admin.ch/eCH-0309/1/epizooticStatus" TargetMode="External" /><Relationship Type="http://schemas.openxmlformats.org/officeDocument/2006/relationships/hyperlink" Id="rId116" Target="https://agriculture.ld.admin.ch/eCH-0309/1/eventDate" TargetMode="External" /><Relationship Type="http://schemas.openxmlformats.org/officeDocument/2006/relationships/hyperlink" Id="rId82" Target="https://agriculture.ld.admin.ch/eCH-0309/1/father" TargetMode="External" /><Relationship Type="http://schemas.openxmlformats.org/officeDocument/2006/relationships/hyperlink" Id="rId87" Target="https://agriculture.ld.admin.ch/eCH-0309/1/gender" TargetMode="External" /><Relationship Type="http://schemas.openxmlformats.org/officeDocument/2006/relationships/hyperlink" Id="rId85" Target="https://agriculture.ld.admin.ch/eCH-0309/1/genus" TargetMode="External" /><Relationship Type="http://schemas.openxmlformats.org/officeDocument/2006/relationships/hyperlink" Id="rId123" Target="https://agriculture.ld.admin.ch/eCH-0309/1/groupInformation" TargetMode="External" /><Relationship Type="http://schemas.openxmlformats.org/officeDocument/2006/relationships/hyperlink" Id="rId156" Target="https://agriculture.ld.admin.ch/eCH-0309/1/healthStatusType" TargetMode="External" /><Relationship Type="http://schemas.openxmlformats.org/officeDocument/2006/relationships/hyperlink" Id="rId92" Target="https://agriculture.ld.admin.ch/eCH-0309/1/historyState" TargetMode="External" /><Relationship Type="http://schemas.openxmlformats.org/officeDocument/2006/relationships/hyperlink" Id="rId113" Target="https://agriculture.ld.admin.ch/eCH-0309/1/id" TargetMode="External" /><Relationship Type="http://schemas.openxmlformats.org/officeDocument/2006/relationships/hyperlink" Id="rId83" Target="https://agriculture.ld.admin.ch/eCH-0309/1/identifier" TargetMode="External" /><Relationship Type="http://schemas.openxmlformats.org/officeDocument/2006/relationships/hyperlink" Id="rId111" Target="https://agriculture.ld.admin.ch/eCH-0309/1/localUnit" TargetMode="External" /><Relationship Type="http://schemas.openxmlformats.org/officeDocument/2006/relationships/hyperlink" Id="rId81" Target="https://agriculture.ld.admin.ch/eCH-0309/1/mother" TargetMode="External" /><Relationship Type="http://schemas.openxmlformats.org/officeDocument/2006/relationships/hyperlink" Id="rId117" Target="https://agriculture.ld.admin.ch/eCH-0309/1/notificationDate" TargetMode="External" /><Relationship Type="http://schemas.openxmlformats.org/officeDocument/2006/relationships/hyperlink" Id="rId147" Target="https://agriculture.ld.admin.ch/eCH-0309/1/notificationState" TargetMode="External" /><Relationship Type="http://schemas.openxmlformats.org/officeDocument/2006/relationships/hyperlink" Id="rId114" Target="https://agriculture.ld.admin.ch/eCH-0309/1/notificationType" TargetMode="External" /><Relationship Type="http://schemas.openxmlformats.org/officeDocument/2006/relationships/hyperlink" Id="rId112" Target="https://agriculture.ld.admin.ch/eCH-0309/1/originLocalUnit" TargetMode="External" /><Relationship Type="http://schemas.openxmlformats.org/officeDocument/2006/relationships/hyperlink" Id="rId144" Target="https://agriculture.ld.admin.ch/eCH-0309/1/owner" TargetMode="External" /><Relationship Type="http://schemas.openxmlformats.org/officeDocument/2006/relationships/hyperlink" Id="rId149" Target="https://agriculture.ld.admin.ch/eCH-0309/1/typeOfEquidUsage" TargetMode="External" /><Relationship Type="http://schemas.openxmlformats.org/officeDocument/2006/relationships/hyperlink" Id="rId94" Target="https://agriculture.ld.admin.ch/eCH-0309/1/typeOfUse" TargetMode="External" /><Relationship Type="http://schemas.openxmlformats.org/officeDocument/2006/relationships/hyperlink" Id="rId160" Target="https://agriculture.ld.admin.ch/eCH-0309/1/validFrom" TargetMode="External" /><Relationship Type="http://schemas.openxmlformats.org/officeDocument/2006/relationships/hyperlink" Id="rId126" Target="https://agriculture.ld.admin.ch/eCH-0309/1/weight" TargetMode="External" /><Relationship Type="http://schemas.openxmlformats.org/officeDocument/2006/relationships/hyperlink" Id="rId145" Target="https://agriculture.ld.admin.ch/eCH-0309/1/withersClass" TargetMode="External" /><Relationship Type="http://schemas.openxmlformats.org/officeDocument/2006/relationships/hyperlink" Id="rId130"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01"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170" Target="https://test-03-tvd-api-at.identitas.ch/open-api/v1.0"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08"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197"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07"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auxiliaire : données sur le trafic des animaux</dc:title>
  <dc:creator/>
  <dc:language>fr</dc:language>
  <cp:keywords/>
  <dcterms:created xsi:type="dcterms:W3CDTF">2026-10-19T15:15:49Z</dcterms:created>
  <dcterms:modified xsi:type="dcterms:W3CDTF">2026-10-19T15:15:49Z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 présent document décrit sémantiquement les données de la banque de données sur le trafic des animaux (BDTA), afin de permettre également aux spécialistes sans connaissances informatiques approfondies de mieux comprendre ces données.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19 octobre 2026</vt:lpwstr>
  </property>
  <property fmtid="{D5CDD505-2E9C-101B-9397-08002B2CF9AE}" pid="7" name="date-format">
    <vt:lpwstr>long</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