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4.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sec-introduction"/>
    <w:p>
      <w:pPr>
        <w:pStyle w:val="berschrift1"/>
      </w:pPr>
      <w:r>
        <w:t xml:space="preserve">1. Einleitung</w:t>
      </w:r>
    </w:p>
    <w:bookmarkStart w:id="24" w:name="sec-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sec-example-subheading"/>
    <w:p>
      <w:pPr>
        <w:pStyle w:val="berschrift2"/>
      </w:pPr>
      <w:r>
        <w:t xml:space="preserve">1.3 Wir können Untertitel haben</w:t>
      </w:r>
    </w:p>
    <w:p>
      <w:pPr>
        <w:pStyle w:val="FirstParagraph"/>
      </w:pPr>
      <w:r>
        <w:t xml:space="preserve">Und etwas Text schreiben.</w:t>
      </w:r>
    </w:p>
    <w:bookmarkStart w:id="30"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sec-technical-notes"/>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sec-data-mode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sec-appendix-a"/>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Anhang B - Mitwirkung und Prüfung</w:t>
      </w:r>
    </w:p>
    <w:bookmarkEnd w:id="61"/>
    <w:bookmarkStart w:id="66" w:name="sec-appendix-c"/>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Tabelle 8: Glossar des Standards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c>
                <w:tcPr/>
                <w:p>
                  <w:pPr>
                    <w:pStyle w:val="Compact"/>
                    <w:jc w:val="left"/>
                    <w:jc w:val="center"/>
                  </w:pPr>
                  <w:r>
                    <w:t xml:space="preserve">Beziehungen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 der als Triple Store fungiert.</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 Modellierung von Datenstrukturen im Web. Informationen werden nicht in klassischen Tabellen, sondern als vernetzte Graphen abgebildet.</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Tripel</w:t>
                  </w:r>
                </w:p>
              </w:tc>
              <w:tc>
                <w:tcPr/>
                <w:p>
                  <w:pPr>
                    <w:pStyle w:val="Compact"/>
                    <w:jc w:val="left"/>
                    <w:jc w:val="center"/>
                  </w:pPr>
                  <w:r>
                    <w:t xml:space="preserve">Die Grundstruktur einer Aussage in RDF, bestehend aus Subjekt, Prädikat und Objekt.</w:t>
                  </w:r>
                </w:p>
              </w:tc>
              <w:tc>
                <w:tcPr/>
                <w:p>
                  <w:pPr>
                    <w:pStyle w:val="Compact"/>
                    <w:jc w:val="left"/>
                    <w:jc w:val="center"/>
                  </w:pPr>
                  <w:r>
                    <w:rPr>
                      <w:i/>
                      <w:iCs/>
                    </w:rPr>
                    <w:t xml:space="preserve">Oberbegriff</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Anhang D - Änderungen gegenüber der Vorversion</w:t>
      </w:r>
    </w:p>
    <w:bookmarkEnd w:id="67"/>
    <w:bookmarkStart w:id="68" w:name="sec-appendix-e"/>
    <w:p>
      <w:pPr>
        <w:pStyle w:val="berschrift1"/>
      </w:pPr>
      <w:r>
        <w:t xml:space="preserve">12. Anhang E - Abbildungsverzeichnis</w:t>
      </w:r>
    </w:p>
    <w:bookmarkEnd w:id="68"/>
    <w:bookmarkStart w:id="69" w:name="sec-appendix-f"/>
    <w:p>
      <w:pPr>
        <w:pStyle w:val="berschrift1"/>
      </w:pPr>
      <w:r>
        <w:t xml:space="preserve">13. Anhang F - Tabellenverzeichnis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2026-09-04T13:27:56Z</dcterms:created>
  <dcterms:modified xsi:type="dcterms:W3CDTF">2026-09-04T13:27:56Z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