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4.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sec-introduction"/>
    <w:p>
      <w:pPr>
        <w:pStyle w:val="berschrift1"/>
      </w:pPr>
      <w:r>
        <w:t xml:space="preserve">1. Einleitung</w:t>
      </w:r>
    </w:p>
    <w:bookmarkStart w:id="24" w:name="sec-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sec-example-subheading"/>
    <w:p>
      <w:pPr>
        <w:pStyle w:val="berschrift2"/>
      </w:pPr>
      <w:r>
        <w:t xml:space="preserve">1.3 Wir können Untertitel haben</w:t>
      </w:r>
    </w:p>
    <w:p>
      <w:pPr>
        <w:pStyle w:val="FirstParagraph"/>
      </w:pPr>
      <w:r>
        <w:t xml:space="preserve">Und etwas Text schreiben.</w:t>
      </w:r>
    </w:p>
    <w:bookmarkStart w:id="30"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sec-technical-notes"/>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sec-data-mode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sec-appendix-a"/>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Anhang B - Mitwirkung und Prüfung</w:t>
      </w:r>
    </w:p>
    <w:bookmarkEnd w:id="61"/>
    <w:bookmarkStart w:id="66"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Anhang D - Änderungen gegenüber der Vorversion</w:t>
      </w:r>
    </w:p>
    <w:bookmarkEnd w:id="67"/>
    <w:bookmarkStart w:id="68" w:name="sec-appendix-e"/>
    <w:p>
      <w:pPr>
        <w:pStyle w:val="berschrift1"/>
      </w:pPr>
      <w:r>
        <w:t xml:space="preserve">12. Anhang E - Abbildungsverzeichnis</w:t>
      </w:r>
    </w:p>
    <w:bookmarkEnd w:id="68"/>
    <w:bookmarkStart w:id="69" w:name="sec-appendix-f"/>
    <w:p>
      <w:pPr>
        <w:pStyle w:val="berschrift1"/>
      </w:pPr>
      <w:r>
        <w:t xml:space="preserve">13. Anhang F - Tabellenverzeichnis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2026-09-04T16:11:35Z</dcterms:created>
  <dcterms:modified xsi:type="dcterms:W3CDTF">2026-09-04T16:11:35Z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