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Modèle de document Quarto eCH-1234</w:t>
      </w:r>
    </w:p>
    <w:p>
      <w:pPr>
        <w:pStyle w:val="Date"/>
      </w:pPr>
      <w:r>
        <w:t xml:space="preserve">3 septembre 2026</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23" w:name="remarqu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3"/>
    <w:bookmarkStart w:id="32" w:name="introduction"/>
    <w:p>
      <w:pPr>
        <w:pStyle w:val="berschrift1"/>
      </w:pPr>
      <w:r>
        <w:t xml:space="preserve">1. Introduction</w:t>
      </w:r>
    </w:p>
    <w:bookmarkStart w:id="24" w:name="statut"/>
    <w:p>
      <w:pPr>
        <w:pStyle w:val="berschrift2"/>
      </w:pPr>
      <w:r>
        <w:t xml:space="preserve">1.1 Statut</w:t>
      </w:r>
    </w:p>
    <w:p>
      <w:pPr>
        <w:pStyle w:val="FirstParagraph"/>
      </w:pPr>
      <w:r>
        <w:t xml:space="preserve">Approuvé : Ce document a été approuvé par le comité d’experts. Il a force normative pour le domaine d’application défini et dans le champ d’application déterminé.</w:t>
      </w:r>
    </w:p>
    <w:bookmarkEnd w:id="24"/>
    <w:bookmarkStart w:id="25" w:name="champ-dapplication"/>
    <w:p>
      <w:pPr>
        <w:pStyle w:val="berschrift2"/>
      </w:pPr>
      <w:r>
        <w:t xml:space="preserve">1.2 Champ d’application</w:t>
      </w:r>
    </w:p>
    <w:p>
      <w:pPr>
        <w:pStyle w:val="FirstParagraph"/>
      </w:pPr>
      <w:r>
        <w:t xml:space="preserve">Les informations de ce chapitre doivent donner au lecteur un aperçu rapide de ce à quoi ce standard est destiné.</w:t>
      </w:r>
      <w:r>
        <w:t xml:space="preserve"> </w:t>
      </w:r>
      <w:r>
        <w:t xml:space="preserve">Des indications sur les éléments suivants peuvent s’avérer utiles.</w:t>
      </w:r>
    </w:p>
    <w:bookmarkEnd w:id="25"/>
    <w:bookmarkStart w:id="31" w:name="nous-pouvons-avoir-des-sous-titres"/>
    <w:p>
      <w:pPr>
        <w:pStyle w:val="berschrift2"/>
      </w:pPr>
      <w:r>
        <w:t xml:space="preserve">1.3 Nous pouvons avoir des sous-titres</w:t>
      </w:r>
    </w:p>
    <w:p>
      <w:pPr>
        <w:pStyle w:val="FirstParagraph"/>
      </w:pPr>
      <w:r>
        <w:t xml:space="preserve">Et écrire un peu de texte.</w:t>
      </w:r>
    </w:p>
    <w:bookmarkStart w:id="30" w:name="et-aussi-des-sous-sous-titres"/>
    <w:p>
      <w:pPr>
        <w:pStyle w:val="berschrift3"/>
      </w:pPr>
      <w:r>
        <w:t xml:space="preserve">1.3.1 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w:t>
            </w:r>
          </w:p>
          <w:bookmarkEnd w:id="29"/>
        </w:tc>
      </w:tr>
    </w:tbl>
    <w:p>
      <w:pPr>
        <w:pStyle w:val="Textkrper"/>
      </w:pPr>
      <w:r>
        <w:t xml:space="preserve">Lors de la présentation de diagrammes, essayez de les créer directement dans Mermaid JS ; cela facilite grandement les modifications futures ou les traductions.</w:t>
      </w:r>
    </w:p>
    <w:bookmarkEnd w:id="30"/>
    <w:bookmarkEnd w:id="31"/>
    <w:bookmarkEnd w:id="32"/>
    <w:bookmarkStart w:id="33" w:name="notes-techniques"/>
    <w:p>
      <w:pPr>
        <w:pStyle w:val="berschrift1"/>
      </w:pPr>
      <w:r>
        <w:t xml:space="preserve">2. Notes techniques</w:t>
      </w:r>
    </w:p>
    <w:p>
      <w:pPr>
        <w:pStyle w:val="FirstParagraph"/>
      </w:pPr>
      <w:r>
        <w:t xml:space="preserve">Nous utilisons l’interface en ligne de commande (CLI) ROBOT dans notre projet</w:t>
      </w:r>
      <w:r>
        <w:t xml:space="preserve"> </w:t>
      </w:r>
      <w:r>
        <w:t xml:space="preserve">(</w:t>
      </w:r>
      <w:hyperlink w:anchor="ref-jackson2019robot">
        <w:r>
          <w:rPr>
            <w:rStyle w:val="Hyperlink"/>
          </w:rPr>
          <w:t xml:space="preserve">Jackson et al. 2019</w:t>
        </w:r>
      </w:hyperlink>
      <w:r>
        <w:t xml:space="preserve">)</w:t>
      </w:r>
      <w:r>
        <w:t xml:space="preserve">, en particulier pour sa capacité à exécuter le raisonneur HermiT</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modèle-de-données"/>
    <w:p>
      <w:pPr>
        <w:pStyle w:val="berschrift1"/>
      </w:pPr>
      <w:r>
        <w:t xml:space="preserve">3. Modèle de données</w:t>
      </w:r>
    </w:p>
    <w:bookmarkStart w:id="35" w:name="sec-nodeshape-musicalbumshape"/>
    <w:p>
      <w:pPr>
        <w:pStyle w:val="berschrift2"/>
      </w:pPr>
      <w:r>
        <w:t xml:space="preserve">3.1 Album de musique</w:t>
      </w:r>
    </w:p>
    <w:p>
      <w:pPr>
        <w:pStyle w:val="FirstParagraph"/>
      </w:pPr>
      <w:r>
        <w:t xml:space="preserve">Une collection de pistes dans le jeu de données Chinook.</w:t>
      </w:r>
    </w:p>
    <w:p>
      <w:pPr>
        <w:pStyle w:val="Textkrper"/>
      </w:pPr>
      <w:r>
        <w:rPr>
          <w:b/>
          <w:bCs/>
        </w:rPr>
        <w:t xml:space="preserve">Classe cible: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4" w:name="tbl-nodeshape-musicalbumshape"/>
          <w:p>
            <w:pPr>
              <w:jc w:val="center"/>
            </w:pPr>
            <w:pPr>
              <w:jc w:val="left"/>
              <w:spacing w:before="200"/>
              <w:pStyle w:val="ImageCaption"/>
            </w:pPr>
            <w:r>
              <w:t xml:space="preserve">Table 1: propriétés Album de musique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album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Artiste</w:t>
                  </w:r>
                  <w:r>
                    <w:t xml:space="preserve">: Personne ou groupe de musique ayant créé l’album.</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ou</w:t>
                  </w:r>
                  <w:r>
                    <w:t xml:space="preserve"> </w:t>
                  </w:r>
                  <w:r>
                    <w:rPr>
                      <w:rStyle w:val="VerbatimChar"/>
                    </w:rPr>
                    <w:t xml:space="preserve">schema:MusicGroup</w:t>
                  </w:r>
                </w:p>
              </w:tc>
              <w:tc>
                <w:tcPr/>
                <w:p>
                  <w:pPr>
                    <w:pStyle w:val="Compact"/>
                    <w:jc w:val="right"/>
                    <w:jc w:val="center"/>
                  </w:pPr>
                  <w:r>
                    <w:t xml:space="preserve">0..*</w:t>
                  </w:r>
                </w:p>
              </w:tc>
            </w:tr>
          </w:tbl>
          <w:bookmarkEnd w:id="34"/>
          <w:p/>
        </w:tc>
      </w:tr>
    </w:tbl>
    <w:bookmarkEnd w:id="35"/>
    <w:bookmarkStart w:id="37" w:name="sec-nodeshape-trackshape"/>
    <w:p>
      <w:pPr>
        <w:pStyle w:val="berschrift2"/>
      </w:pPr>
      <w:r>
        <w:t xml:space="preserve">3.2 Enregistrement musical</w:t>
      </w:r>
    </w:p>
    <w:p>
      <w:pPr>
        <w:pStyle w:val="FirstParagraph"/>
      </w:pPr>
      <w:r>
        <w:t xml:space="preserve">Une piste musicale unique dans le jeu de données Chinook.</w:t>
      </w:r>
    </w:p>
    <w:p>
      <w:pPr>
        <w:pStyle w:val="Textkrper"/>
      </w:pPr>
      <w:r>
        <w:rPr>
          <w:b/>
          <w:bCs/>
        </w:rPr>
        <w:t xml:space="preserve">Classe cible: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6" w:name="tbl-nodeshape-trackshape"/>
          <w:p>
            <w:pPr>
              <w:jc w:val="center"/>
            </w:pPr>
            <w:pPr>
              <w:jc w:val="left"/>
              <w:spacing w:before="200"/>
              <w:pStyle w:val="ImageCaption"/>
            </w:pPr>
            <w:r>
              <w:t xml:space="preserve">Table 2: propriétés Enregistrement musical</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piste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Dans l’album</w:t>
                  </w:r>
                  <w:r>
                    <w:t xml:space="preserve">: Une piste ne peut appartenir qu’à un schema:MusicAlbum valide.</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Auteur</w:t>
                  </w:r>
                  <w:r>
                    <w:t xml:space="preserve">: La personne ou le groupe qui a écrit la piste.</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Durée</w:t>
                  </w:r>
                  <w:r>
                    <w:t xml:space="preserve">: La durée doit être exprimée en tant que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Taille du contenu</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36"/>
          <w:p/>
        </w:tc>
      </w:tr>
    </w:tbl>
    <w:bookmarkEnd w:id="37"/>
    <w:bookmarkStart w:id="39" w:name="sec-nodeshape-invoiceshape"/>
    <w:p>
      <w:pPr>
        <w:pStyle w:val="berschrift2"/>
      </w:pPr>
      <w:r>
        <w:t xml:space="preserve">3.3 Facture</w:t>
      </w:r>
    </w:p>
    <w:p>
      <w:pPr>
        <w:pStyle w:val="FirstParagraph"/>
      </w:pPr>
      <w:r>
        <w:t xml:space="preserve">Un reçu d’achat dans le jeu de données Chinook.</w:t>
      </w:r>
    </w:p>
    <w:p>
      <w:pPr>
        <w:pStyle w:val="Textkrper"/>
      </w:pPr>
      <w:r>
        <w:rPr>
          <w:b/>
          <w:bCs/>
        </w:rPr>
        <w:t xml:space="preserve">Classe cible: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8" w:name="tbl-nodeshape-invoiceshape"/>
          <w:p>
            <w:pPr>
              <w:jc w:val="center"/>
            </w:pPr>
            <w:pPr>
              <w:jc w:val="left"/>
              <w:spacing w:before="200"/>
              <w:pStyle w:val="ImageCaption"/>
            </w:pPr>
            <w:r>
              <w:t xml:space="preserve">Table 3: propriétés Facture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Client</w:t>
                  </w:r>
                  <w:r>
                    <w:t xml:space="preserve">: Une facture doit être liée à exactement un client.</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Paiement total dû</w:t>
                  </w:r>
                  <w:r>
                    <w:t xml:space="preserve">: Une facture doit définir un paiement total dû en tant que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Contient</w:t>
                  </w:r>
                  <w:r>
                    <w:t xml:space="preserve">: Une facture doit avoir au moins un article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de création</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8"/>
          <w:p/>
        </w:tc>
      </w:tr>
    </w:tbl>
    <w:bookmarkEnd w:id="39"/>
    <w:bookmarkStart w:id="41" w:name="sec-nodeshape-genreshape"/>
    <w:p>
      <w:pPr>
        <w:pStyle w:val="berschrift2"/>
      </w:pPr>
      <w:r>
        <w:t xml:space="preserve">3.4 Genre</w:t>
      </w:r>
    </w:p>
    <w:p>
      <w:pPr>
        <w:pStyle w:val="FirstParagraph"/>
      </w:pPr>
      <w:r>
        <w:t xml:space="preserve">Une catégorie musicale dans le jeu de données Chinook.</w:t>
      </w:r>
    </w:p>
    <w:p>
      <w:pPr>
        <w:pStyle w:val="Textkrper"/>
      </w:pPr>
      <w:r>
        <w:rPr>
          <w:b/>
          <w:bCs/>
        </w:rPr>
        <w:t xml:space="preserve">Classe cible: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40" w:name="tbl-nodeshape-genreshape"/>
          <w:p>
            <w:pPr>
              <w:jc w:val="center"/>
            </w:pPr>
            <w:pPr>
              <w:jc w:val="left"/>
              <w:spacing w:before="200"/>
              <w:pStyle w:val="ImageCaption"/>
            </w:pPr>
            <w:r>
              <w:t xml:space="preserve">Table 4: propriétés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Partie de</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ou</w:t>
                  </w:r>
                  <w:r>
                    <w:t xml:space="preserve"> </w:t>
                  </w:r>
                  <w:r>
                    <w:rPr>
                      <w:rStyle w:val="VerbatimChar"/>
                    </w:rPr>
                    <w:t xml:space="preserve">sh:IRI</w:t>
                  </w:r>
                </w:p>
              </w:tc>
              <w:tc>
                <w:tcPr/>
                <w:p>
                  <w:pPr>
                    <w:pStyle w:val="Compact"/>
                    <w:jc w:val="right"/>
                    <w:jc w:val="center"/>
                  </w:pPr>
                  <w:r>
                    <w:t xml:space="preserve">0..*</w:t>
                  </w:r>
                </w:p>
              </w:tc>
            </w:tr>
          </w:tbl>
          <w:bookmarkEnd w:id="40"/>
          <w:p/>
        </w:tc>
      </w:tr>
    </w:tbl>
    <w:bookmarkEnd w:id="41"/>
    <w:bookmarkStart w:id="43" w:name="sec-nodeshape-organisationshape"/>
    <w:p>
      <w:pPr>
        <w:pStyle w:val="berschrift2"/>
      </w:pPr>
      <w:r>
        <w:t xml:space="preserve">3.5 Organisation</w:t>
      </w:r>
    </w:p>
    <w:p>
      <w:pPr>
        <w:pStyle w:val="FirstParagraph"/>
      </w:pPr>
      <w:r>
        <w:t xml:space="preserve">Une entreprise ou organisation dans le jeu de données Chinook.</w:t>
      </w:r>
    </w:p>
    <w:p>
      <w:pPr>
        <w:pStyle w:val="Textkrper"/>
      </w:pPr>
      <w:r>
        <w:rPr>
          <w:b/>
          <w:bCs/>
        </w:rPr>
        <w:t xml:space="preserve">Classe cible: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nodeshape-organisationshape"/>
          <w:p>
            <w:pPr>
              <w:jc w:val="center"/>
            </w:pPr>
            <w:pPr>
              <w:jc w:val="left"/>
              <w:spacing w:before="200"/>
              <w:pStyle w:val="ImageCaption"/>
            </w:pPr>
            <w:r>
              <w:t xml:space="preserve">Table 5: propriétés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organisation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nodeshape-personshape"/>
    <w:p>
      <w:pPr>
        <w:pStyle w:val="berschrift2"/>
      </w:pPr>
      <w:r>
        <w:t xml:space="preserve">3.6 Personne</w:t>
      </w:r>
    </w:p>
    <w:p>
      <w:pPr>
        <w:pStyle w:val="FirstParagraph"/>
      </w:pPr>
      <w:r>
        <w:t xml:space="preserve">Toute personne (employé, client ou personne personnalisée) présente dans le jeu de données.</w:t>
      </w:r>
    </w:p>
    <w:p>
      <w:pPr>
        <w:pStyle w:val="Textkrper"/>
      </w:pPr>
      <w:r>
        <w:rPr>
          <w:b/>
          <w:bCs/>
        </w:rPr>
        <w:t xml:space="preserve">Classe cible: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nodeshape-personshape"/>
          <w:p>
            <w:pPr>
              <w:jc w:val="center"/>
            </w:pPr>
            <w:pPr>
              <w:jc w:val="left"/>
              <w:spacing w:before="200"/>
              <w:pStyle w:val="ImageCaption"/>
            </w:pPr>
            <w:r>
              <w:t xml:space="preserve">Table 6: propriétés Personne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Prénom</w:t>
                  </w:r>
                  <w:r>
                    <w:t xml:space="preserve">: Chaque personne doit avoir un prénom.</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Nom de famille</w:t>
                  </w:r>
                  <w:r>
                    <w:t xml:space="preserve">: Chaque personne doit avoir un nom de famille.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Adresse e-mail</w:t>
                  </w:r>
                  <w:r>
                    <w:t xml:space="preserve">: Si une adresse e-mail est fournie, elle doit respecter un format standard.</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Date de naissance</w:t>
                  </w:r>
                  <w:r>
                    <w:t xml:space="preserve">: Une personne doit avoir une date de naissance valide.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Travaille pour</w:t>
                  </w:r>
                  <w:r>
                    <w:t xml:space="preserve">: Un employé peut relever d’une autre personne.</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ou</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Titre du poste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Connaît</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4"/>
          <w:p/>
        </w:tc>
      </w:tr>
    </w:tbl>
    <w:bookmarkEnd w:id="45"/>
    <w:bookmarkStart w:id="47" w:name="sec-nodeshape-quantitativevalueshape"/>
    <w:p>
      <w:pPr>
        <w:pStyle w:val="berschrift2"/>
      </w:pPr>
      <w:r>
        <w:t xml:space="preserve">3.7 Valeur quantitative</w:t>
      </w:r>
    </w:p>
    <w:p>
      <w:pPr>
        <w:pStyle w:val="FirstParagraph"/>
      </w:pPr>
      <w:r>
        <w:t xml:space="preserve">Une valeur numérique avec une unité associée.</w:t>
      </w:r>
    </w:p>
    <w:p>
      <w:pPr>
        <w:pStyle w:val="Textkrper"/>
      </w:pPr>
      <w:r>
        <w:rPr>
          <w:b/>
          <w:bCs/>
        </w:rPr>
        <w:t xml:space="preserve">Classe cible: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nodeshape-quantitativevalueshape"/>
          <w:p>
            <w:pPr>
              <w:jc w:val="center"/>
            </w:pPr>
            <w:pPr>
              <w:jc w:val="left"/>
              <w:spacing w:before="200"/>
              <w:pStyle w:val="ImageCaption"/>
            </w:pPr>
            <w:r>
              <w:t xml:space="preserve">Table 7: propriétés Valeur quantitative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Valeur</w:t>
                  </w:r>
                  <w:r>
                    <w:t xml:space="preserve">: Une valeur quantitative doit avoir exactement une valeur numérique.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Code d’unité</w:t>
                  </w:r>
                  <w:r>
                    <w:t xml:space="preserve">: Une valeur quantitative doit spécifier son unité via une URI unitCode.</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50" w:name="accès-aux-données"/>
    <w:p>
      <w:pPr>
        <w:pStyle w:val="berschrift1"/>
      </w:pPr>
      <w:r>
        <w:t xml:space="preserve">4. Accès aux données</w:t>
      </w:r>
    </w:p>
    <w:p>
      <w:pPr>
        <w:pStyle w:val="FirstParagraph"/>
      </w:pPr>
      <w:r>
        <w:t xml:space="preserve">Les données de base et de référence qui sous-tendent ce document sont disponibles sous forme de</w:t>
      </w:r>
      <w:r>
        <w:t xml:space="preserve"> </w:t>
      </w:r>
      <w:r>
        <w:rPr>
          <w:i/>
          <w:iCs/>
        </w:rPr>
        <w:t xml:space="preserve">Linked Data</w:t>
      </w:r>
      <w:r>
        <w:t xml:space="preserve">.</w:t>
      </w:r>
    </w:p>
    <w:p>
      <w:pPr>
        <w:pStyle w:val="Textkrper"/>
      </w:pPr>
      <w:r>
        <w:t xml:space="preserve">La base technologique de cette approche est le Resource Description Framework</w:t>
      </w:r>
      <w:r>
        <w:t xml:space="preserve"> </w:t>
      </w:r>
      <w:r>
        <w:t xml:space="preserve">(RDF,</w:t>
      </w:r>
      <w:r>
        <w:t xml:space="preserve"> </w:t>
      </w:r>
      <w:hyperlink w:anchor="ref-cyganiak2014rdf11">
        <w:r>
          <w:rPr>
            <w:rStyle w:val="Hyperlink"/>
          </w:rPr>
          <w:t xml:space="preserve">Cyganiak et al. 2014</w:t>
        </w:r>
      </w:hyperlink>
      <w:r>
        <w:t xml:space="preserve">)</w:t>
      </w:r>
      <w:r>
        <w:t xml:space="preserve">, un standard central du World Wide Web Consortium (W3C) pour la modélisation des structures de données sur le Web.</w:t>
      </w:r>
      <w:r>
        <w:t xml:space="preserve"> </w:t>
      </w:r>
      <w:r>
        <w:t xml:space="preserve">En RDF, les informations ne sont pas représentées dans des tableaux classiques, mais sous forme de graphes interconnectés.</w:t>
      </w:r>
      <w:r>
        <w:t xml:space="preserve"> </w:t>
      </w:r>
      <w:r>
        <w:t xml:space="preserve">Chaque déclaration est constituée de ce que l’on appelle un triplet (sujet, prédicat, objet).</w:t>
      </w:r>
      <w:r>
        <w:t xml:space="preserve"> </w:t>
      </w:r>
      <w:r>
        <w:t xml:space="preserve">Cette structure permet une description des ressources et de leurs relations mutuelles qui soit lisible par machine, interopérable et univoque à travers différents systèmes.</w:t>
      </w:r>
    </w:p>
    <w:p>
      <w:pPr>
        <w:pStyle w:val="Textkrper"/>
      </w:pPr>
      <w:r>
        <w:t xml:space="preserve">Pour le stockage et la publication de ces données RDF, on utilise</w:t>
      </w:r>
      <w:r>
        <w:t xml:space="preserve"> </w:t>
      </w:r>
      <w:hyperlink r:id="rId49">
        <w:r>
          <w:rPr>
            <w:rStyle w:val="Hyperlink"/>
          </w:rPr>
          <w:t xml:space="preserve">LINDAS</w:t>
        </w:r>
      </w:hyperlink>
      <w:r>
        <w:t xml:space="preserve"> </w:t>
      </w:r>
      <w:r>
        <w:t xml:space="preserve">(Linked Data Service), le service officiel de Linked Data de l’administration fédérale suisse.</w:t>
      </w:r>
      <w:r>
        <w:t xml:space="preserve"> </w:t>
      </w:r>
      <w:r>
        <w:t xml:space="preserve">LINDAS fait office de</w:t>
      </w:r>
      <w:r>
        <w:t xml:space="preserve"> </w:t>
      </w:r>
      <w:r>
        <w:rPr>
          <w:i/>
          <w:iCs/>
        </w:rPr>
        <w:t xml:space="preserve">Triple Store</w:t>
      </w:r>
      <w:r>
        <w:t xml:space="preserve">, une base de données orientée graphe spécialisée et optimisée pour le stockage et l’interrogation efficaces de triplets RDF, qui met les données publiquement à disposition via une interface standardisée.</w:t>
      </w:r>
    </w:p>
    <w:p>
      <w:pPr>
        <w:pStyle w:val="Textkrper"/>
      </w:pPr>
      <w:r>
        <w:t xml:space="preserve">Le chapitre suivant fournit des instructions minimales sur la façon dont les données peuvent être interrogées et extraites de LINDAS.</w:t>
      </w:r>
    </w:p>
    <w:p>
      <w:pPr>
        <w:pStyle w:val="SourceCode"/>
      </w:pPr>
      <w:r>
        <w:rPr>
          <w:rStyle w:val="VerbatimChar"/>
        </w:rPr>
        <w:t xml:space="preserve">BASE &lt;https://example.org/&gt;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Les données sous-jacentes elles-mêmes sont gérées sur GitHub sous forme de fichiers Turtle.</w:t>
      </w:r>
    </w:p>
    <w:p>
      <w:pPr>
        <w:pStyle w:val="SourceCode"/>
      </w:pPr>
      <w:r>
        <w:rPr>
          <w:rStyle w:val="VerbatimChar"/>
        </w:rPr>
        <w:t xml:space="preserve">@base &lt;http://example.org/&gt; .</w:t>
      </w:r>
      <w:r>
        <w:br/>
      </w:r>
      <w:r>
        <w:rPr>
          <w:rStyle w:val="VerbatimChar"/>
        </w:rPr>
        <w:t xml:space="preserve">@prefix genre: &lt;http://example.org/genre/&gt;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0"/>
    <w:bookmarkStart w:id="51" w:name="considérations-de-sécurité"/>
    <w:p>
      <w:pPr>
        <w:pStyle w:val="berschrift1"/>
      </w:pPr>
      <w:r>
        <w:t xml:space="preserve">5. 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51"/>
    <w:bookmarkStart w:id="52" w:name="clause-de-non-responsabilité"/>
    <w:p>
      <w:pPr>
        <w:pStyle w:val="berschrift1"/>
      </w:pPr>
      <w:r>
        <w:t xml:space="preserve">6. 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52"/>
    <w:bookmarkStart w:id="53" w:name="droits-dauteur"/>
    <w:p>
      <w:pPr>
        <w:pStyle w:val="berschrift1"/>
      </w:pPr>
      <w:r>
        <w:t xml:space="preserve">7. 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53"/>
    <w:bookmarkStart w:id="60" w:name="annexe-a---références"/>
    <w:p>
      <w:pPr>
        <w:pStyle w:val="berschrift1"/>
      </w:pPr>
      <w:r>
        <w:t xml:space="preserve">8. Annexe A - Références</w:t>
      </w:r>
    </w:p>
    <w:bookmarkStart w:id="59" w:name="refs"/>
    <w:bookmarkStart w:id="55" w:name="ref-cyganiak2014rdf11"/>
    <w:p>
      <w:pPr>
        <w:pStyle w:val="Bibliography"/>
      </w:pPr>
      <w:r>
        <w:t xml:space="preserve">Cyganiak, Richard, David Wood, et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54">
        <w:r>
          <w:rPr>
            <w:rStyle w:val="Hyperlink"/>
          </w:rPr>
          <w:t xml:space="preserve">https://www.w3.org/TR/rdf11-concepts/</w:t>
        </w:r>
      </w:hyperlink>
      <w:r>
        <w:t xml:space="preserve">.</w:t>
      </w:r>
    </w:p>
    <w:bookmarkEnd w:id="55"/>
    <w:bookmarkStart w:id="56" w:name="ref-glimm2014hermit"/>
    <w:p>
      <w:pPr>
        <w:pStyle w:val="Bibliography"/>
      </w:pPr>
      <w:r>
        <w:t xml:space="preserve">Glimm, Birte, Ian Horrocks, Boris Motik, Giorgos Stoilos, et Zhe Wang. 2014.</w:t>
      </w:r>
      <w:r>
        <w:t xml:space="preserve"> </w:t>
      </w:r>
      <w:r>
        <w:t xml:space="preserve">« HermiT: an OWL 2 reasoner »</w:t>
      </w:r>
      <w:r>
        <w:t xml:space="preserve">.</w:t>
      </w:r>
      <w:r>
        <w:t xml:space="preserve"> </w:t>
      </w:r>
      <w:r>
        <w:rPr>
          <w:i/>
          <w:iCs/>
        </w:rPr>
        <w:t xml:space="preserve">Journal of automated reasoning</w:t>
      </w:r>
      <w:r>
        <w:t xml:space="preserve"> </w:t>
      </w:r>
      <w:r>
        <w:t xml:space="preserve">53 (3): 245‑69.</w:t>
      </w:r>
    </w:p>
    <w:bookmarkEnd w:id="56"/>
    <w:bookmarkStart w:id="58" w:name="ref-jackson2019robot"/>
    <w:p>
      <w:pPr>
        <w:pStyle w:val="Bibliography"/>
      </w:pPr>
      <w:r>
        <w:t xml:space="preserve">Jackson, Rebecca C, James P Balhoff, Eric Douglass, Nomi L Harris, Christopher J Mungall, et James A Overton. 2019.</w:t>
      </w:r>
      <w:r>
        <w:t xml:space="preserve"> </w:t>
      </w:r>
      <w:r>
        <w:t xml:space="preserve">« ROBOT: a tool for automating ontology workflows »</w:t>
      </w:r>
      <w:r>
        <w:t xml:space="preserve">.</w:t>
      </w:r>
      <w:r>
        <w:t xml:space="preserve"> </w:t>
      </w:r>
      <w:r>
        <w:rPr>
          <w:i/>
          <w:iCs/>
        </w:rPr>
        <w:t xml:space="preserve">BMC bioinformatics</w:t>
      </w:r>
      <w:r>
        <w:t xml:space="preserve"> </w:t>
      </w:r>
      <w:r>
        <w:t xml:space="preserve">20 (1): 407.</w:t>
      </w:r>
      <w:r>
        <w:t xml:space="preserve"> </w:t>
      </w:r>
      <w:hyperlink r:id="rId57">
        <w:r>
          <w:rPr>
            <w:rStyle w:val="Hyperlink"/>
          </w:rPr>
          <w:t xml:space="preserve">https://doi.org/10.1186/s12859-019-3002-3</w:t>
        </w:r>
      </w:hyperlink>
      <w:r>
        <w:t xml:space="preserve">.</w:t>
      </w:r>
    </w:p>
    <w:bookmarkEnd w:id="58"/>
    <w:bookmarkEnd w:id="59"/>
    <w:bookmarkEnd w:id="60"/>
    <w:bookmarkStart w:id="61" w:name="annexe-b---collaboration-et-vérification"/>
    <w:p>
      <w:pPr>
        <w:pStyle w:val="berschrift1"/>
      </w:pPr>
      <w:r>
        <w:t xml:space="preserve">9. Annexe B - Collaboration et Vérification</w:t>
      </w:r>
    </w:p>
    <w:bookmarkEnd w:id="61"/>
    <w:bookmarkStart w:id="62" w:name="annexe-c---abréviations-et-glossaire"/>
    <w:p>
      <w:pPr>
        <w:pStyle w:val="berschrift1"/>
      </w:pPr>
      <w:r>
        <w:t xml:space="preserve">10. Annexe C - Abréviations et glossaire</w:t>
      </w:r>
    </w:p>
    <w:bookmarkEnd w:id="62"/>
    <w:bookmarkStart w:id="63" w:name="X6f8370af66b6e6c8c273e622397bc0a670fe454"/>
    <w:p>
      <w:pPr>
        <w:pStyle w:val="berschrift1"/>
      </w:pPr>
      <w:r>
        <w:t xml:space="preserve">11. Annexe D - Modifications par rapport à la version précédente</w:t>
      </w:r>
    </w:p>
    <w:bookmarkEnd w:id="63"/>
    <w:bookmarkStart w:id="64" w:name="annexe-e---table-des-illustrations"/>
    <w:p>
      <w:pPr>
        <w:pStyle w:val="berschrift1"/>
      </w:pPr>
      <w:r>
        <w:t xml:space="preserve">12. Annexe E - Table des illustrations</w:t>
      </w:r>
    </w:p>
    <w:bookmarkEnd w:id="64"/>
    <w:bookmarkStart w:id="65" w:name="annexe-f---liste-des-tableaux"/>
    <w:p>
      <w:pPr>
        <w:pStyle w:val="berschrift1"/>
      </w:pPr>
      <w:r>
        <w:t xml:space="preserve">13. Annexe F - Liste des tableaux</w:t>
      </w:r>
    </w:p>
    <w:bookmarkEnd w:id="65"/>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fr"/>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 eCH-1234</dc:title>
  <dc:creator/>
  <dc:language>fr</dc:language>
  <cp:keywords/>
  <dcterms:created xsi:type="dcterms:W3CDTF">2026-09-03T17:39:55Z</dcterms:created>
  <dcterms:modified xsi:type="dcterms:W3CDTF">2026-09-03T17:39:55Z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3 septembre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des matières</vt:lpwstr>
  </property>
</Properties>
</file>