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Template Quarto Document</w:t>
      </w:r>
    </w:p>
    <w:p>
      <w:pPr>
        <w:pStyle w:val="Date"/>
      </w:pPr>
      <w:r>
        <w:t xml:space="preserve">2026-10-01</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5"/>
    <w:bookmarkStart w:id="54" w:name="sec-introduction"/>
    <w:p>
      <w:pPr>
        <w:pStyle w:val="berschrift1"/>
      </w:pPr>
      <w:r>
        <w:t xml:space="preserve">1. Introduction</w:t>
      </w:r>
    </w:p>
    <w:bookmarkStart w:id="26" w:name="sec-status"/>
    <w:p>
      <w:pPr>
        <w:pStyle w:val="berschrift2"/>
      </w:pPr>
      <w:r>
        <w:t xml:space="preserve">1.1 Status</w:t>
      </w:r>
    </w:p>
    <w:p>
      <w:pPr>
        <w:pStyle w:val="FirstParagraph"/>
      </w:pPr>
      <w:r>
        <w:t xml:space="preserve">In progress: Use is only permitted within the Technical Unit or the Expert Committee.</w:t>
      </w:r>
    </w:p>
    <w:bookmarkEnd w:id="26"/>
    <w:bookmarkStart w:id="27"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7"/>
    <w:bookmarkStart w:id="33" w:name="sec-example-subheading"/>
    <w:p>
      <w:pPr>
        <w:pStyle w:val="berschrift2"/>
      </w:pPr>
      <w:r>
        <w:t xml:space="preserve">1.3 We can have sub-headings</w:t>
      </w:r>
    </w:p>
    <w:p>
      <w:pPr>
        <w:pStyle w:val="FirstParagraph"/>
      </w:pPr>
      <w:r>
        <w:t xml:space="preserve">And write some text.</w:t>
      </w:r>
    </w:p>
    <w:bookmarkStart w:id="32"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 If a figure has a caption, it appears in the list of figures. Only the first sentence of the caption is shown there.</w:t>
            </w:r>
          </w:p>
          <w:bookmarkEnd w:id="31"/>
        </w:tc>
      </w:tr>
    </w:tbl>
    <w:p>
      <w:pPr>
        <w:pStyle w:val="Textkrper"/>
      </w:pPr>
      <w:r>
        <w:t xml:space="preserve">When displaying diagrams, try to write them in Mermaid JS straight away; this makes changes in the future or translations straightforward.</w:t>
      </w:r>
    </w:p>
    <w:bookmarkEnd w:id="32"/>
    <w:bookmarkEnd w:id="33"/>
    <w:bookmarkStart w:id="53" w:name="sec-formatting"/>
    <w:p>
      <w:pPr>
        <w:pStyle w:val="berschrift2"/>
      </w:pPr>
      <w:r>
        <w:t xml:space="preserve">1.4 Formatting</w:t>
      </w:r>
    </w:p>
    <w:p>
      <w:pPr>
        <w:pStyle w:val="FirstParagraph"/>
      </w:pPr>
      <w:r>
        <w:t xml:space="preserve">This chapter is a stress test: it contains the common Markdown and Quarto elements so that their rendering in the PDF and on the website can be checked.</w:t>
      </w:r>
    </w:p>
    <w:bookmarkStart w:id="38" w:name="sec-formatting-text"/>
    <w:p>
      <w:pPr>
        <w:pStyle w:val="berschrift3"/>
      </w:pPr>
      <w:r>
        <w:t xml:space="preserve">1.4.1 Text styling</w:t>
      </w:r>
    </w:p>
    <w:p>
      <w:pPr>
        <w:pStyle w:val="FirstParagraph"/>
      </w:pPr>
      <w:r>
        <w:t xml:space="preserve">Text can be</w:t>
      </w:r>
      <w:r>
        <w:t xml:space="preserve"> </w:t>
      </w:r>
      <w:r>
        <w:rPr>
          <w:b/>
          <w:bCs/>
        </w:rPr>
        <w:t xml:space="preserve">bold</w:t>
      </w:r>
      <w:r>
        <w:t xml:space="preserve">,</w:t>
      </w:r>
      <w:r>
        <w:t xml:space="preserve"> </w:t>
      </w:r>
      <w:r>
        <w:rPr>
          <w:i/>
          <w:iCs/>
        </w:rPr>
        <w:t xml:space="preserve">italic</w:t>
      </w:r>
      <w:r>
        <w:t xml:space="preserve">,</w:t>
      </w:r>
      <w:r>
        <w:t xml:space="preserve"> </w:t>
      </w:r>
      <w:r>
        <w:rPr>
          <w:u w:val="single"/>
        </w:rPr>
        <w:t xml:space="preserve">underlined</w:t>
      </w:r>
      <w:r>
        <w:t xml:space="preserve">,</w:t>
      </w:r>
      <w:r>
        <w:t xml:space="preserve"> </w:t>
      </w:r>
      <w:r>
        <w:rPr>
          <w:highlight w:val="yellow"/>
        </w:rPr>
        <w:t xml:space="preserve">highlighted</w:t>
      </w:r>
      <w:r>
        <w:t xml:space="preserve">,</w:t>
      </w:r>
      <w:r>
        <w:t xml:space="preserve"> </w:t>
      </w:r>
      <w:r>
        <w:rPr>
          <w:smallCaps/>
        </w:rPr>
        <w:t xml:space="preserve">in small caps</w:t>
      </w:r>
      <w:r>
        <w:t xml:space="preserve"> </w:t>
      </w:r>
      <w:r>
        <w:t xml:space="preserve">or</w:t>
      </w:r>
      <w:r>
        <w:t xml:space="preserve"> </w:t>
      </w:r>
      <w:r>
        <w:rPr>
          <w:strike/>
        </w:rPr>
        <w:t xml:space="preserve">struck through</w:t>
      </w:r>
      <w:r>
        <w:t xml:space="preserve">. Keyboard shortcuts such as</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and inline code such as</w:t>
      </w:r>
      <w:r>
        <w:t xml:space="preserve"> </w:t>
      </w:r>
      <w:r>
        <w:rPr>
          <w:rStyle w:val="VerbatimChar"/>
        </w:rPr>
        <w:t xml:space="preserve">schema:name</w:t>
      </w:r>
      <w:r>
        <w:t xml:space="preserve"> </w:t>
      </w:r>
      <w:r>
        <w:t xml:space="preserve">are set off visually.</w:t>
      </w:r>
      <w:r>
        <w:rPr>
          <w:rStyle w:val="FootnoteReference"/>
        </w:rPr>
        <w:footnoteReference w:id="34"/>
      </w:r>
    </w:p>
    <w:bookmarkStart w:id="37" w:name="sec-formatting-h4"/>
    <w:p>
      <w:pPr>
        <w:pStyle w:val="berschrift4"/>
      </w:pPr>
      <w:r>
        <w:t xml:space="preserve">1.4.1.1 A fourth-level heading</w:t>
      </w:r>
    </w:p>
    <w:p>
      <w:pPr>
        <w:pStyle w:val="FirstParagraph"/>
      </w:pPr>
      <w:r>
        <w:t xml:space="preserve">Headings down to the fourth level are possible; they are numbered but do not appear in the table of contents.</w:t>
      </w:r>
      <w:r>
        <w:rPr>
          <w:rStyle w:val="FootnoteReference"/>
        </w:rPr>
        <w:footnoteReference w:id="35"/>
      </w:r>
    </w:p>
    <w:bookmarkEnd w:id="37"/>
    <w:bookmarkEnd w:id="38"/>
    <w:bookmarkStart w:id="45" w:name="sec-formatting-lists"/>
    <w:p>
      <w:pPr>
        <w:pStyle w:val="berschrift3"/>
      </w:pPr>
      <w:r>
        <w:t xml:space="preserve">1.4.2 Lists and callouts</w:t>
      </w:r>
    </w:p>
    <w:p>
      <w:pPr>
        <w:pStyle w:val="FirstParagraph"/>
      </w:pPr>
      <w:r>
        <w:t xml:space="preserve">Unordered list:</w:t>
      </w:r>
    </w:p>
    <w:p>
      <w:pPr>
        <w:pStyle w:val="Compact"/>
        <w:numPr>
          <w:ilvl w:val="0"/>
          <w:numId w:val="1001"/>
        </w:numPr>
      </w:pPr>
      <w:r>
        <w:t xml:space="preserve">First item</w:t>
      </w:r>
    </w:p>
    <w:p>
      <w:pPr>
        <w:pStyle w:val="Compact"/>
        <w:numPr>
          <w:ilvl w:val="0"/>
          <w:numId w:val="1001"/>
        </w:numPr>
      </w:pPr>
      <w:r>
        <w:t xml:space="preserve">Second item</w:t>
      </w:r>
    </w:p>
    <w:p>
      <w:pPr>
        <w:pStyle w:val="Compact"/>
        <w:numPr>
          <w:ilvl w:val="1"/>
          <w:numId w:val="1002"/>
        </w:numPr>
      </w:pPr>
      <w:r>
        <w:t xml:space="preserve">Sub-item</w:t>
      </w:r>
    </w:p>
    <w:p>
      <w:pPr>
        <w:pStyle w:val="Compact"/>
        <w:numPr>
          <w:ilvl w:val="0"/>
          <w:numId w:val="1001"/>
        </w:numPr>
      </w:pPr>
      <w:r>
        <w:t xml:space="preserve">Third item</w:t>
      </w:r>
    </w:p>
    <w:p>
      <w:pPr>
        <w:pStyle w:val="FirstParagraph"/>
      </w:pPr>
      <w:r>
        <w:t xml:space="preserve">Ordered list:</w:t>
      </w:r>
    </w:p>
    <w:p>
      <w:pPr>
        <w:pStyle w:val="Compact"/>
        <w:numPr>
          <w:ilvl w:val="0"/>
          <w:numId w:val="1003"/>
        </w:numPr>
      </w:pPr>
      <w:r>
        <w:t xml:space="preserve">First step</w:t>
      </w:r>
    </w:p>
    <w:p>
      <w:pPr>
        <w:pStyle w:val="Compact"/>
        <w:numPr>
          <w:ilvl w:val="0"/>
          <w:numId w:val="1003"/>
        </w:numPr>
      </w:pPr>
      <w:r>
        <w:t xml:space="preserve">Second step</w:t>
      </w:r>
    </w:p>
    <w:p>
      <w:pPr>
        <w:pStyle w:val="Compact"/>
        <w:numPr>
          <w:ilvl w:val="0"/>
          <w:numId w:val="1003"/>
        </w:numPr>
      </w:pPr>
      <w:r>
        <w:t xml:space="preserve">Third step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A note draws attention to connections that are easily overlooked.</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Textkrper"/>
            </w:pPr>
            <w:pPr>
              <w:spacing w:before="16" w:after="16"/>
            </w:pPr>
            <w:r>
              <w:t xml:space="preserve">A warning points out sources of error, for example unchecked input data.</w:t>
            </w:r>
          </w:p>
          <w:p/>
        </w:tc>
      </w:tr>
    </w:tbl>
    <w:bookmarkEnd w:id="45"/>
    <w:bookmarkStart w:id="52" w:name="sec-formatting-code"/>
    <w:p>
      <w:pPr>
        <w:pStyle w:val="berschrift3"/>
      </w:pPr>
      <w:r>
        <w:t xml:space="preserve">1.4.3 Code, tables and formulas</w:t>
      </w:r>
    </w:p>
    <w:p>
      <w:pPr>
        <w:pStyle w:val="FirstParagraph"/>
      </w:pPr>
      <w:r>
        <w:t xml:space="preserve">The following code block shows a SPARQL query:</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Figures can also be produced with R code, as</w:t>
      </w:r>
      <w:r>
        <w:t xml:space="preserve"> </w:t>
      </w:r>
      <w:hyperlink w:anchor="fig-r-example">
        <w:r>
          <w:rPr>
            <w:rStyle w:val="Hyperlink"/>
          </w:rPr>
          <w:t xml:space="preserve">Figure 2</w:t>
        </w:r>
      </w:hyperlink>
      <w:r>
        <w:t xml:space="preserve"> </w:t>
      </w:r>
      <w:r>
        <w:t xml:space="preserve">shows:</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produced with R. Quarto runs the code when rendering and inserts the plot.</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Table 1: Example table with three columns. If a table has a caption, it appears in the list of tables. Only the first sentence of the caption is shown there.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Column</w:t>
                  </w:r>
                </w:p>
              </w:tc>
              <w:tc>
                <w:tcPr/>
                <w:p>
                  <w:pPr>
                    <w:pStyle w:val="Compact"/>
                    <w:jc w:val="left"/>
                    <w:jc w:val="center"/>
                  </w:pPr>
                  <w:r>
                    <w:t xml:space="preserve">Type</w:t>
                  </w:r>
                </w:p>
              </w:tc>
              <w:tc>
                <w:tcPr/>
                <w:p>
                  <w:pPr>
                    <w:pStyle w:val="Compact"/>
                    <w:jc w:val="left"/>
                    <w:jc w:val="center"/>
                  </w:pPr>
                  <w:r>
                    <w:t xml:space="preserve">Remark</w:t>
                  </w:r>
                </w:p>
              </w:tc>
            </w:tr>
            <w:tr>
              <w:tc>
                <w:tcPr/>
                <w:p>
                  <w:pPr>
                    <w:pStyle w:val="Compact"/>
                    <w:jc w:val="left"/>
                    <w:jc w:val="center"/>
                  </w:pPr>
                  <w:r>
                    <w:t xml:space="preserve">Name</w:t>
                  </w:r>
                </w:p>
              </w:tc>
              <w:tc>
                <w:tcPr/>
                <w:p>
                  <w:pPr>
                    <w:pStyle w:val="Compact"/>
                    <w:jc w:val="left"/>
                    <w:jc w:val="center"/>
                  </w:pPr>
                  <w:r>
                    <w:t xml:space="preserve">String</w:t>
                  </w:r>
                </w:p>
              </w:tc>
              <w:tc>
                <w:tcPr/>
                <w:p>
                  <w:pPr>
                    <w:pStyle w:val="Compact"/>
                    <w:jc w:val="left"/>
                    <w:jc w:val="center"/>
                  </w:pPr>
                  <w:r>
                    <w:t xml:space="preserve">Mandatory field</w:t>
                  </w:r>
                </w:p>
              </w:tc>
            </w:tr>
            <w:tr>
              <w:tc>
                <w:tcPr/>
                <w:p>
                  <w:pPr>
                    <w:pStyle w:val="Compact"/>
                    <w:jc w:val="left"/>
                    <w:jc w:val="center"/>
                  </w:pPr>
                  <w:r>
                    <w:t xml:space="preserve">Quantity</w:t>
                  </w:r>
                </w:p>
              </w:tc>
              <w:tc>
                <w:tcPr/>
                <w:p>
                  <w:pPr>
                    <w:pStyle w:val="Compact"/>
                    <w:jc w:val="left"/>
                    <w:jc w:val="center"/>
                  </w:pPr>
                  <w:r>
                    <w:t xml:space="preserve">Decimal number</w:t>
                  </w:r>
                </w:p>
              </w:tc>
              <w:tc>
                <w:tcPr/>
                <w:p>
                  <w:pPr>
                    <w:pStyle w:val="Compact"/>
                    <w:jc w:val="left"/>
                    <w:jc w:val="center"/>
                  </w:pPr>
                  <w:r>
                    <w:t xml:space="preserve">with unit</w:t>
                  </w:r>
                </w:p>
              </w:tc>
            </w:tr>
          </w:tbl>
          <w:bookmarkEnd w:id="50"/>
          <w:p/>
        </w:tc>
      </w:tr>
    </w:tbl>
    <w:p>
      <w:pPr>
        <w:pStyle w:val="Textkrper"/>
      </w:pPr>
      <w:r>
        <w:t xml:space="preserve">A formula can appear in the text, for example</w:t>
      </w:r>
      <w:r>
        <w:t xml:space="preserve"> </w:t>
      </w:r>
      <m:oMath>
        <m:r>
          <m:t>E</m:t>
        </m:r>
        <m:r>
          <m:rPr>
            <m:sty m:val="p"/>
          </m:rPr>
          <m:t>=</m:t>
        </m:r>
        <m:r>
          <m:t>m</m:t>
        </m:r>
        <m:sSup>
          <m:e>
            <m:r>
              <m:t>c</m:t>
            </m:r>
          </m:e>
          <m:sup>
            <m:r>
              <m:t>2</m:t>
            </m:r>
          </m:sup>
        </m:sSup>
      </m:oMath>
      <w:r>
        <w:t xml:space="preserve">, or as a standalone equation such as</w:t>
      </w:r>
      <w:r>
        <w:t xml:space="preserve"> </w:t>
      </w:r>
      <w:hyperlink w:anchor="eq-example">
        <w:r>
          <w:rPr>
            <w:rStyle w:val="Hyperlink"/>
          </w:rPr>
          <w:t xml:space="preserve">Equation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bookmarkEnd w:id="52"/>
    <w:bookmarkEnd w:id="53"/>
    <w:bookmarkEnd w:id="54"/>
    <w:bookmarkStart w:id="58" w:name="sec-usage-notes"/>
    <w:p>
      <w:pPr>
        <w:pStyle w:val="berschrift1"/>
      </w:pPr>
      <w:r>
        <w:t xml:space="preserve">2. Usage notes</w:t>
      </w:r>
    </w:p>
    <w:p>
      <w:pPr>
        <w:pStyle w:val="FirstParagraph"/>
      </w:pPr>
      <w:r>
        <w:t xml:space="preserve">The following paragraph is deliberately nonsense and only tests the citation style: according to the approval guideline</w:t>
      </w:r>
      <w:r>
        <w:t xml:space="preserve"> </w:t>
      </w:r>
      <w:r>
        <w:t xml:space="preserve">[</w:t>
      </w:r>
      <w:hyperlink w:anchor="ref-eCH-0003:11.1.0">
        <w:r>
          <w:rPr>
            <w:rStyle w:val="Hyperlink"/>
          </w:rPr>
          <w:t xml:space="preserve">eCH-0003 11.1.0</w:t>
        </w:r>
      </w:hyperlink>
      <w:r>
        <w:t xml:space="preserve">]</w:t>
      </w:r>
      <w:r>
        <w:t xml:space="preserve">, all postal addresses</w:t>
      </w:r>
      <w:r>
        <w:t xml:space="preserve"> </w:t>
      </w:r>
      <w:r>
        <w:t xml:space="preserve">[</w:t>
      </w:r>
      <w:hyperlink w:anchor="ref-eCH-0010:8.1.0">
        <w:r>
          <w:rPr>
            <w:rStyle w:val="Hyperlink"/>
          </w:rPr>
          <w:t xml:space="preserve">eCH-0010 8.1.0</w:t>
        </w:r>
      </w:hyperlink>
      <w:r>
        <w:t xml:space="preserve">]</w:t>
      </w:r>
      <w:r>
        <w:t xml:space="preserve"> </w:t>
      </w:r>
      <w:r>
        <w:t xml:space="preserve">must be serialised in Turtle</w:t>
      </w:r>
      <w:r>
        <w:t xml:space="preserve"> </w:t>
      </w:r>
      <w:r>
        <w:t xml:space="preserve">[</w:t>
      </w:r>
      <w:hyperlink w:anchor="ref-Turtle">
        <w:r>
          <w:rPr>
            <w:rStyle w:val="Hyperlink"/>
          </w:rPr>
          <w:t xml:space="preserve">Turtle</w:t>
        </w:r>
      </w:hyperlink>
      <w:r>
        <w:t xml:space="preserve">]</w:t>
      </w:r>
      <w:r>
        <w:t xml:space="preserve">, validated as a DCAT catalogue</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with SHACL</w:t>
      </w:r>
      <w:r>
        <w:t xml:space="preserve"> </w:t>
      </w:r>
      <w:r>
        <w:t xml:space="preserve">[</w:t>
      </w:r>
      <w:hyperlink w:anchor="ref-SHACL">
        <w:r>
          <w:rPr>
            <w:rStyle w:val="Hyperlink"/>
          </w:rPr>
          <w:t xml:space="preserve">SHACL</w:t>
        </w:r>
      </w:hyperlink>
      <w:r>
        <w:t xml:space="preserve">]</w:t>
      </w:r>
      <w:r>
        <w:t xml:space="preserve"> </w:t>
      </w:r>
      <w:r>
        <w:t xml:space="preserve">and published via SPARQL</w:t>
      </w:r>
      <w:r>
        <w:t xml:space="preserve"> </w:t>
      </w:r>
      <w:r>
        <w:t xml:space="preserve">[</w:t>
      </w:r>
      <w:hyperlink w:anchor="ref-SPARQL">
        <w:r>
          <w:rPr>
            <w:rStyle w:val="Hyperlink"/>
          </w:rPr>
          <w:t xml:space="preserve">SPARQL</w:t>
        </w:r>
      </w:hyperlink>
      <w:r>
        <w:t xml:space="preserve">]</w:t>
      </w:r>
      <w:r>
        <w:t xml:space="preserve"> </w:t>
      </w:r>
      <w:r>
        <w:t xml:space="preserve">as Linked Open Data</w:t>
      </w:r>
      <w:r>
        <w:t xml:space="preserve"> </w:t>
      </w:r>
      <w:r>
        <w:t xml:space="preserve">[</w:t>
      </w:r>
      <w:hyperlink w:anchor="ref-eCH-0205:1.0">
        <w:r>
          <w:rPr>
            <w:rStyle w:val="Hyperlink"/>
          </w:rPr>
          <w:t xml:space="preserve">eCH-0205 1.0</w:t>
        </w:r>
      </w:hyperlink>
      <w:r>
        <w:t xml:space="preserve">]</w:t>
      </w:r>
      <w:r>
        <w:t xml:space="preserve"> </w:t>
      </w:r>
      <w:r>
        <w:t xml:space="preserve">on agricultural crops</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and OWL</w:t>
      </w:r>
      <w:r>
        <w:t xml:space="preserve"> </w:t>
      </w:r>
      <w:r>
        <w:t xml:space="preserve">[</w:t>
      </w:r>
      <w:hyperlink w:anchor="ref-OWL2">
        <w:r>
          <w:rPr>
            <w:rStyle w:val="Hyperlink"/>
          </w:rPr>
          <w:t xml:space="preserve">OWL 2</w:t>
        </w:r>
      </w:hyperlink>
      <w:r>
        <w:t xml:space="preserve">]</w:t>
      </w:r>
      <w:r>
        <w:t xml:space="preserve">, as the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intends.</w:t>
      </w:r>
    </w:p>
    <w:bookmarkStart w:id="57" w:name="sec-namespaces"/>
    <w:p>
      <w:pPr>
        <w:pStyle w:val="berschrift2"/>
      </w:pPr>
      <w:r>
        <w:t xml:space="preserve">2.1 Namespaces</w:t>
      </w:r>
    </w:p>
    <w:p>
      <w:pPr>
        <w:pStyle w:val="FirstParagraph"/>
      </w:pPr>
      <w:hyperlink w:anchor="tbl-namespaces">
        <w:r>
          <w:rPr>
            <w:rStyle w:val="Hyperlink"/>
          </w:rPr>
          <w:t xml:space="preserve">Table 2</w:t>
        </w:r>
      </w:hyperlink>
      <w:r>
        <w:t xml:space="preserve"> </w:t>
      </w:r>
      <w:r>
        <w:t xml:space="preserve">lists the prefixes and namespaces used in this document. A prefix stands for a namespace IRI, the common beginning of the IRIs of a vocabulary. The Turtle specification describes how such</w:t>
      </w:r>
      <w:r>
        <w:t xml:space="preserve"> </w:t>
      </w:r>
      <w:hyperlink r:id="rId55">
        <w:r>
          <w:rPr>
            <w:rStyle w:val="Hyperlink"/>
            <w:i/>
            <w:iCs/>
          </w:rPr>
          <w:t xml:space="preserve">prefixed names</w:t>
        </w:r>
      </w:hyperlink>
      <w:r>
        <w:t xml:space="preserve"> </w:t>
      </w:r>
      <w:r>
        <w:t xml:space="preserve">are resolved</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Table 2: Namespaces used in eCH-1234 – Template Quarto Document.</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Prefix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56" w:name="sec-data-model"/>
    <w:p>
      <w:pPr>
        <w:pStyle w:val="berschrift1"/>
      </w:pPr>
      <w:r>
        <w:t xml:space="preserve">3. Data Model</w:t>
      </w:r>
    </w:p>
    <w:bookmarkStart w:id="71" w:name="sec-nodeshape-genreshape"/>
    <w:p>
      <w:pPr>
        <w:pStyle w:val="berschrift2"/>
      </w:pPr>
      <w:r>
        <w:t xml:space="preserve">3.1 Genre</w:t>
      </w:r>
    </w:p>
    <w:p>
      <w:pPr>
        <w:pStyle w:val="FirstParagraph"/>
      </w:pPr>
      <w:r>
        <w:t xml:space="preserve">A musical category in the Chinook dataset.</w:t>
      </w:r>
    </w:p>
    <w:bookmarkStart w:id="62" w:name="sec-nodeshape-genreshape-overview"/>
    <w:p>
      <w:pPr>
        <w:pStyle w:val="berschrift3"/>
      </w:pPr>
      <w:r>
        <w:t xml:space="preserve">3.1.1 Overview</w:t>
      </w:r>
    </w:p>
    <w:p>
      <w:pPr>
        <w:pStyle w:val="DefinitionTerm"/>
      </w:pPr>
      <w:r>
        <w:t xml:space="preserve">Shape</w:t>
      </w:r>
    </w:p>
    <w:p>
      <w:pPr>
        <w:pStyle w:val="Definition"/>
      </w:pPr>
      <w:hyperlink r:id="rId59">
        <w:r>
          <w:rPr>
            <w:rStyle w:val="Hyperlink"/>
          </w:rPr>
          <w:t xml:space="preserve">:GenreShape</w:t>
        </w:r>
      </w:hyperlink>
    </w:p>
    <w:p>
      <w:pPr>
        <w:pStyle w:val="DefinitionTerm"/>
      </w:pPr>
      <w:r>
        <w:t xml:space="preserve">Target class</w:t>
      </w:r>
    </w:p>
    <w:p>
      <w:pPr>
        <w:pStyle w:val="Definition"/>
      </w:pPr>
      <w:hyperlink r:id="rId60">
        <w:r>
          <w:rPr>
            <w:rStyle w:val="Hyperlink"/>
          </w:rPr>
          <w:t xml:space="preserve">:Genre</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25 instances with 5 to 7 triples each (5.4 on average)</w:t>
      </w:r>
    </w:p>
    <w:p>
      <w:pPr>
        <w:pStyle w:val="DefinitionTerm"/>
      </w:pPr>
      <w:r>
        <w:t xml:space="preserve">Data access</w:t>
      </w:r>
    </w:p>
    <w:p>
      <w:pPr>
        <w:pStyle w:val="Definition"/>
      </w:pPr>
      <w:hyperlink r:id="rId61">
        <w:r>
          <w:rPr>
            <w:rStyle w:val="Hyperlink"/>
          </w:rPr>
          <w:t xml:space="preserve">SPARQL service</w:t>
        </w:r>
      </w:hyperlink>
    </w:p>
    <w:bookmarkEnd w:id="62"/>
    <w:bookmarkStart w:id="68" w:name="sec-nodeshape-genreshape-properties"/>
    <w:p>
      <w:pPr>
        <w:pStyle w:val="berschrift3"/>
      </w:pPr>
      <w:r>
        <w:t xml:space="preserve">3.1.2 Properties</w:t>
      </w:r>
    </w:p>
    <w:tbl>
      <w:tblPr>
        <w:tblStyle w:val="Table"/>
        <w:tblW w:type="pct" w:w="4967"/>
        <w:tblLayout w:type="fixed"/>
        <w:tblLook w:firstRow="1" w:lastRow="0" w:firstColumn="0" w:lastColumn="0" w:noHBand="0" w:noVBand="0" w:val="0020"/>
      </w:tblPr>
      <w:tblGrid>
        <w:gridCol w:w="3157"/>
        <w:gridCol w:w="3934"/>
        <w:gridCol w:w="776"/>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p>
        </w:tc>
        <w:tc>
          <w:tcPr/>
          <w:p>
            <w:pPr>
              <w:pStyle w:val="Compact"/>
              <w:numPr>
                <w:ilvl w:val="0"/>
                <w:numId w:val="1004"/>
              </w:numPr>
              <w:jc w:val="left"/>
            </w:pPr>
            <w:r>
              <w:t xml:space="preserve">Type: Text (</w:t>
            </w:r>
            <w:hyperlink r:id="rId64">
              <w:r>
                <w:rPr>
                  <w:rStyle w:val="Hyperlink"/>
                </w:rPr>
                <w:t xml:space="preserve">xsd:string</w:t>
              </w:r>
            </w:hyperlink>
            <w:r>
              <w:t xml:space="preserve">)</w:t>
            </w:r>
          </w:p>
          <w:p>
            <w:pPr>
              <w:pStyle w:val="Compact"/>
              <w:numPr>
                <w:ilvl w:val="0"/>
                <w:numId w:val="1004"/>
              </w:numPr>
              <w:jc w:val="left"/>
            </w:pPr>
            <w:r>
              <w:t xml:space="preserve">Pattern:</w:t>
            </w:r>
            <w:r>
              <w:t xml:space="preserve"> </w:t>
            </w:r>
            <w:r>
              <w:rPr>
                <w:rStyle w:val="VerbatimChar"/>
              </w:rPr>
              <w:t xml:space="preserve">^[A-Z]</w:t>
            </w:r>
          </w:p>
          <w:p>
            <w:pPr>
              <w:pStyle w:val="Compact"/>
              <w:numPr>
                <w:ilvl w:val="0"/>
                <w:numId w:val="1004"/>
              </w:numPr>
              <w:jc w:val="left"/>
            </w:pPr>
            <w:r>
              <w:t xml:space="preserve">Length: 2–50 characters</w:t>
            </w:r>
          </w:p>
        </w:tc>
        <w:tc>
          <w:tcPr/>
          <w:p>
            <w:pPr>
              <w:pStyle w:val="Compact"/>
              <w:jc w:val="right"/>
            </w:pPr>
            <w:r>
              <w:t xml:space="preserve">1..1</w:t>
            </w:r>
          </w:p>
        </w:tc>
      </w:tr>
      <w:tr>
        <w:tc>
          <w:tcPr/>
          <w:p>
            <w:pPr>
              <w:pStyle w:val="Compact"/>
              <w:jc w:val="left"/>
            </w:pPr>
            <w:r>
              <w:rPr>
                <w:b/>
                <w:bCs/>
              </w:rPr>
              <w:t xml:space="preserve">Part of</w:t>
            </w:r>
            <w:r>
              <w:t xml:space="preserve"> </w:t>
            </w:r>
            <w:r>
              <w:t xml:space="preserve">(</w:t>
            </w:r>
            <w:hyperlink r:id="rId65">
              <w:r>
                <w:rPr>
                  <w:rStyle w:val="Hyperlink"/>
                </w:rPr>
                <w:t xml:space="preserve">schema:partOf</w:t>
              </w:r>
            </w:hyperlink>
            <w:r>
              <w:t xml:space="preserve">)</w:t>
            </w:r>
          </w:p>
        </w:tc>
        <w:tc>
          <w:tcPr/>
          <w:p>
            <w:pPr>
              <w:pStyle w:val="Compact"/>
              <w:numPr>
                <w:ilvl w:val="0"/>
                <w:numId w:val="100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Alternate name</w:t>
            </w:r>
            <w:r>
              <w:t xml:space="preserve"> </w:t>
            </w:r>
            <w:r>
              <w:t xml:space="preserve">(</w:t>
            </w:r>
            <w:hyperlink r:id="rId66">
              <w:r>
                <w:rPr>
                  <w:rStyle w:val="Hyperlink"/>
                </w:rPr>
                <w:t xml:space="preserve">schema:alternateName</w:t>
              </w:r>
            </w:hyperlink>
            <w:r>
              <w:t xml:space="preserve">):</w:t>
            </w:r>
            <w:r>
              <w:t xml:space="preserve"> </w:t>
            </w:r>
            <w:r>
              <w:t xml:space="preserve">Translated or colloquial name of the genre, at most one</w:t>
            </w:r>
            <w:r>
              <w:t xml:space="preserve"> </w:t>
            </w:r>
            <w:r>
              <w:t xml:space="preserve">per language.</w:t>
            </w:r>
          </w:p>
        </w:tc>
        <w:tc>
          <w:tcPr/>
          <w:p>
            <w:pPr>
              <w:pStyle w:val="Compact"/>
              <w:numPr>
                <w:ilvl w:val="0"/>
                <w:numId w:val="1006"/>
              </w:numPr>
              <w:jc w:val="left"/>
            </w:pPr>
            <w:r>
              <w:t xml:space="preserve">Type: Language-tagged text</w:t>
            </w:r>
            <w:r>
              <w:t xml:space="preserve"> </w:t>
            </w:r>
            <w:r>
              <w:t xml:space="preserve">(</w:t>
            </w:r>
            <w:hyperlink r:id="rId67">
              <w:r>
                <w:rPr>
                  <w:rStyle w:val="Hyperlink"/>
                </w:rPr>
                <w:t xml:space="preserve">rdf:langString</w:t>
              </w:r>
            </w:hyperlink>
            <w:r>
              <w:t xml:space="preserve">)</w:t>
            </w:r>
          </w:p>
          <w:p>
            <w:pPr>
              <w:pStyle w:val="Compact"/>
              <w:numPr>
                <w:ilvl w:val="0"/>
                <w:numId w:val="1006"/>
              </w:numPr>
              <w:jc w:val="left"/>
            </w:pPr>
            <w:r>
              <w:t xml:space="preserve">Length: ≤ 50 characters</w:t>
            </w:r>
          </w:p>
          <w:p>
            <w:pPr>
              <w:pStyle w:val="Compact"/>
              <w:numPr>
                <w:ilvl w:val="0"/>
                <w:numId w:val="1006"/>
              </w:numPr>
              <w:jc w:val="left"/>
            </w:pPr>
            <w:r>
              <w:t xml:space="preserve">Languages: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(one per language)</w:t>
            </w:r>
          </w:p>
        </w:tc>
        <w:tc>
          <w:tcPr/>
          <w:p>
            <w:pPr>
              <w:pStyle w:val="Compact"/>
              <w:jc w:val="right"/>
            </w:pPr>
            <w:r>
              <w:t xml:space="preserve">0..*</w:t>
            </w:r>
          </w:p>
        </w:tc>
      </w:tr>
    </w:tbl>
    <w:bookmarkEnd w:id="68"/>
    <w:bookmarkStart w:id="70" w:name="sec-nodeshape-genreshape-rules"/>
    <w:p>
      <w:pPr>
        <w:pStyle w:val="berschrift3"/>
      </w:pPr>
      <w:r>
        <w:t xml:space="preserve">3.1.3 Rules (SPARQL)</w:t>
      </w:r>
    </w:p>
    <w:bookmarkStart w:id="69" w:name="sec-nodeshape-genreshape-rule-1"/>
    <w:p>
      <w:pPr>
        <w:pStyle w:val="berschrift4"/>
      </w:pPr>
      <w:r>
        <w:t xml:space="preserve">3.1.3.1 No cyclic hierarchy</w:t>
      </w:r>
    </w:p>
    <w:p>
      <w:pPr>
        <w:pStyle w:val="FirstParagraph"/>
      </w:pPr>
      <w:r>
        <w:t xml:space="preserve">A genre cannot be a part of itself, either directly or transitively.</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9"/>
    <w:bookmarkEnd w:id="70"/>
    <w:bookmarkEnd w:id="71"/>
    <w:bookmarkStart w:id="86" w:name="sec-nodeshape-invoiceshape"/>
    <w:p>
      <w:pPr>
        <w:pStyle w:val="berschrift2"/>
      </w:pPr>
      <w:r>
        <w:t xml:space="preserve">3.2 Invoice</w:t>
      </w:r>
    </w:p>
    <w:p>
      <w:pPr>
        <w:pStyle w:val="FirstParagraph"/>
      </w:pPr>
      <w:r>
        <w:t xml:space="preserve">A purchase receipt in the Chinook dataset. An invoice groups the items of one purchase. The invoice total is not only recorded as a value but also checked against the sum of its items; differences of more than five cents count as errors. Invoices dated before the year 2000 stem from a legacy system and are not permitted in this dataset.</w:t>
      </w:r>
    </w:p>
    <w:bookmarkStart w:id="75" w:name="sec-nodeshape-invoiceshape-overview"/>
    <w:p>
      <w:pPr>
        <w:pStyle w:val="berschrift3"/>
      </w:pPr>
      <w:r>
        <w:t xml:space="preserve">3.2.1 Overview</w:t>
      </w:r>
    </w:p>
    <w:p>
      <w:pPr>
        <w:pStyle w:val="DefinitionTerm"/>
      </w:pPr>
      <w:r>
        <w:t xml:space="preserve">Shape</w:t>
      </w:r>
    </w:p>
    <w:p>
      <w:pPr>
        <w:pStyle w:val="Definition"/>
      </w:pPr>
      <w:hyperlink r:id="rId72">
        <w:r>
          <w:rPr>
            <w:rStyle w:val="Hyperlink"/>
          </w:rPr>
          <w:t xml:space="preserve">:InvoiceShape</w:t>
        </w:r>
      </w:hyperlink>
    </w:p>
    <w:p>
      <w:pPr>
        <w:pStyle w:val="DefinitionTerm"/>
      </w:pPr>
      <w:r>
        <w:t xml:space="preserve">Target class</w:t>
      </w:r>
    </w:p>
    <w:p>
      <w:pPr>
        <w:pStyle w:val="Definition"/>
      </w:pPr>
      <w:hyperlink r:id="rId73">
        <w:r>
          <w:rPr>
            <w:rStyle w:val="Hyperlink"/>
          </w:rPr>
          <w:t xml:space="preserve">schema:Invoice</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412 instances with 8 to 21 triples each (12.4 on average)</w:t>
      </w:r>
    </w:p>
    <w:p>
      <w:pPr>
        <w:pStyle w:val="DefinitionTerm"/>
      </w:pPr>
      <w:r>
        <w:t xml:space="preserve">Data access</w:t>
      </w:r>
    </w:p>
    <w:p>
      <w:pPr>
        <w:pStyle w:val="Definition"/>
      </w:pPr>
      <w:hyperlink r:id="rId74">
        <w:r>
          <w:rPr>
            <w:rStyle w:val="Hyperlink"/>
          </w:rPr>
          <w:t xml:space="preserve">SPARQL service</w:t>
        </w:r>
      </w:hyperlink>
    </w:p>
    <w:bookmarkEnd w:id="75"/>
    <w:bookmarkStart w:id="82" w:name="sec-nodeshape-invoiceshape-properties"/>
    <w:p>
      <w:pPr>
        <w:pStyle w:val="berschrift3"/>
      </w:pPr>
      <w:r>
        <w:t xml:space="preserve">3.2.2 Properties</w:t>
      </w:r>
    </w:p>
    <w:tbl>
      <w:tblPr>
        <w:tblStyle w:val="Table"/>
        <w:tblW w:type="pct" w:w="4963"/>
        <w:tblLayout w:type="fixed"/>
        <w:tblLook w:firstRow="1" w:lastRow="0" w:firstColumn="0" w:lastColumn="0" w:noHBand="0" w:noVBand="0" w:val="0020"/>
      </w:tblPr>
      <w:tblGrid>
        <w:gridCol w:w="3813"/>
        <w:gridCol w:w="3168"/>
        <w:gridCol w:w="88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Customer</w:t>
            </w:r>
            <w:r>
              <w:t xml:space="preserve"> </w:t>
            </w:r>
            <w:r>
              <w:t xml:space="preserve">(</w:t>
            </w:r>
            <w:hyperlink r:id="rId76">
              <w:r>
                <w:rPr>
                  <w:rStyle w:val="Hyperlink"/>
                </w:rPr>
                <w:t xml:space="preserve">schema:customer</w:t>
              </w:r>
            </w:hyperlink>
            <w:r>
              <w:t xml:space="preserve">):</w:t>
            </w:r>
            <w:r>
              <w:t xml:space="preserve"> </w:t>
            </w:r>
            <w:r>
              <w:t xml:space="preserve">An invoice must be linked to exactly one customer.</w:t>
            </w:r>
          </w:p>
        </w:tc>
        <w:tc>
          <w:tcPr/>
          <w:p>
            <w:pPr>
              <w:pStyle w:val="Compact"/>
              <w:numPr>
                <w:ilvl w:val="0"/>
                <w:numId w:val="1007"/>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Total payment due</w:t>
            </w:r>
            <w:r>
              <w:t xml:space="preserve"> </w:t>
            </w:r>
            <w:r>
              <w:t xml:space="preserve">(</w:t>
            </w:r>
            <w:hyperlink r:id="rId77">
              <w:r>
                <w:rPr>
                  <w:rStyle w:val="Hyperlink"/>
                </w:rPr>
                <w:t xml:space="preserve">schema:totalPaymentDue</w:t>
              </w:r>
            </w:hyperlink>
            <w:r>
              <w:t xml:space="preserve">):</w:t>
            </w:r>
            <w:r>
              <w:t xml:space="preserve"> </w:t>
            </w:r>
            <w:r>
              <w:t xml:space="preserve">An invoice must define a total payment due as a</w:t>
            </w:r>
            <w:r>
              <w:t xml:space="preserve"> </w:t>
            </w:r>
            <w:r>
              <w:t xml:space="preserve">schema:QuantitativeValue.</w:t>
            </w:r>
          </w:p>
        </w:tc>
        <w:tc>
          <w:tcPr/>
          <w:p>
            <w:pPr>
              <w:pStyle w:val="Compact"/>
              <w:numPr>
                <w:ilvl w:val="0"/>
                <w:numId w:val="1008"/>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1..1</w:t>
            </w:r>
          </w:p>
        </w:tc>
      </w:tr>
      <w:tr>
        <w:tc>
          <w:tcPr/>
          <w:p>
            <w:pPr>
              <w:pStyle w:val="Compact"/>
              <w:jc w:val="left"/>
            </w:pPr>
            <w:r>
              <w:rPr>
                <w:b/>
                <w:bCs/>
              </w:rPr>
              <w:t xml:space="preserve">Has part</w:t>
            </w:r>
            <w:r>
              <w:t xml:space="preserve"> </w:t>
            </w:r>
            <w:r>
              <w:t xml:space="preserve">(</w:t>
            </w:r>
            <w:hyperlink r:id="rId78">
              <w:r>
                <w:rPr>
                  <w:rStyle w:val="Hyperlink"/>
                </w:rPr>
                <w:t xml:space="preserve">schema:hasPart</w:t>
              </w:r>
            </w:hyperlink>
            <w:r>
              <w:t xml:space="preserve">): An</w:t>
            </w:r>
            <w:r>
              <w:t xml:space="preserve"> </w:t>
            </w:r>
            <w:r>
              <w:t xml:space="preserve">invoice must have at least one line item (OrderItem).</w:t>
            </w:r>
          </w:p>
        </w:tc>
        <w:tc>
          <w:tcPr/>
          <w:p>
            <w:pPr>
              <w:pStyle w:val="Compact"/>
              <w:numPr>
                <w:ilvl w:val="0"/>
                <w:numId w:val="1009"/>
              </w:numPr>
              <w:jc w:val="left"/>
            </w:pPr>
            <w:r>
              <w:t xml:space="preserve">Type:</w:t>
            </w:r>
            <w:r>
              <w:t xml:space="preserve"> </w:t>
            </w:r>
            <w:hyperlink r:id="rId79">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Date created</w:t>
            </w:r>
            <w:r>
              <w:t xml:space="preserve"> </w:t>
            </w:r>
            <w:r>
              <w:t xml:space="preserve">(</w:t>
            </w:r>
            <w:hyperlink r:id="rId80">
              <w:r>
                <w:rPr>
                  <w:rStyle w:val="Hyperlink"/>
                </w:rPr>
                <w:t xml:space="preserve">schema:dateCreated</w:t>
              </w:r>
            </w:hyperlink>
            <w:r>
              <w:t xml:space="preserve">)</w:t>
            </w:r>
          </w:p>
        </w:tc>
        <w:tc>
          <w:tcPr/>
          <w:p>
            <w:pPr>
              <w:pStyle w:val="Compact"/>
              <w:numPr>
                <w:ilvl w:val="0"/>
                <w:numId w:val="1010"/>
              </w:numPr>
              <w:jc w:val="left"/>
            </w:pPr>
            <w:r>
              <w:t xml:space="preserve">Type: Date</w:t>
            </w:r>
            <w:r>
              <w:t xml:space="preserve"> </w:t>
            </w:r>
            <w:r>
              <w:t xml:space="preserve">(</w:t>
            </w:r>
            <w:hyperlink r:id="rId81">
              <w:r>
                <w:rPr>
                  <w:rStyle w:val="Hyperlink"/>
                </w:rPr>
                <w:t xml:space="preserve">xsd:date</w:t>
              </w:r>
            </w:hyperlink>
            <w:r>
              <w:t xml:space="preserve">)</w:t>
            </w:r>
          </w:p>
          <w:p>
            <w:pPr>
              <w:pStyle w:val="Compact"/>
              <w:numPr>
                <w:ilvl w:val="0"/>
                <w:numId w:val="1010"/>
              </w:numPr>
              <w:jc w:val="left"/>
            </w:pPr>
            <w:r>
              <w:t xml:space="preserve">Range: ≥ 2000-01-01</w:t>
            </w:r>
          </w:p>
          <w:p>
            <w:pPr>
              <w:pStyle w:val="Compact"/>
              <w:numPr>
                <w:ilvl w:val="0"/>
                <w:numId w:val="1010"/>
              </w:numPr>
              <w:jc w:val="left"/>
            </w:pPr>
            <w:r>
              <w:t xml:space="preserve">Examples: 2001-01-01, 2024-05-21</w:t>
            </w:r>
          </w:p>
        </w:tc>
        <w:tc>
          <w:tcPr/>
          <w:p>
            <w:pPr>
              <w:pStyle w:val="Compact"/>
              <w:jc w:val="right"/>
            </w:pPr>
            <w:r>
              <w:t xml:space="preserve">0..*</w:t>
            </w:r>
          </w:p>
        </w:tc>
      </w:tr>
    </w:tbl>
    <w:bookmarkEnd w:id="82"/>
    <w:bookmarkStart w:id="85" w:name="sec-nodeshape-invoiceshape-rules"/>
    <w:p>
      <w:pPr>
        <w:pStyle w:val="berschrift3"/>
      </w:pPr>
      <w:r>
        <w:t xml:space="preserve">3.2.3 Rules (SPARQL)</w:t>
      </w:r>
    </w:p>
    <w:bookmarkStart w:id="83" w:name="sec-nodeshape-invoiceshape-rule-1"/>
    <w:p>
      <w:pPr>
        <w:pStyle w:val="berschrift4"/>
      </w:pPr>
      <w:r>
        <w:t xml:space="preserve">3.2.3.1 Invoice date</w:t>
      </w:r>
    </w:p>
    <w:p>
      <w:pPr>
        <w:pStyle w:val="FirstParagraph"/>
      </w:pPr>
      <w:r>
        <w:t xml:space="preserve">An invoice cannot be dated before the year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83"/>
    <w:bookmarkStart w:id="84" w:name="sec-nodeshape-invoiceshape-rule-2"/>
    <w:p>
      <w:pPr>
        <w:pStyle w:val="berschrift4"/>
      </w:pPr>
      <w:r>
        <w:t xml:space="preserve">3.2.3.2 Invoice total</w:t>
      </w:r>
    </w:p>
    <w:p>
      <w:pPr>
        <w:pStyle w:val="FirstParagraph"/>
      </w:pPr>
      <w:r>
        <w:t xml:space="preserve">Invoice total payment due must exactly match the sum of its lines (within 0.05 tolerance).</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84"/>
    <w:bookmarkEnd w:id="85"/>
    <w:bookmarkEnd w:id="86"/>
    <w:bookmarkStart w:id="94" w:name="sec-nodeshape-musicalbumshape"/>
    <w:p>
      <w:pPr>
        <w:pStyle w:val="berschrift2"/>
      </w:pPr>
      <w:r>
        <w:t xml:space="preserve">3.3 Music album</w:t>
      </w:r>
    </w:p>
    <w:p>
      <w:pPr>
        <w:pStyle w:val="FirstParagraph"/>
      </w:pPr>
      <w:r>
        <w:t xml:space="preserve">A collection of tracks in the Chinook dataset.</w:t>
      </w:r>
    </w:p>
    <w:bookmarkStart w:id="90" w:name="sec-nodeshape-musicalbumshape-overview"/>
    <w:p>
      <w:pPr>
        <w:pStyle w:val="berschrift3"/>
      </w:pPr>
      <w:r>
        <w:t xml:space="preserve">3.3.1 Overview</w:t>
      </w:r>
    </w:p>
    <w:p>
      <w:pPr>
        <w:pStyle w:val="DefinitionTerm"/>
      </w:pPr>
      <w:r>
        <w:t xml:space="preserve">Shape</w:t>
      </w:r>
    </w:p>
    <w:p>
      <w:pPr>
        <w:pStyle w:val="Definition"/>
      </w:pPr>
      <w:hyperlink r:id="rId87">
        <w:r>
          <w:rPr>
            <w:rStyle w:val="Hyperlink"/>
          </w:rPr>
          <w:t xml:space="preserve">:MusicAlbumShape</w:t>
        </w:r>
      </w:hyperlink>
    </w:p>
    <w:p>
      <w:pPr>
        <w:pStyle w:val="DefinitionTerm"/>
      </w:pPr>
      <w:r>
        <w:t xml:space="preserve">Target class</w:t>
      </w:r>
    </w:p>
    <w:p>
      <w:pPr>
        <w:pStyle w:val="Definition"/>
      </w:pPr>
      <w:hyperlink r:id="rId88">
        <w:r>
          <w:rPr>
            <w:rStyle w:val="Hyperlink"/>
          </w:rPr>
          <w:t xml:space="preserve">schema:MusicAlbum</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347 instances with 5 triples each</w:t>
      </w:r>
    </w:p>
    <w:p>
      <w:pPr>
        <w:pStyle w:val="DefinitionTerm"/>
      </w:pPr>
      <w:r>
        <w:t xml:space="preserve">Data access</w:t>
      </w:r>
    </w:p>
    <w:p>
      <w:pPr>
        <w:pStyle w:val="Definition"/>
      </w:pPr>
      <w:hyperlink r:id="rId89">
        <w:r>
          <w:rPr>
            <w:rStyle w:val="Hyperlink"/>
          </w:rPr>
          <w:t xml:space="preserve">SPARQL service</w:t>
        </w:r>
      </w:hyperlink>
    </w:p>
    <w:bookmarkEnd w:id="90"/>
    <w:bookmarkStart w:id="93" w:name="sec-nodeshape-musicalbumshape-properties"/>
    <w:p>
      <w:pPr>
        <w:pStyle w:val="berschrift3"/>
      </w:pPr>
      <w:r>
        <w:t xml:space="preserve">3.3.2 Properties</w:t>
      </w:r>
    </w:p>
    <w:tbl>
      <w:tblPr>
        <w:tblStyle w:val="Table"/>
        <w:tblW w:type="pct" w:w="4960"/>
        <w:tblLayout w:type="fixed"/>
        <w:tblLook w:firstRow="1" w:lastRow="0" w:firstColumn="0" w:lastColumn="0" w:noHBand="0" w:noVBand="0" w:val="0020"/>
      </w:tblPr>
      <w:tblGrid>
        <w:gridCol w:w="3231"/>
        <w:gridCol w:w="3674"/>
        <w:gridCol w:w="95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Every</w:t>
            </w:r>
            <w:r>
              <w:t xml:space="preserve"> </w:t>
            </w:r>
            <w:r>
              <w:t xml:space="preserve">album must have a name.</w:t>
            </w:r>
          </w:p>
        </w:tc>
        <w:tc>
          <w:tcPr/>
          <w:p>
            <w:pPr>
              <w:pStyle w:val="Compact"/>
              <w:numPr>
                <w:ilvl w:val="0"/>
                <w:numId w:val="1011"/>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11"/>
              </w:numPr>
              <w:jc w:val="left"/>
            </w:pPr>
            <w:r>
              <w:t xml:space="preserve">Length: ≤ 200 characters</w:t>
            </w:r>
          </w:p>
        </w:tc>
        <w:tc>
          <w:tcPr/>
          <w:p>
            <w:pPr>
              <w:pStyle w:val="Compact"/>
              <w:jc w:val="right"/>
            </w:pPr>
            <w:r>
              <w:t xml:space="preserve">1..1</w:t>
            </w:r>
          </w:p>
        </w:tc>
      </w:tr>
      <w:tr>
        <w:tc>
          <w:tcPr/>
          <w:p>
            <w:pPr>
              <w:pStyle w:val="Compact"/>
              <w:jc w:val="left"/>
            </w:pPr>
            <w:r>
              <w:rPr>
                <w:b/>
                <w:bCs/>
              </w:rPr>
              <w:t xml:space="preserve">Artist</w:t>
            </w:r>
            <w:r>
              <w:t xml:space="preserve"> </w:t>
            </w:r>
            <w:r>
              <w:t xml:space="preserve">(</w:t>
            </w:r>
            <w:hyperlink r:id="rId91">
              <w:r>
                <w:rPr>
                  <w:rStyle w:val="Hyperlink"/>
                </w:rPr>
                <w:t xml:space="preserve">schema:byArtist</w:t>
              </w:r>
            </w:hyperlink>
            <w:r>
              <w:t xml:space="preserve">):</w:t>
            </w:r>
            <w:r>
              <w:t xml:space="preserve"> </w:t>
            </w:r>
            <w:r>
              <w:t xml:space="preserve">Person or music group who created the album.</w:t>
            </w:r>
          </w:p>
        </w:tc>
        <w:tc>
          <w:tcPr/>
          <w:p>
            <w:pPr>
              <w:pStyle w:val="Compact"/>
              <w:numPr>
                <w:ilvl w:val="0"/>
                <w:numId w:val="1012"/>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hyperlink r:id="rId92">
              <w:r>
                <w:rPr>
                  <w:rStyle w:val="Hyperlink"/>
                </w:rPr>
                <w:t xml:space="preserve">schema:MusicGroup</w:t>
              </w:r>
            </w:hyperlink>
          </w:p>
        </w:tc>
        <w:tc>
          <w:tcPr/>
          <w:p>
            <w:pPr>
              <w:pStyle w:val="Compact"/>
              <w:jc w:val="right"/>
            </w:pPr>
            <w:r>
              <w:t xml:space="preserve">0..*</w:t>
            </w:r>
          </w:p>
        </w:tc>
      </w:tr>
    </w:tbl>
    <w:bookmarkEnd w:id="93"/>
    <w:bookmarkEnd w:id="94"/>
    <w:bookmarkStart w:id="105" w:name="sec-nodeshape-trackshape"/>
    <w:p>
      <w:pPr>
        <w:pStyle w:val="berschrift2"/>
      </w:pPr>
      <w:r>
        <w:t xml:space="preserve">3.4 Music Recording</w:t>
      </w:r>
    </w:p>
    <w:p>
      <w:pPr>
        <w:pStyle w:val="FirstParagraph"/>
      </w:pPr>
      <w:r>
        <w:t xml:space="preserve">A single music track in the Chinook dataset.</w:t>
      </w:r>
    </w:p>
    <w:bookmarkStart w:id="98" w:name="sec-nodeshape-trackshape-overview"/>
    <w:p>
      <w:pPr>
        <w:pStyle w:val="berschrift3"/>
      </w:pPr>
      <w:r>
        <w:t xml:space="preserve">3.4.1 Overview</w:t>
      </w:r>
    </w:p>
    <w:p>
      <w:pPr>
        <w:pStyle w:val="DefinitionTerm"/>
      </w:pPr>
      <w:r>
        <w:t xml:space="preserve">Shape</w:t>
      </w:r>
    </w:p>
    <w:p>
      <w:pPr>
        <w:pStyle w:val="Definition"/>
      </w:pPr>
      <w:hyperlink r:id="rId95">
        <w:r>
          <w:rPr>
            <w:rStyle w:val="Hyperlink"/>
          </w:rPr>
          <w:t xml:space="preserve">:TrackShape</w:t>
        </w:r>
      </w:hyperlink>
    </w:p>
    <w:p>
      <w:pPr>
        <w:pStyle w:val="DefinitionTerm"/>
      </w:pPr>
      <w:r>
        <w:t xml:space="preserve">Target class</w:t>
      </w:r>
    </w:p>
    <w:p>
      <w:pPr>
        <w:pStyle w:val="Definition"/>
      </w:pPr>
      <w:hyperlink r:id="rId96">
        <w:r>
          <w:rPr>
            <w:rStyle w:val="Hyperlink"/>
          </w:rPr>
          <w:t xml:space="preserve">schema:MusicRecording</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3503 instances with 10 to 15 triples each (11.1 on average)</w:t>
      </w:r>
    </w:p>
    <w:p>
      <w:pPr>
        <w:pStyle w:val="DefinitionTerm"/>
      </w:pPr>
      <w:r>
        <w:t xml:space="preserve">Data access</w:t>
      </w:r>
    </w:p>
    <w:p>
      <w:pPr>
        <w:pStyle w:val="Definition"/>
      </w:pPr>
      <w:hyperlink r:id="rId97">
        <w:r>
          <w:rPr>
            <w:rStyle w:val="Hyperlink"/>
          </w:rPr>
          <w:t xml:space="preserve">SPARQL service</w:t>
        </w:r>
      </w:hyperlink>
    </w:p>
    <w:bookmarkEnd w:id="98"/>
    <w:bookmarkStart w:id="104" w:name="sec-nodeshape-trackshape-properties"/>
    <w:p>
      <w:pPr>
        <w:pStyle w:val="berschrift3"/>
      </w:pPr>
      <w:r>
        <w:t xml:space="preserve">3.4.2 Properties</w:t>
      </w:r>
    </w:p>
    <w:tbl>
      <w:tblPr>
        <w:tblStyle w:val="Table"/>
        <w:tblW w:type="pct" w:w="4962"/>
        <w:tblLayout w:type="fixed"/>
        <w:tblLook w:firstRow="1" w:lastRow="0" w:firstColumn="0" w:lastColumn="0" w:noHBand="0" w:noVBand="0" w:val="0020"/>
      </w:tblPr>
      <w:tblGrid>
        <w:gridCol w:w="3411"/>
        <w:gridCol w:w="3533"/>
        <w:gridCol w:w="913"/>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Every track must have a name.</w:t>
            </w:r>
          </w:p>
        </w:tc>
        <w:tc>
          <w:tcPr/>
          <w:p>
            <w:pPr>
              <w:pStyle w:val="Compact"/>
              <w:numPr>
                <w:ilvl w:val="0"/>
                <w:numId w:val="1013"/>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13"/>
              </w:numPr>
              <w:jc w:val="left"/>
            </w:pPr>
            <w:r>
              <w:t xml:space="preserve">Length: 1–200 characters</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hyperlink r:id="rId99">
              <w:r>
                <w:rPr>
                  <w:rStyle w:val="Hyperlink"/>
                </w:rPr>
                <w:t xml:space="preserve">schema:inAlbum</w:t>
              </w:r>
            </w:hyperlink>
            <w:r>
              <w:t xml:space="preserve">): A</w:t>
            </w:r>
            <w:r>
              <w:t xml:space="preserve"> </w:t>
            </w:r>
            <w:r>
              <w:t xml:space="preserve">track can only belong to a valid schema:MusicAlbum.</w:t>
            </w:r>
          </w:p>
        </w:tc>
        <w:tc>
          <w:tcPr/>
          <w:p>
            <w:pPr>
              <w:pStyle w:val="Compact"/>
              <w:numPr>
                <w:ilvl w:val="0"/>
                <w:numId w:val="1014"/>
              </w:numPr>
              <w:jc w:val="left"/>
            </w:pPr>
            <w:r>
              <w:t xml:space="preserve">Type:</w:t>
            </w:r>
            <w:r>
              <w:t xml:space="preserve"> </w:t>
            </w:r>
            <w:hyperlink w:anchor="sec-nodeshape-musicalbumshape">
              <w:r>
                <w:rPr>
                  <w:rStyle w:val="Hyperlink"/>
                </w:rPr>
                <w:t xml:space="preserve">Music album</w:t>
              </w:r>
            </w:hyperlink>
          </w:p>
        </w:tc>
        <w:tc>
          <w:tcPr/>
          <w:p>
            <w:pPr>
              <w:pStyle w:val="Compact"/>
              <w:jc w:val="right"/>
            </w:pPr>
            <w:r>
              <w:t xml:space="preserve">0..*</w:t>
            </w:r>
          </w:p>
        </w:tc>
      </w:tr>
      <w:tr>
        <w:tc>
          <w:tcPr/>
          <w:p>
            <w:pPr>
              <w:pStyle w:val="Compact"/>
              <w:jc w:val="left"/>
            </w:pPr>
            <w:r>
              <w:rPr>
                <w:b/>
                <w:bCs/>
              </w:rPr>
              <w:t xml:space="preserve">Author</w:t>
            </w:r>
            <w:r>
              <w:t xml:space="preserve"> </w:t>
            </w:r>
            <w:r>
              <w:t xml:space="preserve">(</w:t>
            </w:r>
            <w:hyperlink r:id="rId100">
              <w:r>
                <w:rPr>
                  <w:rStyle w:val="Hyperlink"/>
                </w:rPr>
                <w:t xml:space="preserve">schema:author</w:t>
              </w:r>
            </w:hyperlink>
            <w:r>
              <w:t xml:space="preserve">): The</w:t>
            </w:r>
            <w:r>
              <w:t xml:space="preserve"> </w:t>
            </w:r>
            <w:r>
              <w:t xml:space="preserve">person or group who wrote the track.</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101">
              <w:r>
                <w:rPr>
                  <w:rStyle w:val="Hyperlink"/>
                </w:rPr>
                <w:t xml:space="preserve">schema:genre</w:t>
              </w:r>
            </w:hyperlink>
            <w:r>
              <w:t xml:space="preserve">)</w:t>
            </w:r>
          </w:p>
        </w:tc>
        <w:tc>
          <w:tcPr/>
          <w:p>
            <w:pPr>
              <w:pStyle w:val="Compact"/>
              <w:numPr>
                <w:ilvl w:val="0"/>
                <w:numId w:val="101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Duration</w:t>
            </w:r>
            <w:r>
              <w:t xml:space="preserve"> </w:t>
            </w:r>
            <w:r>
              <w:t xml:space="preserve">(</w:t>
            </w:r>
            <w:hyperlink r:id="rId102">
              <w:r>
                <w:rPr>
                  <w:rStyle w:val="Hyperlink"/>
                </w:rPr>
                <w:t xml:space="preserve">schema:duration</w:t>
              </w:r>
            </w:hyperlink>
            <w:r>
              <w:t xml:space="preserve">):</w:t>
            </w:r>
            <w:r>
              <w:t xml:space="preserve"> </w:t>
            </w:r>
            <w:r>
              <w:t xml:space="preserve">Track duration must be expressed as a</w:t>
            </w:r>
            <w:r>
              <w:t xml:space="preserve"> </w:t>
            </w:r>
            <w:r>
              <w:t xml:space="preserve">schema:QuantitativeValue.</w:t>
            </w:r>
          </w:p>
        </w:tc>
        <w:tc>
          <w:tcPr/>
          <w:p>
            <w:pPr>
              <w:pStyle w:val="Compact"/>
              <w:numPr>
                <w:ilvl w:val="0"/>
                <w:numId w:val="1016"/>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0..*</w:t>
            </w:r>
          </w:p>
        </w:tc>
      </w:tr>
      <w:tr>
        <w:tc>
          <w:tcPr/>
          <w:p>
            <w:pPr>
              <w:pStyle w:val="Compact"/>
              <w:jc w:val="left"/>
            </w:pPr>
            <w:r>
              <w:rPr>
                <w:b/>
                <w:bCs/>
              </w:rPr>
              <w:t xml:space="preserve">Content Size</w:t>
            </w:r>
            <w:r>
              <w:t xml:space="preserve"> </w:t>
            </w:r>
            <w:r>
              <w:t xml:space="preserve">(</w:t>
            </w:r>
            <w:hyperlink r:id="rId103">
              <w:r>
                <w:rPr>
                  <w:rStyle w:val="Hyperlink"/>
                </w:rPr>
                <w:t xml:space="preserve">schema:contentSize</w:t>
              </w:r>
            </w:hyperlink>
            <w:r>
              <w:t xml:space="preserv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0..*</w:t>
            </w:r>
          </w:p>
        </w:tc>
      </w:tr>
    </w:tbl>
    <w:bookmarkEnd w:id="104"/>
    <w:bookmarkEnd w:id="105"/>
    <w:bookmarkStart w:id="110" w:name="sec-nodeshape-organisationshape"/>
    <w:p>
      <w:pPr>
        <w:pStyle w:val="berschrift2"/>
      </w:pPr>
      <w:r>
        <w:t xml:space="preserve">3.5 Organisation</w:t>
      </w:r>
    </w:p>
    <w:p>
      <w:pPr>
        <w:pStyle w:val="FirstParagraph"/>
      </w:pPr>
      <w:r>
        <w:t xml:space="preserve">A company or organization in the Chinook dataset.</w:t>
      </w:r>
    </w:p>
    <w:bookmarkStart w:id="108" w:name="sec-nodeshape-organisationshape-overview"/>
    <w:p>
      <w:pPr>
        <w:pStyle w:val="berschrift3"/>
      </w:pPr>
      <w:r>
        <w:t xml:space="preserve">3.5.1 Overview</w:t>
      </w:r>
    </w:p>
    <w:p>
      <w:pPr>
        <w:pStyle w:val="DefinitionTerm"/>
      </w:pPr>
      <w:r>
        <w:t xml:space="preserve">Shape</w:t>
      </w:r>
    </w:p>
    <w:p>
      <w:pPr>
        <w:pStyle w:val="Definition"/>
      </w:pPr>
      <w:hyperlink r:id="rId106">
        <w:r>
          <w:rPr>
            <w:rStyle w:val="Hyperlink"/>
          </w:rPr>
          <w:t xml:space="preserve">:OrganisationShape</w:t>
        </w:r>
      </w:hyperlink>
    </w:p>
    <w:p>
      <w:pPr>
        <w:pStyle w:val="DefinitionTerm"/>
      </w:pPr>
      <w:r>
        <w:t xml:space="preserve">Target class</w:t>
      </w:r>
    </w:p>
    <w:p>
      <w:pPr>
        <w:pStyle w:val="Definition"/>
      </w:pPr>
      <w:hyperlink r:id="rId107">
        <w:r>
          <w:rPr>
            <w:rStyle w:val="Hyperlink"/>
          </w:rPr>
          <w:t xml:space="preserve">schema:Organisation</w:t>
        </w:r>
      </w:hyperlink>
    </w:p>
    <w:p>
      <w:pPr>
        <w:pStyle w:val="DefinitionTerm"/>
      </w:pPr>
      <w:r>
        <w:t xml:space="preserve">Closed</w:t>
      </w:r>
    </w:p>
    <w:p>
      <w:pPr>
        <w:pStyle w:val="Definition"/>
      </w:pPr>
      <w:r>
        <w:t xml:space="preserve">No (further properties are allowed)</w:t>
      </w:r>
    </w:p>
    <w:p>
      <w:pPr>
        <w:pStyle w:val="DefinitionTerm"/>
      </w:pPr>
      <w:r>
        <w:t xml:space="preserve">Data access</w:t>
      </w:r>
    </w:p>
    <w:p>
      <w:pPr>
        <w:pStyle w:val="Definition"/>
      </w:pPr>
      <w:r>
        <w:t xml:space="preserve">None (transactional data, not part of the published graph)</w:t>
      </w:r>
    </w:p>
    <w:bookmarkEnd w:id="108"/>
    <w:bookmarkStart w:id="109" w:name="X694231572673875c8b98e55f859590bf822fedc"/>
    <w:p>
      <w:pPr>
        <w:pStyle w:val="berschrift3"/>
      </w:pPr>
      <w:r>
        <w:t xml:space="preserve">3.5.2 Properties</w:t>
      </w:r>
    </w:p>
    <w:tbl>
      <w:tblPr>
        <w:tblStyle w:val="Table"/>
        <w:tblW w:type="pct" w:w="4957"/>
        <w:tblLayout w:type="fixed"/>
        <w:tblLook w:firstRow="1" w:lastRow="0" w:firstColumn="0" w:lastColumn="0" w:noHBand="0" w:noVBand="0" w:val="0020"/>
      </w:tblPr>
      <w:tblGrid>
        <w:gridCol w:w="2910"/>
        <w:gridCol w:w="3926"/>
        <w:gridCol w:w="1015"/>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Every organisation must have a name.</w:t>
            </w:r>
          </w:p>
        </w:tc>
        <w:tc>
          <w:tcPr/>
          <w:p>
            <w:pPr>
              <w:pStyle w:val="Compact"/>
              <w:numPr>
                <w:ilvl w:val="0"/>
                <w:numId w:val="1018"/>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18"/>
              </w:numPr>
              <w:jc w:val="left"/>
            </w:pPr>
            <w:r>
              <w:t xml:space="preserve">Length: 2–100 characters</w:t>
            </w:r>
          </w:p>
        </w:tc>
        <w:tc>
          <w:tcPr/>
          <w:p>
            <w:pPr>
              <w:pStyle w:val="Compact"/>
              <w:jc w:val="right"/>
            </w:pPr>
            <w:r>
              <w:t xml:space="preserve">1..1</w:t>
            </w:r>
          </w:p>
        </w:tc>
      </w:tr>
    </w:tbl>
    <w:bookmarkEnd w:id="109"/>
    <w:bookmarkEnd w:id="110"/>
    <w:bookmarkStart w:id="127"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t xml:space="preserve">Persons are described uniformly regardless of their role: employees of the music store, customers and manually recorded persons share the same properties. The role follows from the relationships, for example</w:t>
      </w:r>
      <w:r>
        <w:t xml:space="preserve"> </w:t>
      </w:r>
      <w:r>
        <w:rPr>
          <w:rStyle w:val="VerbatimChar"/>
        </w:rPr>
        <w:t xml:space="preserve">schema:worksFor</w:t>
      </w:r>
      <w:r>
        <w:t xml:space="preserve"> </w:t>
      </w:r>
      <w:r>
        <w:t xml:space="preserve">for employees or</w:t>
      </w:r>
      <w:r>
        <w:t xml:space="preserve"> </w:t>
      </w:r>
      <w:r>
        <w:rPr>
          <w:rStyle w:val="VerbatimChar"/>
        </w:rPr>
        <w:t xml:space="preserve">schema:customer</w:t>
      </w:r>
      <w:r>
        <w:t xml:space="preserve"> </w:t>
      </w:r>
      <w:r>
        <w:t xml:space="preserve">on an invoice for customers.</w:t>
      </w:r>
    </w:p>
    <w:p>
      <w:pPr>
        <w:pStyle w:val="Textkrper"/>
      </w:pPr>
      <w:r>
        <w:t xml:space="preserve">Names are recorded as the person uses them; academic titles do not belong in the given name. Email addresses and birth dates are optional and rule violations are reported as warnings only.</w:t>
      </w:r>
    </w:p>
    <w:bookmarkStart w:id="114" w:name="sec-nodeshape-personshape-overview"/>
    <w:p>
      <w:pPr>
        <w:pStyle w:val="berschrift3"/>
      </w:pPr>
      <w:r>
        <w:t xml:space="preserve">3.6.1 Overview</w:t>
      </w:r>
    </w:p>
    <w:p>
      <w:pPr>
        <w:pStyle w:val="DefinitionTerm"/>
      </w:pPr>
      <w:r>
        <w:t xml:space="preserve">Shape</w:t>
      </w:r>
    </w:p>
    <w:p>
      <w:pPr>
        <w:pStyle w:val="Definition"/>
      </w:pPr>
      <w:hyperlink r:id="rId111">
        <w:r>
          <w:rPr>
            <w:rStyle w:val="Hyperlink"/>
          </w:rPr>
          <w:t xml:space="preserve">:PersonShape</w:t>
        </w:r>
      </w:hyperlink>
    </w:p>
    <w:p>
      <w:pPr>
        <w:pStyle w:val="DefinitionTerm"/>
      </w:pPr>
      <w:r>
        <w:t xml:space="preserve">Target class</w:t>
      </w:r>
    </w:p>
    <w:p>
      <w:pPr>
        <w:pStyle w:val="Definition"/>
      </w:pPr>
      <w:hyperlink r:id="rId112">
        <w:r>
          <w:rPr>
            <w:rStyle w:val="Hyperlink"/>
          </w:rPr>
          <w:t xml:space="preserve">schema:Person</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383 instances with 5 to 10 triples each (5.6 on average)</w:t>
      </w:r>
    </w:p>
    <w:p>
      <w:pPr>
        <w:pStyle w:val="DefinitionTerm"/>
      </w:pPr>
      <w:r>
        <w:t xml:space="preserve">Data access</w:t>
      </w:r>
    </w:p>
    <w:p>
      <w:pPr>
        <w:pStyle w:val="Definition"/>
      </w:pPr>
      <w:hyperlink r:id="rId113">
        <w:r>
          <w:rPr>
            <w:rStyle w:val="Hyperlink"/>
          </w:rPr>
          <w:t xml:space="preserve">SPARQL service</w:t>
        </w:r>
      </w:hyperlink>
    </w:p>
    <w:bookmarkEnd w:id="114"/>
    <w:bookmarkStart w:id="124" w:name="sec-nodeshape-personshape-properties"/>
    <w:p>
      <w:pPr>
        <w:pStyle w:val="berschrift3"/>
      </w:pPr>
      <w:r>
        <w:t xml:space="preserve">3.6.2 Properties</w:t>
      </w:r>
    </w:p>
    <w:tbl>
      <w:tblPr>
        <w:tblStyle w:val="Table"/>
        <w:tblW w:type="pct" w:w="4961"/>
        <w:tblLayout w:type="fixed"/>
        <w:tblLook w:firstRow="1" w:lastRow="0" w:firstColumn="0" w:lastColumn="0" w:noHBand="0" w:noVBand="0" w:val="0020"/>
      </w:tblPr>
      <w:tblGrid>
        <w:gridCol w:w="3376"/>
        <w:gridCol w:w="3560"/>
        <w:gridCol w:w="92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Given Name</w:t>
            </w:r>
            <w:r>
              <w:t xml:space="preserve"> </w:t>
            </w:r>
            <w:r>
              <w:t xml:space="preserve">(</w:t>
            </w:r>
            <w:hyperlink r:id="rId115">
              <w:r>
                <w:rPr>
                  <w:rStyle w:val="Hyperlink"/>
                </w:rPr>
                <w:t xml:space="preserve">schema:givenName</w:t>
              </w:r>
            </w:hyperlink>
            <w:r>
              <w:t xml:space="preserve">):</w:t>
            </w:r>
            <w:r>
              <w:t xml:space="preserve"> </w:t>
            </w:r>
            <w:r>
              <w:t xml:space="preserve">Every person must have a given name.</w:t>
            </w:r>
          </w:p>
        </w:tc>
        <w:tc>
          <w:tcPr/>
          <w:p>
            <w:pPr>
              <w:pStyle w:val="Compact"/>
              <w:numPr>
                <w:ilvl w:val="0"/>
                <w:numId w:val="1019"/>
              </w:numPr>
              <w:jc w:val="left"/>
            </w:pPr>
            <w:r>
              <w:t xml:space="preserve">Type: Text</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Family Name</w:t>
            </w:r>
            <w:r>
              <w:t xml:space="preserve"> </w:t>
            </w:r>
            <w:r>
              <w:t xml:space="preserve">(</w:t>
            </w:r>
            <w:hyperlink r:id="rId116">
              <w:r>
                <w:rPr>
                  <w:rStyle w:val="Hyperlink"/>
                </w:rPr>
                <w:t xml:space="preserve">schema:familyName</w:t>
              </w:r>
            </w:hyperlink>
            <w:r>
              <w:t xml:space="preserve">):</w:t>
            </w:r>
            <w:r>
              <w:t xml:space="preserve"> </w:t>
            </w:r>
            <w:r>
              <w:t xml:space="preserve">Every person must have a family name.</w:t>
            </w:r>
          </w:p>
        </w:tc>
        <w:tc>
          <w:tcPr/>
          <w:p>
            <w:pPr>
              <w:pStyle w:val="Compact"/>
              <w:numPr>
                <w:ilvl w:val="0"/>
                <w:numId w:val="1020"/>
              </w:numPr>
              <w:jc w:val="left"/>
            </w:pPr>
            <w:r>
              <w:t xml:space="preserve">Type: Text</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Email Address</w:t>
            </w:r>
            <w:r>
              <w:t xml:space="preserve"> </w:t>
            </w:r>
            <w:r>
              <w:t xml:space="preserve">(</w:t>
            </w:r>
            <w:hyperlink r:id="rId117">
              <w:r>
                <w:rPr>
                  <w:rStyle w:val="Hyperlink"/>
                </w:rPr>
                <w:t xml:space="preserve">schema:email</w:t>
              </w:r>
            </w:hyperlink>
            <w:r>
              <w:t xml:space="preserve">): If an</w:t>
            </w:r>
            <w:r>
              <w:t xml:space="preserve"> </w:t>
            </w:r>
            <w:r>
              <w:t xml:space="preserve">email is provided, it must follow a standard email</w:t>
            </w:r>
            <w:r>
              <w:t xml:space="preserve"> </w:t>
            </w:r>
            <w:r>
              <w:t xml:space="preserve">format.</w:t>
            </w:r>
          </w:p>
        </w:tc>
        <w:tc>
          <w:tcPr/>
          <w:p>
            <w:pPr>
              <w:pStyle w:val="Compact"/>
              <w:numPr>
                <w:ilvl w:val="0"/>
                <w:numId w:val="1021"/>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1"/>
              </w:numPr>
              <w:jc w:val="left"/>
            </w:pPr>
            <w:r>
              <w:t xml:space="preserve">Pattern:</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1"/>
              </w:numPr>
              <w:jc w:val="left"/>
            </w:pPr>
            <w:r>
              <w:t xml:space="preserve">Length: ≤ 254 characters</w:t>
            </w:r>
          </w:p>
          <w:p>
            <w:pPr>
              <w:pStyle w:val="Compact"/>
              <w:numPr>
                <w:ilvl w:val="0"/>
                <w:numId w:val="1021"/>
              </w:numPr>
              <w:jc w:val="left"/>
            </w:pPr>
            <w:r>
              <w:t xml:space="preserve">Severity: Warning</w:t>
            </w:r>
          </w:p>
        </w:tc>
        <w:tc>
          <w:tcPr/>
          <w:p>
            <w:pPr>
              <w:pStyle w:val="Compact"/>
              <w:jc w:val="right"/>
            </w:pPr>
            <w:r>
              <w:t xml:space="preserve">0..*</w:t>
            </w:r>
          </w:p>
        </w:tc>
      </w:tr>
      <w:tr>
        <w:tc>
          <w:tcPr/>
          <w:p>
            <w:pPr>
              <w:pStyle w:val="Compact"/>
              <w:jc w:val="left"/>
            </w:pPr>
            <w:r>
              <w:rPr>
                <w:b/>
                <w:bCs/>
              </w:rPr>
              <w:t xml:space="preserve">Birth date</w:t>
            </w:r>
            <w:r>
              <w:t xml:space="preserve"> </w:t>
            </w:r>
            <w:r>
              <w:t xml:space="preserve">(</w:t>
            </w:r>
            <w:hyperlink r:id="rId118">
              <w:r>
                <w:rPr>
                  <w:rStyle w:val="Hyperlink"/>
                </w:rPr>
                <w:t xml:space="preserve">schema:birthDate</w:t>
              </w:r>
            </w:hyperlink>
            <w:r>
              <w:t xml:space="preserve">): A</w:t>
            </w:r>
            <w:r>
              <w:t xml:space="preserve"> </w:t>
            </w:r>
            <w:r>
              <w:t xml:space="preserve">person should have a valid birth date.</w:t>
            </w:r>
          </w:p>
        </w:tc>
        <w:tc>
          <w:tcPr/>
          <w:p>
            <w:pPr>
              <w:pStyle w:val="Compact"/>
              <w:numPr>
                <w:ilvl w:val="0"/>
                <w:numId w:val="1022"/>
              </w:numPr>
              <w:jc w:val="left"/>
            </w:pPr>
            <w:r>
              <w:t xml:space="preserve">Type: Date</w:t>
            </w:r>
            <w:r>
              <w:t xml:space="preserve"> </w:t>
            </w:r>
            <w:r>
              <w:t xml:space="preserve">(</w:t>
            </w:r>
            <w:hyperlink r:id="rId81">
              <w:r>
                <w:rPr>
                  <w:rStyle w:val="Hyperlink"/>
                </w:rPr>
                <w:t xml:space="preserve">xsd:date</w:t>
              </w:r>
            </w:hyperlink>
            <w:r>
              <w:t xml:space="preserve">)</w:t>
            </w:r>
          </w:p>
          <w:p>
            <w:pPr>
              <w:pStyle w:val="Compact"/>
              <w:numPr>
                <w:ilvl w:val="0"/>
                <w:numId w:val="1022"/>
              </w:numPr>
              <w:jc w:val="left"/>
            </w:pPr>
            <w:r>
              <w:t xml:space="preserve">Range: ≥ 1900-01-01, ≤ 2025-12-31</w:t>
            </w:r>
          </w:p>
          <w:p>
            <w:pPr>
              <w:pStyle w:val="Compact"/>
              <w:numPr>
                <w:ilvl w:val="0"/>
                <w:numId w:val="1022"/>
              </w:numPr>
              <w:jc w:val="left"/>
            </w:pPr>
            <w:r>
              <w:t xml:space="preserve">Severity: Warning</w:t>
            </w:r>
          </w:p>
        </w:tc>
        <w:tc>
          <w:tcPr/>
          <w:p>
            <w:pPr>
              <w:pStyle w:val="Compact"/>
              <w:jc w:val="right"/>
            </w:pPr>
            <w:r>
              <w:t xml:space="preserve">0..*</w:t>
            </w:r>
          </w:p>
        </w:tc>
      </w:tr>
      <w:tr>
        <w:tc>
          <w:tcPr/>
          <w:p>
            <w:pPr>
              <w:pStyle w:val="Compact"/>
              <w:jc w:val="left"/>
            </w:pPr>
            <w:r>
              <w:rPr>
                <w:b/>
                <w:bCs/>
              </w:rPr>
              <w:t xml:space="preserve">Address</w:t>
            </w:r>
            <w:r>
              <w:t xml:space="preserve"> </w:t>
            </w:r>
            <w:r>
              <w:t xml:space="preserve">(</w:t>
            </w:r>
            <w:hyperlink r:id="rId119">
              <w:r>
                <w:rPr>
                  <w:rStyle w:val="Hyperlink"/>
                </w:rPr>
                <w:t xml:space="preserve">schema:address</w:t>
              </w:r>
            </w:hyperlink>
            <w:r>
              <w:t xml:space="preserve">)</w:t>
            </w:r>
          </w:p>
        </w:tc>
        <w:tc>
          <w:tcPr/>
          <w:p>
            <w:pPr>
              <w:pStyle w:val="Compact"/>
              <w:numPr>
                <w:ilvl w:val="0"/>
                <w:numId w:val="1023"/>
              </w:numPr>
              <w:jc w:val="left"/>
            </w:pPr>
            <w:r>
              <w:t xml:space="preserve">Type:</w:t>
            </w:r>
            <w:r>
              <w:t xml:space="preserve"> </w:t>
            </w:r>
            <w:hyperlink w:anchor="sec-nodeshape-postaladdressshape">
              <w:r>
                <w:rPr>
                  <w:rStyle w:val="Hyperlink"/>
                </w:rPr>
                <w:t xml:space="preserve">Postal</w:t>
              </w:r>
              <w:r>
                <w:rPr>
                  <w:rStyle w:val="Hyperlink"/>
                </w:rPr>
                <w:t xml:space="preserve"> </w:t>
              </w:r>
              <w:r>
                <w:rPr>
                  <w:rStyle w:val="Hyperlink"/>
                </w:rPr>
                <w:t xml:space="preserve">address</w:t>
              </w:r>
            </w:hyperlink>
          </w:p>
        </w:tc>
        <w:tc>
          <w:tcPr/>
          <w:p>
            <w:pPr>
              <w:pStyle w:val="Compact"/>
              <w:jc w:val="right"/>
            </w:pPr>
            <w:r>
              <w:t xml:space="preserve">0..*</w:t>
            </w:r>
          </w:p>
        </w:tc>
      </w:tr>
      <w:tr>
        <w:tc>
          <w:tcPr/>
          <w:p>
            <w:pPr>
              <w:pStyle w:val="Compact"/>
              <w:jc w:val="left"/>
            </w:pPr>
            <w:r>
              <w:rPr>
                <w:b/>
                <w:bCs/>
              </w:rPr>
              <w:t xml:space="preserve">Works for</w:t>
            </w:r>
            <w:r>
              <w:t xml:space="preserve"> </w:t>
            </w:r>
            <w:r>
              <w:t xml:space="preserve">(</w:t>
            </w:r>
            <w:hyperlink r:id="rId120">
              <w:r>
                <w:rPr>
                  <w:rStyle w:val="Hyperlink"/>
                </w:rPr>
                <w:t xml:space="preserve">schema:worksFor</w:t>
              </w:r>
            </w:hyperlink>
            <w:r>
              <w:t xml:space="preserve">): An</w:t>
            </w:r>
            <w:r>
              <w:t xml:space="preserve"> </w:t>
            </w:r>
            <w:r>
              <w:t xml:space="preserve">employee can report to another person.</w:t>
            </w:r>
          </w:p>
        </w:tc>
        <w:tc>
          <w:tcPr/>
          <w:p>
            <w:pPr>
              <w:pStyle w:val="Compact"/>
              <w:numPr>
                <w:ilvl w:val="0"/>
                <w:numId w:val="1024"/>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hyperlink r:id="rId121">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Job title</w:t>
            </w:r>
            <w:r>
              <w:t xml:space="preserve"> </w:t>
            </w:r>
            <w:r>
              <w:t xml:space="preserve">(</w:t>
            </w:r>
            <w:hyperlink r:id="rId122">
              <w:r>
                <w:rPr>
                  <w:rStyle w:val="Hyperlink"/>
                </w:rPr>
                <w:t xml:space="preserve">schema:jobTitle</w:t>
              </w:r>
            </w:hyperlink>
            <w:r>
              <w:t xml:space="preserve">)</w:t>
            </w:r>
          </w:p>
        </w:tc>
        <w:tc>
          <w:tcPr/>
          <w:p>
            <w:pPr>
              <w:pStyle w:val="Compact"/>
              <w:numPr>
                <w:ilvl w:val="0"/>
                <w:numId w:val="1025"/>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5"/>
              </w:numPr>
              <w:jc w:val="left"/>
            </w:pPr>
            <w:r>
              <w:t xml:space="preserve">Length: 2–100 characters</w:t>
            </w:r>
          </w:p>
        </w:tc>
        <w:tc>
          <w:tcPr/>
          <w:p>
            <w:pPr>
              <w:pStyle w:val="Compact"/>
              <w:jc w:val="right"/>
            </w:pPr>
            <w:r>
              <w:t xml:space="preserve">0..1</w:t>
            </w:r>
          </w:p>
        </w:tc>
      </w:tr>
      <w:tr>
        <w:tc>
          <w:tcPr/>
          <w:p>
            <w:pPr>
              <w:pStyle w:val="Compact"/>
              <w:jc w:val="left"/>
            </w:pPr>
            <w:r>
              <w:rPr>
                <w:b/>
                <w:bCs/>
              </w:rPr>
              <w:t xml:space="preserve">knows</w:t>
            </w:r>
            <w:r>
              <w:t xml:space="preserve"> </w:t>
            </w:r>
            <w:r>
              <w:t xml:space="preserve">(</w:t>
            </w:r>
            <w:hyperlink r:id="rId123">
              <w:r>
                <w:rPr>
                  <w:rStyle w:val="Hyperlink"/>
                </w:rPr>
                <w:t xml:space="preserve">schema:knows</w:t>
              </w:r>
            </w:hyperlink>
            <w:r>
              <w:t xml:space="preserve">)</w:t>
            </w:r>
          </w:p>
        </w:tc>
        <w:tc>
          <w:tcPr/>
          <w:p>
            <w:pPr>
              <w:pStyle w:val="Compact"/>
              <w:numPr>
                <w:ilvl w:val="0"/>
                <w:numId w:val="1026"/>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0..*</w:t>
            </w:r>
          </w:p>
        </w:tc>
      </w:tr>
    </w:tbl>
    <w:bookmarkEnd w:id="124"/>
    <w:bookmarkStart w:id="126" w:name="sec-nodeshape-personshape-rules"/>
    <w:p>
      <w:pPr>
        <w:pStyle w:val="berschrift3"/>
      </w:pPr>
      <w:r>
        <w:t xml:space="preserve">3.6.3 Rules (SPARQL)</w:t>
      </w:r>
    </w:p>
    <w:bookmarkStart w:id="125" w:name="sec-nodeshape-personshape-rule-1"/>
    <w:p>
      <w:pPr>
        <w:pStyle w:val="berschrift4"/>
      </w:pPr>
      <w:r>
        <w:t xml:space="preserve">3.6.3.1 No self-reporting</w:t>
      </w:r>
    </w:p>
    <w:p>
      <w:pPr>
        <w:pStyle w:val="FirstParagraph"/>
      </w:pPr>
      <w:r>
        <w:t xml:space="preserve">An employee cannot report to themselves.</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25"/>
    <w:bookmarkEnd w:id="126"/>
    <w:bookmarkEnd w:id="127"/>
    <w:bookmarkStart w:id="141" w:name="sec-nodeshape-postaladdressshape"/>
    <w:p>
      <w:pPr>
        <w:pStyle w:val="berschrift2"/>
      </w:pPr>
      <w:r>
        <w:t xml:space="preserve">3.7 Postal address</w:t>
      </w:r>
    </w:p>
    <w:p>
      <w:pPr>
        <w:pStyle w:val="FirstParagraph"/>
      </w:pPr>
      <w:r>
        <w:t xml:space="preserve">The postal address of a person.</w:t>
      </w:r>
    </w:p>
    <w:p>
      <w:pPr>
        <w:pStyle w:val="Textkrper"/>
      </w:pPr>
      <w:r>
        <w:t xml:space="preserve">Addresses follow the structure of schema.org rather than the Swiss address standard eCH-0010, since the dataset contains mostly foreign addresses. Postal codes are therefore only checked for a plausible format, not against a directory.</w:t>
      </w:r>
    </w:p>
    <w:bookmarkStart w:id="131" w:name="Xf875252aad1b3a425685d2837dfb16e5026bccf"/>
    <w:p>
      <w:pPr>
        <w:pStyle w:val="berschrift3"/>
      </w:pPr>
      <w:r>
        <w:t xml:space="preserve">3.7.1 Overview</w:t>
      </w:r>
    </w:p>
    <w:p>
      <w:pPr>
        <w:pStyle w:val="DefinitionTerm"/>
      </w:pPr>
      <w:r>
        <w:t xml:space="preserve">Shape</w:t>
      </w:r>
    </w:p>
    <w:p>
      <w:pPr>
        <w:pStyle w:val="Definition"/>
      </w:pPr>
      <w:hyperlink r:id="rId128">
        <w:r>
          <w:rPr>
            <w:rStyle w:val="Hyperlink"/>
          </w:rPr>
          <w:t xml:space="preserve">:PostalAddressShape</w:t>
        </w:r>
      </w:hyperlink>
    </w:p>
    <w:p>
      <w:pPr>
        <w:pStyle w:val="DefinitionTerm"/>
      </w:pPr>
      <w:r>
        <w:t xml:space="preserve">Target class</w:t>
      </w:r>
    </w:p>
    <w:p>
      <w:pPr>
        <w:pStyle w:val="Definition"/>
      </w:pPr>
      <w:hyperlink r:id="rId129">
        <w:r>
          <w:rPr>
            <w:rStyle w:val="Hyperlink"/>
          </w:rPr>
          <w:t xml:space="preserve">schema:PostalAddress</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67 instances with 6 to 8 triples each (7.5 on average)</w:t>
      </w:r>
    </w:p>
    <w:p>
      <w:pPr>
        <w:pStyle w:val="DefinitionTerm"/>
      </w:pPr>
      <w:r>
        <w:t xml:space="preserve">Data access</w:t>
      </w:r>
    </w:p>
    <w:p>
      <w:pPr>
        <w:pStyle w:val="Definition"/>
      </w:pPr>
      <w:hyperlink r:id="rId130">
        <w:r>
          <w:rPr>
            <w:rStyle w:val="Hyperlink"/>
          </w:rPr>
          <w:t xml:space="preserve">SPARQL service</w:t>
        </w:r>
      </w:hyperlink>
    </w:p>
    <w:bookmarkEnd w:id="131"/>
    <w:bookmarkStart w:id="140" w:name="X94841f346bc9e44ac9d6b39aeccedc95e7957c8"/>
    <w:p>
      <w:pPr>
        <w:pStyle w:val="berschrift3"/>
      </w:pPr>
      <w:r>
        <w:t xml:space="preserve">3.7.2 Properties</w:t>
      </w:r>
    </w:p>
    <w:tbl>
      <w:tblPr>
        <w:tblStyle w:val="Table"/>
        <w:tblW w:type="pct" w:w="4964"/>
        <w:tblLayout w:type="fixed"/>
        <w:tblLook w:firstRow="1" w:lastRow="0" w:firstColumn="0" w:lastColumn="0" w:noHBand="0" w:noVBand="0" w:val="0020"/>
      </w:tblPr>
      <w:tblGrid>
        <w:gridCol w:w="3703"/>
        <w:gridCol w:w="3304"/>
        <w:gridCol w:w="854"/>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Street address</w:t>
            </w:r>
            <w:r>
              <w:t xml:space="preserve"> </w:t>
            </w:r>
            <w:r>
              <w:t xml:space="preserve">(</w:t>
            </w:r>
            <w:hyperlink r:id="rId132">
              <w:r>
                <w:rPr>
                  <w:rStyle w:val="Hyperlink"/>
                </w:rPr>
                <w:t xml:space="preserve">schema:streetAddress</w:t>
              </w:r>
            </w:hyperlink>
            <w:r>
              <w:t xml:space="preserve">)</w:t>
            </w:r>
          </w:p>
        </w:tc>
        <w:tc>
          <w:tcPr/>
          <w:p>
            <w:pPr>
              <w:pStyle w:val="Compact"/>
              <w:numPr>
                <w:ilvl w:val="0"/>
                <w:numId w:val="1027"/>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7"/>
              </w:numPr>
              <w:jc w:val="left"/>
            </w:pPr>
            <w:r>
              <w:t xml:space="preserve">Length: 3–100 characters</w:t>
            </w:r>
          </w:p>
          <w:p>
            <w:pPr>
              <w:pStyle w:val="Compact"/>
              <w:numPr>
                <w:ilvl w:val="0"/>
                <w:numId w:val="1027"/>
              </w:numPr>
              <w:jc w:val="left"/>
            </w:pPr>
            <w:r>
              <w:t xml:space="preserve">Examples: Schwarzenburgstrasse 165</w:t>
            </w:r>
          </w:p>
        </w:tc>
        <w:tc>
          <w:tcPr/>
          <w:p>
            <w:pPr>
              <w:pStyle w:val="Compact"/>
              <w:jc w:val="right"/>
            </w:pPr>
            <w:r>
              <w:t xml:space="preserve">1..1</w:t>
            </w:r>
          </w:p>
        </w:tc>
      </w:tr>
      <w:tr>
        <w:tc>
          <w:tcPr/>
          <w:p>
            <w:pPr>
              <w:pStyle w:val="Compact"/>
              <w:jc w:val="left"/>
            </w:pPr>
            <w:r>
              <w:rPr>
                <w:b/>
                <w:bCs/>
              </w:rPr>
              <w:t xml:space="preserve">Postal code</w:t>
            </w:r>
            <w:r>
              <w:t xml:space="preserve"> </w:t>
            </w:r>
            <w:r>
              <w:t xml:space="preserve">(</w:t>
            </w:r>
            <w:hyperlink r:id="rId133">
              <w:r>
                <w:rPr>
                  <w:rStyle w:val="Hyperlink"/>
                </w:rPr>
                <w:t xml:space="preserve">schema:postalCode</w:t>
              </w:r>
            </w:hyperlink>
            <w:r>
              <w:t xml:space="preserve">): Letters,</w:t>
            </w:r>
            <w:r>
              <w:t xml:space="preserve"> </w:t>
            </w:r>
            <w:r>
              <w:t xml:space="preserve">digits, spaces and hyphens, two to ten characters.</w:t>
            </w:r>
          </w:p>
        </w:tc>
        <w:tc>
          <w:tcPr/>
          <w:p>
            <w:pPr>
              <w:pStyle w:val="Compact"/>
              <w:numPr>
                <w:ilvl w:val="0"/>
                <w:numId w:val="1028"/>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8"/>
              </w:numPr>
              <w:jc w:val="left"/>
            </w:pPr>
            <w:r>
              <w:t xml:space="preserve">Pattern:</w:t>
            </w:r>
            <w:r>
              <w:t xml:space="preserve"> </w:t>
            </w:r>
            <w:r>
              <w:rPr>
                <w:rStyle w:val="VerbatimChar"/>
              </w:rPr>
              <w:t xml:space="preserve">^[A-Za-z0-9][A-Za-z0-9 -]{1,9}$</w:t>
            </w:r>
          </w:p>
          <w:p>
            <w:pPr>
              <w:pStyle w:val="Compact"/>
              <w:numPr>
                <w:ilvl w:val="0"/>
                <w:numId w:val="1028"/>
              </w:numPr>
              <w:jc w:val="left"/>
            </w:pPr>
            <w:r>
              <w:t xml:space="preserve">Severity: Warning</w:t>
            </w:r>
          </w:p>
        </w:tc>
        <w:tc>
          <w:tcPr/>
          <w:p>
            <w:pPr>
              <w:pStyle w:val="Compact"/>
              <w:jc w:val="right"/>
            </w:pPr>
            <w:r>
              <w:t xml:space="preserve">0..1</w:t>
            </w:r>
          </w:p>
        </w:tc>
      </w:tr>
      <w:tr>
        <w:tc>
          <w:tcPr/>
          <w:p>
            <w:pPr>
              <w:pStyle w:val="Compact"/>
              <w:jc w:val="left"/>
            </w:pPr>
            <w:r>
              <w:rPr>
                <w:b/>
                <w:bCs/>
              </w:rPr>
              <w:t xml:space="preserve">Locality</w:t>
            </w:r>
            <w:r>
              <w:t xml:space="preserve"> </w:t>
            </w:r>
            <w:r>
              <w:t xml:space="preserve">(</w:t>
            </w:r>
            <w:hyperlink r:id="rId134">
              <w:r>
                <w:rPr>
                  <w:rStyle w:val="Hyperlink"/>
                </w:rPr>
                <w:t xml:space="preserve">schema:addressLocality</w:t>
              </w:r>
            </w:hyperlink>
            <w:r>
              <w:t xml:space="preserve">):</w:t>
            </w:r>
            <w:r>
              <w:t xml:space="preserve"> </w:t>
            </w:r>
            <w:r>
              <w:t xml:space="preserve">Every address needs exactly one locality.</w:t>
            </w:r>
          </w:p>
        </w:tc>
        <w:tc>
          <w:tcPr/>
          <w:p>
            <w:pPr>
              <w:pStyle w:val="Compact"/>
              <w:numPr>
                <w:ilvl w:val="0"/>
                <w:numId w:val="1029"/>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9"/>
              </w:numPr>
              <w:jc w:val="left"/>
            </w:pPr>
            <w:r>
              <w:t xml:space="preserve">Length: ≤ 100 characters</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hyperlink r:id="rId135">
              <w:r>
                <w:rPr>
                  <w:rStyle w:val="Hyperlink"/>
                </w:rPr>
                <w:t xml:space="preserve">schema:addressRegion</w:t>
              </w:r>
            </w:hyperlink>
            <w:r>
              <w:t xml:space="preserve">):</w:t>
            </w:r>
            <w:r>
              <w:t xml:space="preserve"> </w:t>
            </w:r>
            <w:r>
              <w:t xml:space="preserve">Canton, state or province where customary in the country.</w:t>
            </w:r>
          </w:p>
        </w:tc>
        <w:tc>
          <w:tcPr/>
          <w:p>
            <w:pPr>
              <w:pStyle w:val="Compact"/>
              <w:numPr>
                <w:ilvl w:val="0"/>
                <w:numId w:val="1030"/>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0"/>
              </w:numPr>
              <w:jc w:val="left"/>
            </w:pPr>
            <w:r>
              <w:t xml:space="preserve">Length: ≤ 100 characters</w:t>
            </w:r>
          </w:p>
        </w:tc>
        <w:tc>
          <w:tcPr/>
          <w:p>
            <w:pPr>
              <w:pStyle w:val="Compact"/>
              <w:jc w:val="right"/>
            </w:pPr>
            <w:r>
              <w:t xml:space="preserve">0..1</w:t>
            </w:r>
          </w:p>
        </w:tc>
      </w:tr>
      <w:tr>
        <w:tc>
          <w:tcPr/>
          <w:p>
            <w:pPr>
              <w:pStyle w:val="Compact"/>
              <w:jc w:val="left"/>
            </w:pPr>
            <w:r>
              <w:rPr>
                <w:b/>
                <w:bCs/>
              </w:rPr>
              <w:t xml:space="preserve">Country</w:t>
            </w:r>
            <w:r>
              <w:t xml:space="preserve"> </w:t>
            </w:r>
            <w:r>
              <w:t xml:space="preserve">(</w:t>
            </w:r>
            <w:hyperlink r:id="rId136">
              <w:r>
                <w:rPr>
                  <w:rStyle w:val="Hyperlink"/>
                </w:rPr>
                <w:t xml:space="preserve">schema:addressCountry</w:t>
              </w:r>
            </w:hyperlink>
            <w:r>
              <w:t xml:space="preserve">):</w:t>
            </w:r>
            <w:r>
              <w:t xml:space="preserve"> </w:t>
            </w:r>
            <w:r>
              <w:t xml:space="preserve">Country as an IRI from the country list of the Swiss Federal</w:t>
            </w:r>
            <w:r>
              <w:t xml:space="preserve"> </w:t>
            </w:r>
            <w:r>
              <w:t xml:space="preserve">Archives on LINDAS (ISO 3166-1 alpha-3).</w:t>
            </w:r>
          </w:p>
        </w:tc>
        <w:tc>
          <w:tcPr/>
          <w:p>
            <w:pPr>
              <w:pStyle w:val="Compact"/>
              <w:numPr>
                <w:ilvl w:val="0"/>
                <w:numId w:val="1031"/>
              </w:numPr>
              <w:jc w:val="left"/>
            </w:pPr>
            <w:r>
              <w:t xml:space="preserve">Pattern:</w:t>
            </w:r>
            <w:r>
              <w:t xml:space="preserve"> </w:t>
            </w:r>
            <w:r>
              <w:rPr>
                <w:rStyle w:val="VerbatimChar"/>
              </w:rPr>
              <w:t xml:space="preserve">^https://ld\.admin\.ch/country/[A-Z]{3}$</w:t>
            </w:r>
          </w:p>
          <w:p>
            <w:pPr>
              <w:pStyle w:val="Compact"/>
              <w:numPr>
                <w:ilvl w:val="0"/>
                <w:numId w:val="1031"/>
              </w:numPr>
              <w:jc w:val="left"/>
            </w:pPr>
            <w:r>
              <w:t xml:space="preserve">Examples:</w:t>
            </w:r>
            <w:r>
              <w:t xml:space="preserve"> </w:t>
            </w:r>
            <w:hyperlink r:id="rId137">
              <w:r>
                <w:rPr>
                  <w:rStyle w:val="Hyperlink"/>
                </w:rPr>
                <w:t xml:space="preserve">country:CHE</w:t>
              </w:r>
            </w:hyperlink>
            <w:r>
              <w:t xml:space="preserve">,</w:t>
            </w:r>
            <w:r>
              <w:t xml:space="preserve"> </w:t>
            </w:r>
            <w:hyperlink r:id="rId138">
              <w:r>
                <w:rPr>
                  <w:rStyle w:val="Hyperlink"/>
                </w:rPr>
                <w:t xml:space="preserve">country:FRA</w:t>
              </w:r>
            </w:hyperlink>
            <w:r>
              <w:t xml:space="preserve">,</w:t>
            </w:r>
            <w:r>
              <w:t xml:space="preserve"> </w:t>
            </w:r>
            <w:hyperlink r:id="rId139">
              <w:r>
                <w:rPr>
                  <w:rStyle w:val="Hyperlink"/>
                </w:rPr>
                <w:t xml:space="preserve">country:ITA</w:t>
              </w:r>
            </w:hyperlink>
          </w:p>
        </w:tc>
        <w:tc>
          <w:tcPr/>
          <w:p>
            <w:pPr>
              <w:pStyle w:val="Compact"/>
              <w:jc w:val="right"/>
            </w:pPr>
            <w:r>
              <w:t xml:space="preserve">1..1</w:t>
            </w:r>
          </w:p>
        </w:tc>
      </w:tr>
    </w:tbl>
    <w:bookmarkEnd w:id="140"/>
    <w:bookmarkEnd w:id="141"/>
    <w:bookmarkStart w:id="155" w:name="sec-nodeshape-quantitativevalueshape"/>
    <w:p>
      <w:pPr>
        <w:pStyle w:val="berschrift2"/>
      </w:pPr>
      <w:r>
        <w:t xml:space="preserve">3.8 Quantitative Value</w:t>
      </w:r>
    </w:p>
    <w:p>
      <w:pPr>
        <w:pStyle w:val="FirstParagraph"/>
      </w:pPr>
      <w:r>
        <w:t xml:space="preserve">A numerical value with an associated unit.</w:t>
      </w:r>
    </w:p>
    <w:p>
      <w:pPr>
        <w:pStyle w:val="Textkrper"/>
      </w:pPr>
      <w:r>
        <w:t xml:space="preserve">Quantitative values are never recorded as a bare number but always together with a unit from the QUDT vocabulary. This keeps it unambiguous whether a duration is meant in milliseconds or a file size in bytes. Negative values are not foreseen in this dataset.</w:t>
      </w:r>
    </w:p>
    <w:bookmarkStart w:id="145" w:name="X78f593afbb200587db35193dab5ef366499966a"/>
    <w:p>
      <w:pPr>
        <w:pStyle w:val="berschrift3"/>
      </w:pPr>
      <w:r>
        <w:t xml:space="preserve">3.8.1 Overview</w:t>
      </w:r>
    </w:p>
    <w:p>
      <w:pPr>
        <w:pStyle w:val="DefinitionTerm"/>
      </w:pPr>
      <w:r>
        <w:t xml:space="preserve">Shape</w:t>
      </w:r>
    </w:p>
    <w:p>
      <w:pPr>
        <w:pStyle w:val="Definition"/>
      </w:pPr>
      <w:hyperlink r:id="rId142">
        <w:r>
          <w:rPr>
            <w:rStyle w:val="Hyperlink"/>
          </w:rPr>
          <w:t xml:space="preserve">:QuantitativeValueShape</w:t>
        </w:r>
      </w:hyperlink>
    </w:p>
    <w:p>
      <w:pPr>
        <w:pStyle w:val="DefinitionTerm"/>
      </w:pPr>
      <w:r>
        <w:t xml:space="preserve">Target class</w:t>
      </w:r>
    </w:p>
    <w:p>
      <w:pPr>
        <w:pStyle w:val="Definition"/>
      </w:pPr>
      <w:hyperlink r:id="rId143">
        <w:r>
          <w:rPr>
            <w:rStyle w:val="Hyperlink"/>
          </w:rPr>
          <w:t xml:space="preserve">schema:QuantitativeValue</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15401 instances with 3 triples each</w:t>
      </w:r>
    </w:p>
    <w:p>
      <w:pPr>
        <w:pStyle w:val="DefinitionTerm"/>
      </w:pPr>
      <w:r>
        <w:t xml:space="preserve">Data access</w:t>
      </w:r>
    </w:p>
    <w:p>
      <w:pPr>
        <w:pStyle w:val="Definition"/>
      </w:pPr>
      <w:hyperlink r:id="rId144">
        <w:r>
          <w:rPr>
            <w:rStyle w:val="Hyperlink"/>
          </w:rPr>
          <w:t xml:space="preserve">SPARQL service</w:t>
        </w:r>
      </w:hyperlink>
    </w:p>
    <w:bookmarkEnd w:id="145"/>
    <w:bookmarkStart w:id="154" w:name="X2e1f3b536eb29ac285cf6217bf2fada750b5fc0"/>
    <w:p>
      <w:pPr>
        <w:pStyle w:val="berschrift3"/>
      </w:pPr>
      <w:r>
        <w:t xml:space="preserve">3.8.2 Properties</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Value</w:t>
            </w:r>
            <w:r>
              <w:t xml:space="preserve"> </w:t>
            </w:r>
            <w:r>
              <w:t xml:space="preserve">(</w:t>
            </w:r>
            <w:hyperlink r:id="rId146">
              <w:r>
                <w:rPr>
                  <w:rStyle w:val="Hyperlink"/>
                </w:rPr>
                <w:t xml:space="preserve">schema:value</w:t>
              </w:r>
            </w:hyperlink>
            <w:r>
              <w:t xml:space="preserve">): A</w:t>
            </w:r>
            <w:r>
              <w:t xml:space="preserve"> </w:t>
            </w:r>
            <w:r>
              <w:t xml:space="preserve">quantitative value must have exactly one numeric</w:t>
            </w:r>
            <w:r>
              <w:t xml:space="preserve"> </w:t>
            </w:r>
            <w:r>
              <w:t xml:space="preserve">value.</w:t>
            </w:r>
          </w:p>
        </w:tc>
        <w:tc>
          <w:tcPr/>
          <w:p>
            <w:pPr>
              <w:pStyle w:val="Compact"/>
              <w:numPr>
                <w:ilvl w:val="0"/>
                <w:numId w:val="1032"/>
              </w:numPr>
              <w:jc w:val="left"/>
            </w:pPr>
            <w:r>
              <w:t xml:space="preserve">Type: Decimal number</w:t>
            </w:r>
            <w:r>
              <w:t xml:space="preserve"> </w:t>
            </w:r>
            <w:r>
              <w:t xml:space="preserve">(</w:t>
            </w:r>
            <w:hyperlink r:id="rId147">
              <w:r>
                <w:rPr>
                  <w:rStyle w:val="Hyperlink"/>
                </w:rPr>
                <w:t xml:space="preserve">xsd:decimal</w:t>
              </w:r>
            </w:hyperlink>
            <w:r>
              <w:t xml:space="preserve">)</w:t>
            </w:r>
            <w:r>
              <w:t xml:space="preserve"> </w:t>
            </w:r>
            <w:r>
              <w:t xml:space="preserve">or Integer</w:t>
            </w:r>
            <w:r>
              <w:t xml:space="preserve"> </w:t>
            </w:r>
            <w:r>
              <w:t xml:space="preserve">(</w:t>
            </w:r>
            <w:hyperlink r:id="rId148">
              <w:r>
                <w:rPr>
                  <w:rStyle w:val="Hyperlink"/>
                </w:rPr>
                <w:t xml:space="preserve">xsd:integer</w:t>
              </w:r>
            </w:hyperlink>
            <w:r>
              <w:t xml:space="preserve">)</w:t>
            </w:r>
          </w:p>
          <w:p>
            <w:pPr>
              <w:pStyle w:val="Compact"/>
              <w:numPr>
                <w:ilvl w:val="0"/>
                <w:numId w:val="1032"/>
              </w:numPr>
              <w:jc w:val="left"/>
            </w:pPr>
            <w:r>
              <w:t xml:space="preserve">Range: ≥ 0</w:t>
            </w:r>
          </w:p>
        </w:tc>
        <w:tc>
          <w:tcPr/>
          <w:p>
            <w:pPr>
              <w:pStyle w:val="Compact"/>
              <w:jc w:val="right"/>
            </w:pPr>
            <w:r>
              <w:t xml:space="preserve">1..1</w:t>
            </w:r>
          </w:p>
        </w:tc>
      </w:tr>
      <w:tr>
        <w:tc>
          <w:tcPr/>
          <w:p>
            <w:pPr>
              <w:pStyle w:val="Compact"/>
              <w:jc w:val="left"/>
            </w:pPr>
            <w:r>
              <w:rPr>
                <w:b/>
                <w:bCs/>
              </w:rPr>
              <w:t xml:space="preserve">Unit Code</w:t>
            </w:r>
            <w:r>
              <w:t xml:space="preserve"> </w:t>
            </w:r>
            <w:r>
              <w:t xml:space="preserve">(</w:t>
            </w:r>
            <w:hyperlink r:id="rId149">
              <w:r>
                <w:rPr>
                  <w:rStyle w:val="Hyperlink"/>
                </w:rPr>
                <w:t xml:space="preserve">schema:unitCode</w:t>
              </w:r>
            </w:hyperlink>
            <w:r>
              <w:t xml:space="preserve">):</w:t>
            </w:r>
            <w:r>
              <w:t xml:space="preserve"> </w:t>
            </w:r>
            <w:r>
              <w:t xml:space="preserve">A quantitative value must specify its unit via a</w:t>
            </w:r>
            <w:r>
              <w:t xml:space="preserve"> </w:t>
            </w:r>
            <w:r>
              <w:t xml:space="preserve">unitCode URI.</w:t>
            </w:r>
          </w:p>
        </w:tc>
        <w:tc>
          <w:tcPr/>
          <w:p>
            <w:pPr>
              <w:pStyle w:val="Compact"/>
              <w:numPr>
                <w:ilvl w:val="0"/>
                <w:numId w:val="1033"/>
              </w:numPr>
              <w:jc w:val="left"/>
            </w:pPr>
            <w:r>
              <w:t xml:space="preserve">Values:</w:t>
            </w:r>
            <w:r>
              <w:t xml:space="preserve"> </w:t>
            </w:r>
            <w:hyperlink r:id="rId150">
              <w:r>
                <w:rPr>
                  <w:rStyle w:val="Hyperlink"/>
                </w:rPr>
                <w:t xml:space="preserve">unit:USD</w:t>
              </w:r>
            </w:hyperlink>
            <w:r>
              <w:t xml:space="preserve">,</w:t>
            </w:r>
            <w:r>
              <w:t xml:space="preserve"> </w:t>
            </w:r>
            <w:hyperlink r:id="rId151">
              <w:r>
                <w:rPr>
                  <w:rStyle w:val="Hyperlink"/>
                </w:rPr>
                <w:t xml:space="preserve">unit:EA</w:t>
              </w:r>
            </w:hyperlink>
            <w:r>
              <w:t xml:space="preserve">,</w:t>
            </w:r>
            <w:r>
              <w:t xml:space="preserve"> </w:t>
            </w:r>
            <w:hyperlink r:id="rId152">
              <w:r>
                <w:rPr>
                  <w:rStyle w:val="Hyperlink"/>
                </w:rPr>
                <w:t xml:space="preserve">unit:BYTE</w:t>
              </w:r>
            </w:hyperlink>
            <w:r>
              <w:t xml:space="preserve">,</w:t>
            </w:r>
            <w:r>
              <w:t xml:space="preserve"> </w:t>
            </w:r>
            <w:hyperlink r:id="rId153">
              <w:r>
                <w:rPr>
                  <w:rStyle w:val="Hyperlink"/>
                </w:rPr>
                <w:t xml:space="preserve">unit:MilliSEC</w:t>
              </w:r>
            </w:hyperlink>
          </w:p>
        </w:tc>
        <w:tc>
          <w:tcPr/>
          <w:p>
            <w:pPr>
              <w:pStyle w:val="Compact"/>
              <w:jc w:val="right"/>
            </w:pPr>
            <w:r>
              <w:t xml:space="preserve">1..1</w:t>
            </w:r>
          </w:p>
        </w:tc>
      </w:tr>
    </w:tbl>
    <w:bookmarkEnd w:id="154"/>
    <w:bookmarkEnd w:id="155"/>
    <w:bookmarkEnd w:id="156"/>
    <w:bookmarkStart w:id="158"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157">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58"/>
    <w:bookmarkStart w:id="159"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159"/>
    <w:bookmarkStart w:id="160"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160"/>
    <w:bookmarkStart w:id="161"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161"/>
    <w:bookmarkStart w:id="191" w:name="sec-appendix-a"/>
    <w:p>
      <w:pPr>
        <w:pStyle w:val="berschrift1"/>
      </w:pPr>
      <w:r>
        <w:t xml:space="preserve">Annex A – References</w:t>
      </w:r>
    </w:p>
    <w:bookmarkStart w:id="190" w:name="refs"/>
    <w:bookmarkStart w:id="163"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62">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pp. 91–103</w:t>
      </w:r>
    </w:p>
    <w:bookmarkEnd w:id="163"/>
    <w:bookmarkStart w:id="165"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64">
        <w:r>
          <w:rPr>
            <w:rStyle w:val="Hyperlink"/>
            <w:i/>
            <w:iCs/>
          </w:rPr>
          <w:t xml:space="preserve">Data Catalog Vocabulary (DCAT) – Version 3</w:t>
        </w:r>
      </w:hyperlink>
      <w:r>
        <w:t xml:space="preserve"> </w:t>
      </w:r>
      <w:r>
        <w:t xml:space="preserve">(W3C Recommendation) : World Wide Web Consortium (W3C), 2024</w:t>
      </w:r>
    </w:p>
    <w:bookmarkEnd w:id="165"/>
    <w:bookmarkStart w:id="167" w:name="ref-eCH-0003:11.1.0"/>
    <w:p>
      <w:pPr>
        <w:pStyle w:val="Bibliography"/>
      </w:pPr>
      <w:r>
        <w:t xml:space="preserve">[eCH-0003 11.1.0]</w:t>
      </w:r>
      <w:r>
        <w:t xml:space="preserve"> </w:t>
      </w:r>
      <w:r>
        <w:t xml:space="preserve">	</w:t>
      </w:r>
      <w:r>
        <w:t xml:space="preserve">Verein eCH:</w:t>
      </w:r>
      <w:r>
        <w:t xml:space="preserve"> </w:t>
      </w:r>
      <w:hyperlink r:id="rId166">
        <w:r>
          <w:rPr>
            <w:rStyle w:val="Hyperlink"/>
            <w:i/>
            <w:iCs/>
          </w:rPr>
          <w:t xml:space="preserve">eCH-0003 Leitfaden zur Genehmigung von Anträgen</w:t>
        </w:r>
      </w:hyperlink>
      <w:r>
        <w:t xml:space="preserve"> </w:t>
      </w:r>
      <w:r>
        <w:t xml:space="preserve">(eCH-Standard) : Verein eCH, 2022</w:t>
      </w:r>
    </w:p>
    <w:bookmarkEnd w:id="167"/>
    <w:bookmarkStart w:id="169" w:name="ref-eCH-0010:8.1.0"/>
    <w:p>
      <w:pPr>
        <w:pStyle w:val="Bibliography"/>
      </w:pPr>
      <w:r>
        <w:t xml:space="preserve">[eCH-0010 8.1.0]</w:t>
      </w:r>
      <w:r>
        <w:t xml:space="preserve"> </w:t>
      </w:r>
      <w:r>
        <w:t xml:space="preserve">	</w:t>
      </w:r>
      <w:r>
        <w:t xml:space="preserve">Verein eCH:</w:t>
      </w:r>
      <w:r>
        <w:t xml:space="preserve"> </w:t>
      </w:r>
      <w:hyperlink r:id="rId168">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69"/>
    <w:bookmarkStart w:id="171"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70">
        <w:r>
          <w:rPr>
            <w:rStyle w:val="Hyperlink"/>
            <w:i/>
            <w:iCs/>
          </w:rPr>
          <w:t xml:space="preserve">eCH-0200 DCAT-Anwendungsprofil für Datenportale in der Schweiz (DCAT-AP CH)</w:t>
        </w:r>
      </w:hyperlink>
      <w:r>
        <w:t xml:space="preserve"> </w:t>
      </w:r>
      <w:r>
        <w:t xml:space="preserve">(eCH-Standard) : Verein eCH, 2025</w:t>
      </w:r>
    </w:p>
    <w:bookmarkEnd w:id="171"/>
    <w:bookmarkStart w:id="173"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72">
        <w:r>
          <w:rPr>
            <w:rStyle w:val="Hyperlink"/>
            <w:i/>
            <w:iCs/>
          </w:rPr>
          <w:t xml:space="preserve">eCH-0205 Linked Open Data</w:t>
        </w:r>
      </w:hyperlink>
      <w:r>
        <w:t xml:space="preserve"> </w:t>
      </w:r>
      <w:r>
        <w:t xml:space="preserve">(eCH-Hilfsmittel) : Verein eCH, 2018</w:t>
      </w:r>
    </w:p>
    <w:bookmarkEnd w:id="173"/>
    <w:bookmarkStart w:id="175"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74">
        <w:r>
          <w:rPr>
            <w:rStyle w:val="Hyperlink"/>
            <w:i/>
            <w:iCs/>
          </w:rPr>
          <w:t xml:space="preserve">eCH-0265 Datenstandard Agrardaten – Flächen und Kulturen</w:t>
        </w:r>
      </w:hyperlink>
      <w:r>
        <w:t xml:space="preserve"> </w:t>
      </w:r>
      <w:r>
        <w:t xml:space="preserve">(eCH-Standard) : Verein eCH, 2024</w:t>
      </w:r>
    </w:p>
    <w:bookmarkEnd w:id="175"/>
    <w:bookmarkStart w:id="177"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76">
        <w:r>
          <w:rPr>
            <w:rStyle w:val="Hyperlink"/>
            <w:i/>
            <w:iCs/>
          </w:rPr>
          <w:t xml:space="preserve">JSON-LD 1.1 – A JSON-based Serialization for Linked Data</w:t>
        </w:r>
      </w:hyperlink>
      <w:r>
        <w:t xml:space="preserve"> </w:t>
      </w:r>
      <w:r>
        <w:t xml:space="preserve">(W3C Recommendation) : World Wide Web Consortium (W3C), 2020</w:t>
      </w:r>
    </w:p>
    <w:bookmarkEnd w:id="177"/>
    <w:bookmarkStart w:id="179" w:name="ref-OWL2"/>
    <w:p>
      <w:pPr>
        <w:pStyle w:val="Bibliography"/>
      </w:pPr>
      <w:r>
        <w:t xml:space="preserve">[OWL 2]</w:t>
      </w:r>
      <w:r>
        <w:t xml:space="preserve"> </w:t>
      </w:r>
      <w:r>
        <w:t xml:space="preserve">	</w:t>
      </w:r>
      <w:r>
        <w:t xml:space="preserve">W3C OWL Working Group:</w:t>
      </w:r>
      <w:r>
        <w:t xml:space="preserve"> </w:t>
      </w:r>
      <w:hyperlink r:id="rId178">
        <w:r>
          <w:rPr>
            <w:rStyle w:val="Hyperlink"/>
            <w:i/>
            <w:iCs/>
          </w:rPr>
          <w:t xml:space="preserve">OWL 2 Web Ontology Language Document Overview (Second Edition)</w:t>
        </w:r>
      </w:hyperlink>
      <w:r>
        <w:t xml:space="preserve"> </w:t>
      </w:r>
      <w:r>
        <w:t xml:space="preserve">(W3C Recommendation) : World Wide Web Consortium (W3C), 2012</w:t>
      </w:r>
    </w:p>
    <w:bookmarkEnd w:id="179"/>
    <w:bookmarkStart w:id="181" w:name="ref-cyganiak2014rdf11"/>
    <w:p>
      <w:pPr>
        <w:pStyle w:val="Bibliography"/>
      </w:pPr>
      <w:r>
        <w:t xml:space="preserve">[RDF]</w:t>
      </w:r>
      <w:r>
        <w:t xml:space="preserve"> </w:t>
      </w:r>
      <w:r>
        <w:t xml:space="preserve">	</w:t>
      </w:r>
      <w:r>
        <w:t xml:space="preserve">Cyganiak, Richard ; Wood, David ; Lanthaler, Markus:</w:t>
      </w:r>
      <w:r>
        <w:t xml:space="preserve"> </w:t>
      </w:r>
      <w:hyperlink r:id="rId180">
        <w:r>
          <w:rPr>
            <w:rStyle w:val="Hyperlink"/>
            <w:i/>
            <w:iCs/>
          </w:rPr>
          <w:t xml:space="preserve">RDF 1.1 Concepts and Abstract Syntax</w:t>
        </w:r>
      </w:hyperlink>
      <w:r>
        <w:t xml:space="preserve"> </w:t>
      </w:r>
      <w:r>
        <w:t xml:space="preserve">(W3C Recommendation) : World Wide Web Consortium (W3C), 2014</w:t>
      </w:r>
    </w:p>
    <w:bookmarkEnd w:id="181"/>
    <w:bookmarkStart w:id="183" w:name="ref-SHACL"/>
    <w:p>
      <w:pPr>
        <w:pStyle w:val="Bibliography"/>
      </w:pPr>
      <w:r>
        <w:t xml:space="preserve">[SHACL]</w:t>
      </w:r>
      <w:r>
        <w:t xml:space="preserve"> </w:t>
      </w:r>
      <w:r>
        <w:t xml:space="preserve">	</w:t>
      </w:r>
      <w:r>
        <w:t xml:space="preserve">Knublauch, Holger ; Kontokostas, Dimitris:</w:t>
      </w:r>
      <w:r>
        <w:t xml:space="preserve"> </w:t>
      </w:r>
      <w:hyperlink r:id="rId182">
        <w:r>
          <w:rPr>
            <w:rStyle w:val="Hyperlink"/>
            <w:i/>
            <w:iCs/>
          </w:rPr>
          <w:t xml:space="preserve">Shapes Constraint Language (SHACL)</w:t>
        </w:r>
      </w:hyperlink>
      <w:r>
        <w:t xml:space="preserve"> </w:t>
      </w:r>
      <w:r>
        <w:t xml:space="preserve">(W3C Recommendation) : World Wide Web Consortium (W3C), 2017</w:t>
      </w:r>
    </w:p>
    <w:bookmarkEnd w:id="183"/>
    <w:bookmarkStart w:id="185" w:name="ref-SKOS"/>
    <w:p>
      <w:pPr>
        <w:pStyle w:val="Bibliography"/>
      </w:pPr>
      <w:r>
        <w:t xml:space="preserve">[SKOS]</w:t>
      </w:r>
      <w:r>
        <w:t xml:space="preserve"> </w:t>
      </w:r>
      <w:r>
        <w:t xml:space="preserve">	</w:t>
      </w:r>
      <w:r>
        <w:t xml:space="preserve">Miles, Alistair ; Bechhofer, Sean:</w:t>
      </w:r>
      <w:r>
        <w:t xml:space="preserve"> </w:t>
      </w:r>
      <w:hyperlink r:id="rId184">
        <w:r>
          <w:rPr>
            <w:rStyle w:val="Hyperlink"/>
            <w:i/>
            <w:iCs/>
          </w:rPr>
          <w:t xml:space="preserve">SKOS Simple Knowledge Organization System Reference</w:t>
        </w:r>
      </w:hyperlink>
      <w:r>
        <w:t xml:space="preserve"> </w:t>
      </w:r>
      <w:r>
        <w:t xml:space="preserve">(W3C Recommendation) : World Wide Web Consortium (W3C), 2009</w:t>
      </w:r>
    </w:p>
    <w:bookmarkEnd w:id="185"/>
    <w:bookmarkStart w:id="187" w:name="ref-SPARQL"/>
    <w:p>
      <w:pPr>
        <w:pStyle w:val="Bibliography"/>
      </w:pPr>
      <w:r>
        <w:t xml:space="preserve">[SPARQL]</w:t>
      </w:r>
      <w:r>
        <w:t xml:space="preserve"> </w:t>
      </w:r>
      <w:r>
        <w:t xml:space="preserve">	</w:t>
      </w:r>
      <w:r>
        <w:t xml:space="preserve">Harris, Steve ; Seaborne, Andy:</w:t>
      </w:r>
      <w:r>
        <w:t xml:space="preserve"> </w:t>
      </w:r>
      <w:hyperlink r:id="rId186">
        <w:r>
          <w:rPr>
            <w:rStyle w:val="Hyperlink"/>
            <w:i/>
            <w:iCs/>
          </w:rPr>
          <w:t xml:space="preserve">SPARQL 1.1 Query Language</w:t>
        </w:r>
      </w:hyperlink>
      <w:r>
        <w:t xml:space="preserve"> </w:t>
      </w:r>
      <w:r>
        <w:t xml:space="preserve">(W3C Recommendation) : World Wide Web Consortium (W3C), 2013</w:t>
      </w:r>
    </w:p>
    <w:bookmarkEnd w:id="187"/>
    <w:bookmarkStart w:id="189"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88">
        <w:r>
          <w:rPr>
            <w:rStyle w:val="Hyperlink"/>
            <w:i/>
            <w:iCs/>
          </w:rPr>
          <w:t xml:space="preserve">RDF 1.1 Turtle – Terse RDF Triple Language</w:t>
        </w:r>
      </w:hyperlink>
      <w:r>
        <w:t xml:space="preserve"> </w:t>
      </w:r>
      <w:r>
        <w:t xml:space="preserve">(W3C Recommendation) : World Wide Web Consortium (W3C), 2014</w:t>
      </w:r>
    </w:p>
    <w:bookmarkEnd w:id="189"/>
    <w:bookmarkEnd w:id="190"/>
    <w:bookmarkEnd w:id="191"/>
    <w:bookmarkStart w:id="192" w:name="sec-appendix-b"/>
    <w:p>
      <w:pPr>
        <w:pStyle w:val="berschrift1"/>
      </w:pPr>
      <w:r>
        <w:t xml:space="preserve">Annex B – Cooperation and Verification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Federal Office for Agriculture</w:t>
            </w:r>
          </w:p>
        </w:tc>
      </w:tr>
      <w:tr>
        <w:tc>
          <w:tcPr/>
          <w:p>
            <w:pPr>
              <w:pStyle w:val="Compact"/>
              <w:jc w:val="left"/>
            </w:pPr>
            <w:r>
              <w:t xml:space="preserve">Michael Schüpbach</w:t>
            </w:r>
          </w:p>
        </w:tc>
        <w:tc>
          <w:tcPr/>
          <w:p>
            <w:pPr>
              <w:pStyle w:val="Compact"/>
              <w:jc w:val="left"/>
            </w:pPr>
            <w:r>
              <w:t xml:space="preserve">Federal Office for Agriculture</w:t>
            </w:r>
          </w:p>
        </w:tc>
      </w:tr>
      <w:tr>
        <w:tc>
          <w:tcPr/>
          <w:p>
            <w:pPr>
              <w:pStyle w:val="Compact"/>
              <w:jc w:val="left"/>
            </w:pPr>
            <w:r>
              <w:t xml:space="preserve">Lea Stauber</w:t>
            </w:r>
          </w:p>
        </w:tc>
        <w:tc>
          <w:tcPr/>
          <w:p>
            <w:pPr>
              <w:pStyle w:val="Compact"/>
              <w:jc w:val="left"/>
            </w:pPr>
            <w:r>
              <w:t xml:space="preserve">Federal Office for Agriculture</w:t>
            </w:r>
          </w:p>
        </w:tc>
      </w:tr>
    </w:tbl>
    <w:bookmarkEnd w:id="192"/>
    <w:bookmarkStart w:id="195" w:name="sec-appendix-c"/>
    <w:p>
      <w:pPr>
        <w:pStyle w:val="berschrift1"/>
      </w:pPr>
      <w:r>
        <w:t xml:space="preserve">Annex C – Abbreviations and Glossary</w:t>
      </w:r>
    </w:p>
    <w:p>
      <w:pPr>
        <w:pStyle w:val="FirstParagraph"/>
      </w:pPr>
      <w:r>
        <w:t xml:space="preserve">This glossary is also available in machine-readable form as a SKOS glossary</w:t>
      </w:r>
      <w:r>
        <w:t xml:space="preserve"> </w:t>
      </w:r>
      <w:r>
        <w:t xml:space="preserve">[</w:t>
      </w:r>
      <w:hyperlink w:anchor="ref-SKOS">
        <w:r>
          <w:rPr>
            <w:rStyle w:val="Hyperlink"/>
          </w:rPr>
          <w:t xml:space="preserve">SKOS</w:t>
        </w:r>
      </w:hyperlink>
      <w:r>
        <w:t xml:space="preserve">]</w:t>
      </w:r>
      <w:r>
        <w:t xml:space="preserve">, on</w:t>
      </w:r>
      <w:r>
        <w:t xml:space="preserve"> </w:t>
      </w:r>
      <w:hyperlink r:id="rId157">
        <w:r>
          <w:rPr>
            <w:rStyle w:val="Hyperlink"/>
          </w:rPr>
          <w:t xml:space="preserve">LINDAS</w:t>
        </w:r>
      </w:hyperlink>
      <w:r>
        <w:t xml:space="preserve"> </w:t>
      </w:r>
      <w:r>
        <w:t xml:space="preserve">and in the</w:t>
      </w:r>
      <w:r>
        <w:t xml:space="preserve"> </w:t>
      </w:r>
      <w:hyperlink r:id="rId193">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4" w:name="tbl-glossary"/>
          <w:p>
            <w:pPr>
              <w:jc w:val="center"/>
            </w:pPr>
            <w:pPr>
              <w:jc w:val="left"/>
              <w:spacing w:before="200"/>
              <w:pStyle w:val="ImageCaption"/>
            </w:pPr>
            <w:r>
              <w:t xml:space="preserve">Table 3: Glossary of the eCH-1234 standard</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A set of triples. A named graph is itself identified by an IRI</w:t>
                  </w:r>
                  <w:r>
                    <w:t xml:space="preserve"> </w:t>
                  </w:r>
                  <w:r>
                    <w:t xml:space="preserve">and allows data in a triple store to be grouped.</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Globally unique identifier of a resource. In RDF, subjects,</w:t>
                  </w:r>
                  <w:r>
                    <w:t xml:space="preserve"> </w:t>
                  </w:r>
                  <w:r>
                    <w:t xml:space="preserve">predicates and most objects are identified by IRIs.</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A serialization of RDF based on JSON, particularly suited to</w:t>
                  </w:r>
                  <w:r>
                    <w:t xml:space="preserve"> </w:t>
                  </w:r>
                  <w:r>
                    <w:t xml:space="preserve">web interfaces.</w:t>
                  </w:r>
                </w:p>
                <w:p>
                  <w:pPr>
                    <w:jc w:val="left"/>
                    <w:jc w:val="center"/>
                  </w:pPr>
                  <w:r>
                    <w:rPr>
                      <w:i/>
                      <w:iCs/>
                    </w:rPr>
                    <w:t xml:space="preserve">Broader</w:t>
                  </w:r>
                  <w:r>
                    <w:t xml:space="preserve">: Serialization</w:t>
                  </w:r>
                </w:p>
              </w:tc>
            </w:tr>
            <w:tr>
              <w:tc>
                <w:tcPr/>
                <w:p>
                  <w:pPr>
                    <w:pStyle w:val="Compact"/>
                    <w:jc w:val="left"/>
                    <w:jc w:val="center"/>
                  </w:pPr>
                  <w:r>
                    <w:rPr>
                      <w:b/>
                      <w:bCs/>
                    </w:rPr>
                    <w:t xml:space="preserve">Linked Data</w:t>
                  </w:r>
                  <w:r>
                    <w:t xml:space="preserve"> </w:t>
                  </w:r>
                  <w:r>
                    <w:t xml:space="preserve">(Linked Open</w:t>
                  </w:r>
                  <w:r>
                    <w:t xml:space="preserve"> </w:t>
                  </w:r>
                  <w:r>
                    <w:t xml:space="preserve">Data)</w:t>
                  </w:r>
                </w:p>
              </w:tc>
              <w:tc>
                <w:tcPr/>
                <w:p>
                  <w:pPr>
                    <w:jc w:val="left"/>
                    <w:jc w:val="center"/>
                  </w:pPr>
                  <w:r>
                    <w:t xml:space="preserve">Data published according to the principles of the Semantic Web:</w:t>
                  </w:r>
                  <w:r>
                    <w:t xml:space="preserve"> </w:t>
                  </w:r>
                  <w:r>
                    <w:t xml:space="preserve">identified by IRIs, described in RDF and linked to one another.</w:t>
                  </w:r>
                </w:p>
                <w:p>
                  <w:pPr>
                    <w:jc w:val="left"/>
                    <w:jc w:val="center"/>
                  </w:pPr>
                  <w:r>
                    <w:rPr>
                      <w:i/>
                      <w:iCs/>
                    </w:rPr>
                    <w:t xml:space="preserve">Related</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r>
                    <w:rPr>
                      <w:b/>
                      <w:bCs/>
                    </w:rPr>
                    <w:t xml:space="preserve">Literal</w:t>
                  </w:r>
                </w:p>
              </w:tc>
              <w:tc>
                <w:tcPr/>
                <w:p>
                  <w:pPr>
                    <w:jc w:val="left"/>
                    <w:jc w:val="center"/>
                  </w:pPr>
                  <w:r>
                    <w:t xml:space="preserve">A concrete value in RDF, such as a string, a number or a date,</w:t>
                  </w:r>
                  <w:r>
                    <w:t xml:space="preserve"> </w:t>
                  </w:r>
                  <w:r>
                    <w:t xml:space="preserve">optionally with a datatype or a language tag.</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Namespace</w:t>
                  </w:r>
                  <w:r>
                    <w:t xml:space="preserve"> </w:t>
                  </w:r>
                  <w:r>
                    <w:t xml:space="preserve">(Prefix)</w:t>
                  </w:r>
                </w:p>
              </w:tc>
              <w:tc>
                <w:tcPr/>
                <w:p>
                  <w:pPr>
                    <w:jc w:val="left"/>
                    <w:jc w:val="center"/>
                  </w:pPr>
                  <w:r>
                    <w:t xml:space="preserve">Common beginning of a group of IRIs. In Turtle and SPARQL, a</w:t>
                  </w:r>
                  <w:r>
                    <w:t xml:space="preserve"> </w:t>
                  </w:r>
                  <w:r>
                    <w:t xml:space="preserve">namespace is abbreviated by a prefix, for example</w:t>
                  </w:r>
                  <w:r>
                    <w:t xml:space="preserve"> </w:t>
                  </w:r>
                  <w:r>
                    <w:rPr>
                      <w:rStyle w:val="VerbatimChar"/>
                    </w:rPr>
                    <w:t xml:space="preserve">schema:</w:t>
                  </w:r>
                  <w:r>
                    <w:t xml:space="preserve"> </w:t>
                  </w:r>
                  <w:r>
                    <w:t xml:space="preserve">for</w:t>
                  </w:r>
                  <w:r>
                    <w:t xml:space="preserve"> </w:t>
                  </w:r>
                  <w:r>
                    <w:rPr>
                      <w:rStyle w:val="VerbatimChar"/>
                    </w:rPr>
                    <w:t xml:space="preserve">http://schema.org/</w:t>
                  </w:r>
                  <w:r>
                    <w:t xml:space="preserve">.</w:t>
                  </w:r>
                </w:p>
                <w:p>
                  <w:pPr>
                    <w:jc w:val="left"/>
                    <w:jc w:val="center"/>
                  </w:pPr>
                  <w:r>
                    <w:rPr>
                      <w:i/>
                      <w:iCs/>
                    </w:rPr>
                    <w:t xml:space="preserve">Related</w:t>
                  </w:r>
                  <w:r>
                    <w:t xml:space="preserve">: Internationalized Resource Identifier</w:t>
                  </w:r>
                </w:p>
              </w:tc>
            </w:tr>
            <w:tr>
              <w:tc>
                <w:tcPr/>
                <w:p>
                  <w:pPr>
                    <w:pStyle w:val="Compact"/>
                    <w:jc w:val="left"/>
                    <w:jc w:val="center"/>
                  </w:pPr>
                  <w:r>
                    <w:rPr>
                      <w:b/>
                      <w:bCs/>
                    </w:rPr>
                    <w:t xml:space="preserve">Ontology</w:t>
                  </w:r>
                </w:p>
              </w:tc>
              <w:tc>
                <w:tcPr/>
                <w:p>
                  <w:pPr>
                    <w:jc w:val="left"/>
                    <w:jc w:val="center"/>
                  </w:pPr>
                  <w:r>
                    <w:t xml:space="preserve">A formal model of a domain that describes classes, properties</w:t>
                  </w:r>
                  <w:r>
                    <w:t xml:space="preserve"> </w:t>
                  </w:r>
                  <w:r>
                    <w:t xml:space="preserve">and their logical relationships in a way that allows machines</w:t>
                  </w:r>
                  <w:r>
                    <w:t xml:space="preserve"> </w:t>
                  </w:r>
                  <w:r>
                    <w:t xml:space="preserve">to draw conclusions.</w:t>
                  </w:r>
                </w:p>
                <w:p>
                  <w:pPr>
                    <w:jc w:val="left"/>
                    <w:jc w:val="center"/>
                  </w:pPr>
                  <w:r>
                    <w:rPr>
                      <w:i/>
                      <w:iCs/>
                    </w:rPr>
                    <w:t xml:space="preserve">Broader</w:t>
                  </w:r>
                  <w:r>
                    <w:t xml:space="preserve">: Vocabulary</w:t>
                  </w:r>
                </w:p>
                <w:p>
                  <w:pPr>
                    <w:jc w:val="left"/>
                    <w:jc w:val="center"/>
                  </w:pPr>
                  <w:r>
                    <w:rPr>
                      <w:i/>
                      <w:iCs/>
                    </w:rPr>
                    <w:t xml:space="preserve">Related</w:t>
                  </w:r>
                  <w:r>
                    <w:t xml:space="preserve">: Web Ontology Language</w:t>
                  </w:r>
                </w:p>
              </w:tc>
            </w:tr>
            <w:tr>
              <w:tc>
                <w:tcPr/>
                <w:p>
                  <w:pPr>
                    <w:pStyle w:val="Compact"/>
                    <w:jc w:val="left"/>
                    <w:jc w:val="center"/>
                  </w:pPr>
                  <w:r>
                    <w:rPr>
                      <w:b/>
                      <w:bCs/>
                    </w:rPr>
                    <w:t xml:space="preserve">Reasoning</w:t>
                  </w:r>
                  <w:r>
                    <w:t xml:space="preserve"> </w:t>
                  </w:r>
                  <w:r>
                    <w:t xml:space="preserve">(Inference)</w:t>
                  </w:r>
                </w:p>
              </w:tc>
              <w:tc>
                <w:tcPr/>
                <w:p>
                  <w:pPr>
                    <w:pStyle w:val="Compact"/>
                    <w:jc w:val="left"/>
                    <w:jc w:val="center"/>
                  </w:pPr>
                  <w:r>
                    <w:t xml:space="preserve">The automatic derivation of new statements from the existing</w:t>
                  </w:r>
                  <w:r>
                    <w:t xml:space="preserve"> </w:t>
                  </w:r>
                  <w:r>
                    <w:t xml:space="preserve">data and the axioms of an ontology, for example by the HermiT</w:t>
                  </w:r>
                  <w:r>
                    <w:t xml:space="preserve"> </w:t>
                  </w:r>
                  <w:r>
                    <w:t xml:space="preserve">reasoner.</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r>
                    <w:rPr>
                      <w:b/>
                      <w:bCs/>
                    </w:rPr>
                    <w:t xml:space="preserve">Serialization</w:t>
                  </w:r>
                </w:p>
              </w:tc>
              <w:tc>
                <w:tcPr/>
                <w:p>
                  <w:pPr>
                    <w:jc w:val="left"/>
                    <w:jc w:val="center"/>
                  </w:pPr>
                  <w:r>
                    <w:t xml:space="preserve">Textual representation of an RDF graph in a defined format,</w:t>
                  </w:r>
                  <w:r>
                    <w:t xml:space="preserve"> </w:t>
                  </w:r>
                  <w:r>
                    <w:t xml:space="preserve">used to store or exchange it.</w:t>
                  </w:r>
                </w:p>
                <w:p>
                  <w:pPr>
                    <w:jc w:val="left"/>
                    <w:jc w:val="center"/>
                  </w:pPr>
                  <w:r>
                    <w:rPr>
                      <w:i/>
                      <w:iCs/>
                    </w:rPr>
                    <w:t xml:space="preserve">Narrower</w:t>
                  </w:r>
                  <w:r>
                    <w:t xml:space="preserve">: JSON for Linking Data, Terse RDF Triple Language</w:t>
                  </w:r>
                </w:p>
              </w:tc>
            </w:tr>
            <w:tr>
              <w:tc>
                <w:tcPr/>
                <w:p>
                  <w:pPr>
                    <w:pStyle w:val="Compact"/>
                    <w:jc w:val="left"/>
                    <w:jc w:val="center"/>
                  </w:pPr>
                  <w:r>
                    <w:rPr>
                      <w:b/>
                      <w:bCs/>
                    </w:rPr>
                    <w:t xml:space="preserve">Shape</w:t>
                  </w:r>
                </w:p>
              </w:tc>
              <w:tc>
                <w:tcPr/>
                <w:p>
                  <w:pPr>
                    <w:jc w:val="left"/>
                    <w:jc w:val="center"/>
                  </w:pPr>
                  <w:r>
                    <w:t xml:space="preserve">A set of conditions that a class of resources or a property</w:t>
                  </w:r>
                  <w:r>
                    <w:t xml:space="preserve"> </w:t>
                  </w:r>
                  <w:r>
                    <w:t xml:space="preserve">must fulfil, such as mandatory fields, datatypes and</w:t>
                  </w:r>
                  <w:r>
                    <w:t xml:space="preserve"> </w:t>
                  </w:r>
                  <w:r>
                    <w:t xml:space="preserve">cardinalities.</w:t>
                  </w:r>
                </w:p>
                <w:p>
                  <w:pPr>
                    <w:jc w:val="left"/>
                    <w:jc w:val="center"/>
                  </w:pPr>
                  <w:r>
                    <w:rPr>
                      <w:i/>
                      <w:iCs/>
                    </w:rPr>
                    <w:t xml:space="preserve">Broader</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The W3C language for describing and validating the structure of</w:t>
                  </w:r>
                  <w:r>
                    <w:t xml:space="preserve"> </w:t>
                  </w:r>
                  <w:r>
                    <w:t xml:space="preserve">RDF data. The data model of this standard is formulated in</w:t>
                  </w:r>
                  <w:r>
                    <w:t xml:space="preserve"> </w:t>
                  </w:r>
                  <w:r>
                    <w:t xml:space="preserve">SHACL.</w:t>
                  </w:r>
                </w:p>
                <w:p>
                  <w:pPr>
                    <w:jc w:val="left"/>
                    <w:jc w:val="center"/>
                  </w:pPr>
                  <w:r>
                    <w:rPr>
                      <w:i/>
                      <w:iCs/>
                    </w:rPr>
                    <w:t xml:space="preserve">Narrower</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A W3C vocabulary for thesauri, classifications and glossaries.</w:t>
                  </w:r>
                  <w:r>
                    <w:t xml:space="preserve"> </w:t>
                  </w:r>
                  <w:r>
                    <w:t xml:space="preserve">This glossary is itself recorded in SKOS.</w:t>
                  </w:r>
                </w:p>
                <w:p>
                  <w:pPr>
                    <w:jc w:val="left"/>
                    <w:jc w:val="center"/>
                  </w:pPr>
                  <w:r>
                    <w:rPr>
                      <w:i/>
                      <w:iCs/>
                    </w:rPr>
                    <w:t xml:space="preserve">Related</w:t>
                  </w:r>
                  <w:r>
                    <w:t xml:space="preserve">: Vocabulary</w:t>
                  </w:r>
                </w:p>
              </w:tc>
            </w:tr>
            <w:tr>
              <w:tc>
                <w:tcPr/>
                <w:p>
                  <w:pPr>
                    <w:pStyle w:val="Compact"/>
                    <w:jc w:val="left"/>
                    <w:jc w:val="center"/>
                  </w:pPr>
                  <w:r>
                    <w:rPr>
                      <w:b/>
                      <w:bCs/>
                    </w:rPr>
                    <w:t xml:space="preserve">SPARQL endpoint</w:t>
                  </w:r>
                </w:p>
              </w:tc>
              <w:tc>
                <w:tcPr/>
                <w:p>
                  <w:pPr>
                    <w:jc w:val="left"/>
                    <w:jc w:val="center"/>
                  </w:pPr>
                  <w:r>
                    <w:t xml:space="preserve">A web interface through which SPARQL queries can be sent to a</w:t>
                  </w:r>
                  <w:r>
                    <w:t xml:space="preserve"> </w:t>
                  </w:r>
                  <w:r>
                    <w:t xml:space="preserve">triple store.</w:t>
                  </w:r>
                </w:p>
                <w:p>
                  <w:pPr>
                    <w:jc w:val="left"/>
                    <w:jc w:val="center"/>
                  </w:pPr>
                  <w:r>
                    <w:rPr>
                      <w:i/>
                      <w:iCs/>
                    </w:rPr>
                    <w:t xml:space="preserve">Broader</w:t>
                  </w:r>
                  <w:r>
                    <w:t xml:space="preserve">: SPARQL Protocol and RDF Query Language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The W3C query language for RDF data. SPARQL is used to read</w:t>
                  </w:r>
                  <w:r>
                    <w:t xml:space="preserve"> </w:t>
                  </w:r>
                  <w:r>
                    <w:t xml:space="preserve">data from graphs, modify them and exchange them between</w:t>
                  </w:r>
                  <w:r>
                    <w:t xml:space="preserve"> </w:t>
                  </w:r>
                  <w:r>
                    <w:t xml:space="preserve">systems.</w:t>
                  </w:r>
                </w:p>
                <w:p>
                  <w:pPr>
                    <w:jc w:val="left"/>
                    <w:jc w:val="center"/>
                  </w:pPr>
                  <w:r>
                    <w:rPr>
                      <w:i/>
                      <w:iCs/>
                    </w:rPr>
                    <w:t xml:space="preserve">Related</w:t>
                  </w:r>
                  <w:r>
                    <w:t xml:space="preserve">: Resource Description Framework</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A compact, human-readable serialization for RDF. All RDF files</w:t>
                  </w:r>
                  <w:r>
                    <w:t xml:space="preserve"> </w:t>
                  </w:r>
                  <w:r>
                    <w:t xml:space="preserve">of this standard are written in Turtle.</w:t>
                  </w:r>
                </w:p>
                <w:p>
                  <w:pPr>
                    <w:jc w:val="left"/>
                    <w:jc w:val="center"/>
                  </w:pPr>
                  <w:r>
                    <w:rPr>
                      <w:i/>
                      <w:iCs/>
                    </w:rPr>
                    <w:t xml:space="preserve">Broader</w:t>
                  </w:r>
                  <w:r>
                    <w:t xml:space="preserve">: Serialization</w:t>
                  </w:r>
                </w:p>
              </w:tc>
            </w:tr>
            <w:tr>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Triple store</w:t>
                  </w:r>
                  <w:r>
                    <w:t xml:space="preserve"> </w:t>
                  </w:r>
                  <w:r>
                    <w:t xml:space="preserve">(Graph database)</w:t>
                  </w:r>
                </w:p>
              </w:tc>
              <w:tc>
                <w:tcPr/>
                <w:p>
                  <w:pPr>
                    <w:jc w:val="left"/>
                    <w:jc w:val="center"/>
                  </w:pPr>
                  <w:r>
                    <w:t xml:space="preserve">A database specialised in storing and querying RDF triples.</w:t>
                  </w:r>
                </w:p>
                <w:p>
                  <w:pPr>
                    <w:jc w:val="left"/>
                    <w:jc w:val="center"/>
                  </w:pPr>
                  <w:r>
                    <w:rPr>
                      <w:i/>
                      <w:iCs/>
                    </w:rPr>
                    <w:t xml:space="preserve">Related</w:t>
                  </w:r>
                  <w:r>
                    <w:t xml:space="preserve">: Linked Data Service</w:t>
                  </w:r>
                </w:p>
              </w:tc>
            </w:tr>
            <w:tr>
              <w:tc>
                <w:tcPr/>
                <w:p>
                  <w:pPr>
                    <w:pStyle w:val="Compact"/>
                    <w:jc w:val="left"/>
                    <w:jc w:val="center"/>
                  </w:pPr>
                  <w:r>
                    <w:rPr>
                      <w:b/>
                      <w:bCs/>
                    </w:rPr>
                    <w:t xml:space="preserve">Vocabulary</w:t>
                  </w:r>
                </w:p>
              </w:tc>
              <w:tc>
                <w:tcPr/>
                <w:p>
                  <w:pPr>
                    <w:jc w:val="left"/>
                    <w:jc w:val="center"/>
                  </w:pPr>
                  <w:r>
                    <w:t xml:space="preserve">A collection of classes and properties with defined meaning</w:t>
                  </w:r>
                  <w:r>
                    <w:t xml:space="preserve"> </w:t>
                  </w:r>
                  <w:r>
                    <w:t xml:space="preserve">that is reused to describe data, for example schema.org.</w:t>
                  </w:r>
                </w:p>
                <w:p>
                  <w:pPr>
                    <w:jc w:val="left"/>
                    <w:jc w:val="center"/>
                  </w:pPr>
                  <w:r>
                    <w:rPr>
                      <w:i/>
                      <w:iCs/>
                    </w:rPr>
                    <w:t xml:space="preserve">Narrower</w:t>
                  </w:r>
                  <w:r>
                    <w:t xml:space="preserve">: Ontology</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The W3C language for formulating ontologies. It allows classes</w:t>
                  </w:r>
                  <w:r>
                    <w:t xml:space="preserve"> </w:t>
                  </w:r>
                  <w:r>
                    <w:t xml:space="preserve">and properties to be defined with logical axioms.</w:t>
                  </w:r>
                </w:p>
                <w:p>
                  <w:pPr>
                    <w:jc w:val="left"/>
                    <w:jc w:val="center"/>
                  </w:pPr>
                  <w:r>
                    <w:rPr>
                      <w:i/>
                      <w:iCs/>
                    </w:rPr>
                    <w:t xml:space="preserve">Related</w:t>
                  </w:r>
                  <w:r>
                    <w:t xml:space="preserve">: Reasoning</w:t>
                  </w:r>
                </w:p>
              </w:tc>
            </w:tr>
          </w:tbl>
          <w:bookmarkEnd w:id="194"/>
          <w:p/>
        </w:tc>
      </w:tr>
    </w:tbl>
    <w:bookmarkEnd w:id="195"/>
    <w:bookmarkStart w:id="197" w:name="sec-appendix-d"/>
    <w:p>
      <w:pPr>
        <w:pStyle w:val="berschrift1"/>
      </w:pPr>
      <w:r>
        <w:t xml:space="preserve">Annex D – Changes in comparison to previous version</w:t>
      </w:r>
    </w:p>
    <w:p>
      <w:pPr>
        <w:pStyle w:val="FirstParagraph"/>
      </w:pPr>
      <w:r>
        <w:t xml:space="preserve">The most important changes of version 2.0.0 compared to the previous version 1.4.6:</w:t>
      </w:r>
    </w:p>
    <w:p>
      <w:pPr>
        <w:pStyle w:val="Compact"/>
        <w:numPr>
          <w:ilvl w:val="0"/>
          <w:numId w:val="1034"/>
        </w:numPr>
      </w:pPr>
      <w:r>
        <w:rPr>
          <w:b/>
          <w:bCs/>
        </w:rPr>
        <w:t xml:space="preserve">Document template:</w:t>
      </w:r>
      <w:r>
        <w:t xml:space="preserve"> </w:t>
      </w:r>
      <w:r>
        <w:t xml:space="preserve">the PDF output now follows the eCH document template (title page with metadata table, header and footer, table of contents, annexes); the website adopts the same style in a light and a dark variant.</w:t>
      </w:r>
    </w:p>
    <w:p>
      <w:pPr>
        <w:pStyle w:val="Compact"/>
        <w:numPr>
          <w:ilvl w:val="0"/>
          <w:numId w:val="1034"/>
        </w:numPr>
      </w:pPr>
      <w:r>
        <w:rPr>
          <w:b/>
          <w:bCs/>
        </w:rPr>
        <w:t xml:space="preserve">Metadata:</w:t>
      </w:r>
      <w:r>
        <w:t xml:space="preserve"> </w:t>
      </w:r>
      <w:r>
        <w:t xml:space="preserve">number, category, quality stage, version, status and further details of the standard are recorded once and inserted automatically into all language versions, the title page, the footer and</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Lists:</w:t>
      </w:r>
      <w:r>
        <w:t xml:space="preserve"> </w:t>
      </w:r>
      <w:r>
        <w:t xml:space="preserve">the table of figures and the table of tables (Annexes E and F) are generated automatically and linked to the figures and tables.</w:t>
      </w:r>
    </w:p>
    <w:p>
      <w:pPr>
        <w:pStyle w:val="Compact"/>
        <w:numPr>
          <w:ilvl w:val="0"/>
          <w:numId w:val="1034"/>
        </w:numPr>
      </w:pPr>
      <w:r>
        <w:rPr>
          <w:b/>
          <w:bCs/>
        </w:rPr>
        <w:t xml:space="preserve">Presentation:</w:t>
      </w:r>
      <w:r>
        <w:t xml:space="preserve"> </w:t>
      </w:r>
      <w:r>
        <w:t xml:space="preserve">uniform styling of tables, captions and code in the PDF and on the website.</w:t>
      </w:r>
    </w:p>
    <w:p>
      <w:pPr>
        <w:pStyle w:val="FirstParagraph"/>
      </w:pPr>
      <w:r>
        <w:t xml:space="preserve">A complete list of all changes per version can be found in the</w:t>
      </w:r>
      <w:r>
        <w:t xml:space="preserve"> </w:t>
      </w:r>
      <w:hyperlink r:id="rId196">
        <w:r>
          <w:rPr>
            <w:rStyle w:val="Hyperlink"/>
          </w:rPr>
          <w:t xml:space="preserve">releases on GitHub</w:t>
        </w:r>
      </w:hyperlink>
      <w:r>
        <w:t xml:space="preserve">.</w:t>
      </w:r>
    </w:p>
    <w:bookmarkEnd w:id="197"/>
    <w:bookmarkStart w:id="198" w:name="sec-appendix-e"/>
    <w:p>
      <w:pPr>
        <w:pStyle w:val="berschrift1"/>
      </w:pPr>
      <w:r>
        <w:t xml:space="preserve">Annex E – Table of figures</w:t>
      </w:r>
    </w:p>
    <w:bookmarkEnd w:id="198"/>
    <w:bookmarkStart w:id="199" w:name="sec-appendix-f"/>
    <w:p>
      <w:pPr>
        <w:pStyle w:val="berschrift1"/>
      </w:pPr>
      <w:r>
        <w:t xml:space="preserve">Annex F – Table of tables</w:t>
      </w:r>
    </w:p>
    <w:bookmarkEnd w:id="199"/>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On the website, footnotes appear in the right margin; in the PDF, at the bottom of the page.</w:t>
      </w:r>
    </w:p>
  </w:footnote>
  <w:footnote w:id="35">
    <w:p>
      <w:pPr>
        <w:pStyle w:val="Funotentext"/>
      </w:pPr>
      <w:r>
        <w:rPr>
          <w:rStyle w:val="FootnoteReference"/>
        </w:rPr>
        <w:footnoteRef/>
      </w:r>
      <w:r>
        <w:t xml:space="preserve"> </w:t>
      </w:r>
      <w:r>
        <w:t xml:space="preserve">A second footnote with a link to</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en"/>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152" Target="http://qudt.org/vocab/unit/BYTE" TargetMode="External" /><Relationship Type="http://schemas.openxmlformats.org/officeDocument/2006/relationships/hyperlink" Id="rId151" Target="http://qudt.org/vocab/unit/EA" TargetMode="External" /><Relationship Type="http://schemas.openxmlformats.org/officeDocument/2006/relationships/hyperlink" Id="rId153" Target="http://qudt.org/vocab/unit/MilliSEC" TargetMode="External" /><Relationship Type="http://schemas.openxmlformats.org/officeDocument/2006/relationships/hyperlink" Id="rId150" Target="http://qudt.org/vocab/unit/USD" TargetMode="External" /><Relationship Type="http://schemas.openxmlformats.org/officeDocument/2006/relationships/hyperlink" Id="rId73" Target="http://schema.org/Invoice" TargetMode="External" /><Relationship Type="http://schemas.openxmlformats.org/officeDocument/2006/relationships/hyperlink" Id="rId88" Target="http://schema.org/MusicAlbum" TargetMode="External" /><Relationship Type="http://schemas.openxmlformats.org/officeDocument/2006/relationships/hyperlink" Id="rId92" Target="http://schema.org/MusicGroup" TargetMode="External" /><Relationship Type="http://schemas.openxmlformats.org/officeDocument/2006/relationships/hyperlink" Id="rId96" Target="http://schema.org/MusicRecording" TargetMode="External" /><Relationship Type="http://schemas.openxmlformats.org/officeDocument/2006/relationships/hyperlink" Id="rId79" Target="http://schema.org/OrderItem" TargetMode="External" /><Relationship Type="http://schemas.openxmlformats.org/officeDocument/2006/relationships/hyperlink" Id="rId107" Target="http://schema.org/Organisation" TargetMode="External" /><Relationship Type="http://schemas.openxmlformats.org/officeDocument/2006/relationships/hyperlink" Id="rId121" Target="http://schema.org/Organization" TargetMode="External" /><Relationship Type="http://schemas.openxmlformats.org/officeDocument/2006/relationships/hyperlink" Id="rId112" Target="http://schema.org/Person" TargetMode="External" /><Relationship Type="http://schemas.openxmlformats.org/officeDocument/2006/relationships/hyperlink" Id="rId129" Target="http://schema.org/PostalAddress" TargetMode="External" /><Relationship Type="http://schemas.openxmlformats.org/officeDocument/2006/relationships/hyperlink" Id="rId143" Target="http://schema.org/QuantitativeValue" TargetMode="External" /><Relationship Type="http://schemas.openxmlformats.org/officeDocument/2006/relationships/hyperlink" Id="rId119" Target="http://schema.org/address" TargetMode="External" /><Relationship Type="http://schemas.openxmlformats.org/officeDocument/2006/relationships/hyperlink" Id="rId136" Target="http://schema.org/addressCountry" TargetMode="External" /><Relationship Type="http://schemas.openxmlformats.org/officeDocument/2006/relationships/hyperlink" Id="rId134" Target="http://schema.org/addressLocality" TargetMode="External" /><Relationship Type="http://schemas.openxmlformats.org/officeDocument/2006/relationships/hyperlink" Id="rId135"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100" Target="http://schema.org/author" TargetMode="External" /><Relationship Type="http://schemas.openxmlformats.org/officeDocument/2006/relationships/hyperlink" Id="rId118" Target="http://schema.org/birthDate" TargetMode="External" /><Relationship Type="http://schemas.openxmlformats.org/officeDocument/2006/relationships/hyperlink" Id="rId91" Target="http://schema.org/byArtist" TargetMode="External" /><Relationship Type="http://schemas.openxmlformats.org/officeDocument/2006/relationships/hyperlink" Id="rId103" Target="http://schema.org/contentSize" TargetMode="External" /><Relationship Type="http://schemas.openxmlformats.org/officeDocument/2006/relationships/hyperlink" Id="rId76" Target="http://schema.org/customer" TargetMode="External" /><Relationship Type="http://schemas.openxmlformats.org/officeDocument/2006/relationships/hyperlink" Id="rId80" Target="http://schema.org/dateCreated" TargetMode="External" /><Relationship Type="http://schemas.openxmlformats.org/officeDocument/2006/relationships/hyperlink" Id="rId102" Target="http://schema.org/duration" TargetMode="External" /><Relationship Type="http://schemas.openxmlformats.org/officeDocument/2006/relationships/hyperlink" Id="rId117" Target="http://schema.org/email" TargetMode="External" /><Relationship Type="http://schemas.openxmlformats.org/officeDocument/2006/relationships/hyperlink" Id="rId116" Target="http://schema.org/familyName" TargetMode="External" /><Relationship Type="http://schemas.openxmlformats.org/officeDocument/2006/relationships/hyperlink" Id="rId101" Target="http://schema.org/genre" TargetMode="External" /><Relationship Type="http://schemas.openxmlformats.org/officeDocument/2006/relationships/hyperlink" Id="rId115" Target="http://schema.org/givenName" TargetMode="External" /><Relationship Type="http://schemas.openxmlformats.org/officeDocument/2006/relationships/hyperlink" Id="rId78" Target="http://schema.org/hasPart" TargetMode="External" /><Relationship Type="http://schemas.openxmlformats.org/officeDocument/2006/relationships/hyperlink" Id="rId99" Target="http://schema.org/inAlbum" TargetMode="External" /><Relationship Type="http://schemas.openxmlformats.org/officeDocument/2006/relationships/hyperlink" Id="rId122" Target="http://schema.org/jobTitle" TargetMode="External" /><Relationship Type="http://schemas.openxmlformats.org/officeDocument/2006/relationships/hyperlink" Id="rId123"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33" Target="http://schema.org/postalCode" TargetMode="External" /><Relationship Type="http://schemas.openxmlformats.org/officeDocument/2006/relationships/hyperlink" Id="rId132" Target="http://schema.org/streetAddress" TargetMode="External" /><Relationship Type="http://schemas.openxmlformats.org/officeDocument/2006/relationships/hyperlink" Id="rId77" Target="http://schema.org/totalPaymentDue" TargetMode="External" /><Relationship Type="http://schemas.openxmlformats.org/officeDocument/2006/relationships/hyperlink" Id="rId149" Target="http://schema.org/unitCode" TargetMode="External" /><Relationship Type="http://schemas.openxmlformats.org/officeDocument/2006/relationships/hyperlink" Id="rId146" Target="http://schema.org/value" TargetMode="External" /><Relationship Type="http://schemas.openxmlformats.org/officeDocument/2006/relationships/hyperlink" Id="rId120"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81" Target="http://www.w3.org/2001/XMLSchema#date" TargetMode="External" /><Relationship Type="http://schemas.openxmlformats.org/officeDocument/2006/relationships/hyperlink" Id="rId147" Target="http://www.w3.org/2001/XMLSchema#decimal" TargetMode="External" /><Relationship Type="http://schemas.openxmlformats.org/officeDocument/2006/relationships/hyperlink" Id="rId148"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72" Target="https://agriculture.ld.admin.ch/eCH-1234/2/InvoiceShape" TargetMode="External" /><Relationship Type="http://schemas.openxmlformats.org/officeDocument/2006/relationships/hyperlink" Id="rId87" Target="https://agriculture.ld.admin.ch/eCH-1234/2/MusicAlbumShape" TargetMode="External" /><Relationship Type="http://schemas.openxmlformats.org/officeDocument/2006/relationships/hyperlink" Id="rId106" Target="https://agriculture.ld.admin.ch/eCH-1234/2/OrganisationShape" TargetMode="External" /><Relationship Type="http://schemas.openxmlformats.org/officeDocument/2006/relationships/hyperlink" Id="rId111" Target="https://agriculture.ld.admin.ch/eCH-1234/2/PersonShape" TargetMode="External" /><Relationship Type="http://schemas.openxmlformats.org/officeDocument/2006/relationships/hyperlink" Id="rId128" Target="https://agriculture.ld.admin.ch/eCH-1234/2/PostalAddressShape" TargetMode="External" /><Relationship Type="http://schemas.openxmlformats.org/officeDocument/2006/relationships/hyperlink" Id="rId142" Target="https://agriculture.ld.admin.ch/eCH-1234/2/QuantitativeValueShape" TargetMode="External" /><Relationship Type="http://schemas.openxmlformats.org/officeDocument/2006/relationships/hyperlink" Id="rId95"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137" Target="https://ld.admin.ch/country/CHE" TargetMode="External" /><Relationship Type="http://schemas.openxmlformats.org/officeDocument/2006/relationships/hyperlink" Id="rId138" Target="https://ld.admin.ch/country/FRA" TargetMode="External" /><Relationship Type="http://schemas.openxmlformats.org/officeDocument/2006/relationships/hyperlink" Id="rId139"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13"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89"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97"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130"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4"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52" Target="http://qudt.org/vocab/unit/BYTE" TargetMode="External" /><Relationship Type="http://schemas.openxmlformats.org/officeDocument/2006/relationships/hyperlink" Id="rId151" Target="http://qudt.org/vocab/unit/EA" TargetMode="External" /><Relationship Type="http://schemas.openxmlformats.org/officeDocument/2006/relationships/hyperlink" Id="rId153" Target="http://qudt.org/vocab/unit/MilliSEC" TargetMode="External" /><Relationship Type="http://schemas.openxmlformats.org/officeDocument/2006/relationships/hyperlink" Id="rId150" Target="http://qudt.org/vocab/unit/USD" TargetMode="External" /><Relationship Type="http://schemas.openxmlformats.org/officeDocument/2006/relationships/hyperlink" Id="rId73" Target="http://schema.org/Invoice" TargetMode="External" /><Relationship Type="http://schemas.openxmlformats.org/officeDocument/2006/relationships/hyperlink" Id="rId88" Target="http://schema.org/MusicAlbum" TargetMode="External" /><Relationship Type="http://schemas.openxmlformats.org/officeDocument/2006/relationships/hyperlink" Id="rId92" Target="http://schema.org/MusicGroup" TargetMode="External" /><Relationship Type="http://schemas.openxmlformats.org/officeDocument/2006/relationships/hyperlink" Id="rId96" Target="http://schema.org/MusicRecording" TargetMode="External" /><Relationship Type="http://schemas.openxmlformats.org/officeDocument/2006/relationships/hyperlink" Id="rId79" Target="http://schema.org/OrderItem" TargetMode="External" /><Relationship Type="http://schemas.openxmlformats.org/officeDocument/2006/relationships/hyperlink" Id="rId107" Target="http://schema.org/Organisation" TargetMode="External" /><Relationship Type="http://schemas.openxmlformats.org/officeDocument/2006/relationships/hyperlink" Id="rId121" Target="http://schema.org/Organization" TargetMode="External" /><Relationship Type="http://schemas.openxmlformats.org/officeDocument/2006/relationships/hyperlink" Id="rId112" Target="http://schema.org/Person" TargetMode="External" /><Relationship Type="http://schemas.openxmlformats.org/officeDocument/2006/relationships/hyperlink" Id="rId129" Target="http://schema.org/PostalAddress" TargetMode="External" /><Relationship Type="http://schemas.openxmlformats.org/officeDocument/2006/relationships/hyperlink" Id="rId143" Target="http://schema.org/QuantitativeValue" TargetMode="External" /><Relationship Type="http://schemas.openxmlformats.org/officeDocument/2006/relationships/hyperlink" Id="rId119" Target="http://schema.org/address" TargetMode="External" /><Relationship Type="http://schemas.openxmlformats.org/officeDocument/2006/relationships/hyperlink" Id="rId136" Target="http://schema.org/addressCountry" TargetMode="External" /><Relationship Type="http://schemas.openxmlformats.org/officeDocument/2006/relationships/hyperlink" Id="rId134" Target="http://schema.org/addressLocality" TargetMode="External" /><Relationship Type="http://schemas.openxmlformats.org/officeDocument/2006/relationships/hyperlink" Id="rId135"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100" Target="http://schema.org/author" TargetMode="External" /><Relationship Type="http://schemas.openxmlformats.org/officeDocument/2006/relationships/hyperlink" Id="rId118" Target="http://schema.org/birthDate" TargetMode="External" /><Relationship Type="http://schemas.openxmlformats.org/officeDocument/2006/relationships/hyperlink" Id="rId91" Target="http://schema.org/byArtist" TargetMode="External" /><Relationship Type="http://schemas.openxmlformats.org/officeDocument/2006/relationships/hyperlink" Id="rId103" Target="http://schema.org/contentSize" TargetMode="External" /><Relationship Type="http://schemas.openxmlformats.org/officeDocument/2006/relationships/hyperlink" Id="rId76" Target="http://schema.org/customer" TargetMode="External" /><Relationship Type="http://schemas.openxmlformats.org/officeDocument/2006/relationships/hyperlink" Id="rId80" Target="http://schema.org/dateCreated" TargetMode="External" /><Relationship Type="http://schemas.openxmlformats.org/officeDocument/2006/relationships/hyperlink" Id="rId102" Target="http://schema.org/duration" TargetMode="External" /><Relationship Type="http://schemas.openxmlformats.org/officeDocument/2006/relationships/hyperlink" Id="rId117" Target="http://schema.org/email" TargetMode="External" /><Relationship Type="http://schemas.openxmlformats.org/officeDocument/2006/relationships/hyperlink" Id="rId116" Target="http://schema.org/familyName" TargetMode="External" /><Relationship Type="http://schemas.openxmlformats.org/officeDocument/2006/relationships/hyperlink" Id="rId101" Target="http://schema.org/genre" TargetMode="External" /><Relationship Type="http://schemas.openxmlformats.org/officeDocument/2006/relationships/hyperlink" Id="rId115" Target="http://schema.org/givenName" TargetMode="External" /><Relationship Type="http://schemas.openxmlformats.org/officeDocument/2006/relationships/hyperlink" Id="rId78" Target="http://schema.org/hasPart" TargetMode="External" /><Relationship Type="http://schemas.openxmlformats.org/officeDocument/2006/relationships/hyperlink" Id="rId99" Target="http://schema.org/inAlbum" TargetMode="External" /><Relationship Type="http://schemas.openxmlformats.org/officeDocument/2006/relationships/hyperlink" Id="rId122" Target="http://schema.org/jobTitle" TargetMode="External" /><Relationship Type="http://schemas.openxmlformats.org/officeDocument/2006/relationships/hyperlink" Id="rId123"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33" Target="http://schema.org/postalCode" TargetMode="External" /><Relationship Type="http://schemas.openxmlformats.org/officeDocument/2006/relationships/hyperlink" Id="rId132" Target="http://schema.org/streetAddress" TargetMode="External" /><Relationship Type="http://schemas.openxmlformats.org/officeDocument/2006/relationships/hyperlink" Id="rId77" Target="http://schema.org/totalPaymentDue" TargetMode="External" /><Relationship Type="http://schemas.openxmlformats.org/officeDocument/2006/relationships/hyperlink" Id="rId149" Target="http://schema.org/unitCode" TargetMode="External" /><Relationship Type="http://schemas.openxmlformats.org/officeDocument/2006/relationships/hyperlink" Id="rId146" Target="http://schema.org/value" TargetMode="External" /><Relationship Type="http://schemas.openxmlformats.org/officeDocument/2006/relationships/hyperlink" Id="rId120"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81" Target="http://www.w3.org/2001/XMLSchema#date" TargetMode="External" /><Relationship Type="http://schemas.openxmlformats.org/officeDocument/2006/relationships/hyperlink" Id="rId147" Target="http://www.w3.org/2001/XMLSchema#decimal" TargetMode="External" /><Relationship Type="http://schemas.openxmlformats.org/officeDocument/2006/relationships/hyperlink" Id="rId148"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72" Target="https://agriculture.ld.admin.ch/eCH-1234/2/InvoiceShape" TargetMode="External" /><Relationship Type="http://schemas.openxmlformats.org/officeDocument/2006/relationships/hyperlink" Id="rId87" Target="https://agriculture.ld.admin.ch/eCH-1234/2/MusicAlbumShape" TargetMode="External" /><Relationship Type="http://schemas.openxmlformats.org/officeDocument/2006/relationships/hyperlink" Id="rId106" Target="https://agriculture.ld.admin.ch/eCH-1234/2/OrganisationShape" TargetMode="External" /><Relationship Type="http://schemas.openxmlformats.org/officeDocument/2006/relationships/hyperlink" Id="rId111" Target="https://agriculture.ld.admin.ch/eCH-1234/2/PersonShape" TargetMode="External" /><Relationship Type="http://schemas.openxmlformats.org/officeDocument/2006/relationships/hyperlink" Id="rId128" Target="https://agriculture.ld.admin.ch/eCH-1234/2/PostalAddressShape" TargetMode="External" /><Relationship Type="http://schemas.openxmlformats.org/officeDocument/2006/relationships/hyperlink" Id="rId142" Target="https://agriculture.ld.admin.ch/eCH-1234/2/QuantitativeValueShape" TargetMode="External" /><Relationship Type="http://schemas.openxmlformats.org/officeDocument/2006/relationships/hyperlink" Id="rId95"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137" Target="https://ld.admin.ch/country/CHE" TargetMode="External" /><Relationship Type="http://schemas.openxmlformats.org/officeDocument/2006/relationships/hyperlink" Id="rId138" Target="https://ld.admin.ch/country/FRA" TargetMode="External" /><Relationship Type="http://schemas.openxmlformats.org/officeDocument/2006/relationships/hyperlink" Id="rId139"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13"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89"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97"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130"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4"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Quarto Document</dc:title>
  <dc:creator/>
  <dc:language>en</dc:language>
  <cp:keywords/>
  <dcterms:created xsi:type="dcterms:W3CDTF">2026-10-07T12:59:32Z</dcterms:created>
  <dcterms:modified xsi:type="dcterms:W3CDTF">2026-10-07T12:59:32Z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of contents</vt:lpwstr>
  </property>
</Properties>
</file>