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12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Introduction</w:t>
      </w:r>
    </w:p>
    <w:bookmarkStart w:id="24" w:name="statut"/>
    <w:p>
      <w:pPr>
        <w:pStyle w:val="berschrift2"/>
      </w:pPr>
      <w:r>
        <w:t xml:space="preserve">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Champ d’application</w:t>
      </w:r>
    </w:p>
    <w:p>
      <w:pPr>
        <w:pStyle w:val="FirstParagraph"/>
      </w:pPr>
      <w:r>
        <w:t xml:space="preserve">Les informations de ce chapitre doivent donner au lecteur un aperçu rapide de ce à quoi ce standard est destiné. Des indications sur les éléments suivants peuvent s’avérer utiles.</w:t>
      </w:r>
    </w:p>
    <w:bookmarkEnd w:id="25"/>
    <w:bookmarkStart w:id="31" w:name="nous-pouvons-avoir-des-sous-titres"/>
    <w:p>
      <w:pPr>
        <w:pStyle w:val="berschrift2"/>
      </w:pPr>
      <w:r>
        <w:t xml:space="preserve">Nous pouvons avoir des sous-titres</w:t>
      </w:r>
    </w:p>
    <w:p>
      <w:pPr>
        <w:pStyle w:val="FirstParagraph"/>
      </w:pPr>
      <w:r>
        <w:t xml:space="preserve">Et écrire un peu de texte.</w:t>
      </w:r>
    </w:p>
    <w:bookmarkStart w:id="30" w:name="et-aussi-des-sous-sous-titres"/>
    <w:p>
      <w:pPr>
        <w:pStyle w:val="berschrift3"/>
      </w:pPr>
      <w:r>
        <w:t xml:space="preserve">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Modèle de données</w:t>
      </w:r>
    </w:p>
    <w:bookmarkStart w:id="35" w:name="sec-genreshape"/>
    <w:p>
      <w:pPr>
        <w:pStyle w:val="berschrift2"/>
      </w:pPr>
      <w:r>
        <w:t xml:space="preserve">:GenreShape</w:t>
      </w:r>
    </w:p>
    <w:p>
      <w:pPr>
        <w:pStyle w:val="FirstParagraph"/>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Table 1: :GenreShape propriétés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Table 2: :InvoiceShape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Table 3: :MusicAlbumShape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Table 4: :OrganisationShape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Table 5: :PersonShape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Table 6: :QuantitativeValueShape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Table 7: :TrackShape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considérations-de-sécurité"/>
    <w:p>
      <w:pPr>
        <w:pStyle w:val="berschrift1"/>
      </w:pPr>
      <w:r>
        <w:t xml:space="preserve">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49"/>
    <w:bookmarkStart w:id="50" w:name="clause-de-non-responsabilité"/>
    <w:p>
      <w:pPr>
        <w:pStyle w:val="berschrift1"/>
      </w:pPr>
      <w:r>
        <w:t xml:space="preserve">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0"/>
    <w:bookmarkStart w:id="51" w:name="droits-dauteur"/>
    <w:p>
      <w:pPr>
        <w:pStyle w:val="berschrift1"/>
      </w:pPr>
      <w:r>
        <w:t xml:space="preserve">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1"/>
    <w:bookmarkStart w:id="55" w:name="annexe-a---références"/>
    <w:p>
      <w:pPr>
        <w:pStyle w:val="berschrift1"/>
      </w:pPr>
      <w:r>
        <w:t xml:space="preserve">Annexe A - Références</w:t>
      </w:r>
    </w:p>
    <w:bookmarkStart w:id="54" w:name="refs"/>
    <w:bookmarkStart w:id="52"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nexe-b---collaboration-vérification"/>
    <w:p>
      <w:pPr>
        <w:pStyle w:val="berschrift1"/>
      </w:pPr>
      <w:r>
        <w:t xml:space="preserve">Annexe B - Collaboration &amp; Vérification</w:t>
      </w:r>
    </w:p>
    <w:bookmarkEnd w:id="56"/>
    <w:bookmarkStart w:id="57" w:name="annexe-c---abréviations-et-glossaire"/>
    <w:p>
      <w:pPr>
        <w:pStyle w:val="berschrift1"/>
      </w:pPr>
      <w:r>
        <w:t xml:space="preserve">Annexe C - Abréviations et glossaire</w:t>
      </w:r>
    </w:p>
    <w:bookmarkEnd w:id="57"/>
    <w:bookmarkStart w:id="58" w:name="X6f8370af66b6e6c8c273e622397bc0a670fe454"/>
    <w:p>
      <w:pPr>
        <w:pStyle w:val="berschrift1"/>
      </w:pPr>
      <w:r>
        <w:t xml:space="preserve">Annexe D - Modifications par rapport à la version précédente</w:t>
      </w:r>
    </w:p>
    <w:bookmarkEnd w:id="58"/>
    <w:bookmarkStart w:id="59" w:name="annexe-e---table-des-illustrations"/>
    <w:p>
      <w:pPr>
        <w:pStyle w:val="berschrift1"/>
      </w:pPr>
      <w:r>
        <w:t xml:space="preserve">Annexe E - Table des illustrations</w:t>
      </w:r>
    </w:p>
    <w:bookmarkEnd w:id="59"/>
    <w:bookmarkStart w:id="60" w:name="annexe-f---liste-des-tableaux"/>
    <w:p>
      <w:pPr>
        <w:pStyle w:val="berschrift1"/>
      </w:pPr>
      <w:r>
        <w:t xml:space="preserve">Annexe F - Liste des tableaux</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2026-08-12T12:28:57Z</dcterms:created>
  <dcterms:modified xsi:type="dcterms:W3CDTF">2026-08-12T12:28:57Z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12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