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August 12,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introduction"/>
    <w:p>
      <w:pPr>
        <w:pStyle w:val="berschrift1"/>
      </w:pPr>
      <w:r>
        <w:t xml:space="preserve">1. Introduction</w:t>
      </w:r>
    </w:p>
    <w:bookmarkStart w:id="24" w:name="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we-can-have-sub-headings"/>
    <w:p>
      <w:pPr>
        <w:pStyle w:val="berschrift2"/>
      </w:pPr>
      <w:r>
        <w:t xml:space="preserve">1.3 We can have sub-headings</w:t>
      </w:r>
    </w:p>
    <w:p>
      <w:pPr>
        <w:pStyle w:val="FirstParagraph"/>
      </w:pPr>
      <w:r>
        <w:t xml:space="preserve">And write some text.</w:t>
      </w:r>
    </w:p>
    <w:bookmarkStart w:id="30" w:name="also-sub-sub-headings"/>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data-model"/>
    <w:p>
      <w:pPr>
        <w:pStyle w:val="berschrift1"/>
      </w:pPr>
      <w:r>
        <w:t xml:space="preserve">3. Data Model</w:t>
      </w:r>
    </w:p>
    <w:bookmarkStart w:id="35" w:name="sec-genr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music-recording"/>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music-recording"/>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quantitative-valu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quantitative-valu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quantitative-valu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49" w:name="safety-considerations"/>
    <w:p>
      <w:pPr>
        <w:pStyle w:val="berschrift1"/>
      </w:pPr>
      <w:r>
        <w:t xml:space="preserve">4. Safety considerations</w:t>
      </w:r>
    </w:p>
    <w:p>
      <w:pPr>
        <w:pStyle w:val="FirstParagraph"/>
      </w:pPr>
      <w:r>
        <w:t xml:space="preserve">Information about the explicitly relevant legal bases or a note that during the implementation the rele-vant legal bases must be observed.</w:t>
      </w:r>
    </w:p>
    <w:bookmarkEnd w:id="49"/>
    <w:bookmarkStart w:id="50" w:name="disclaimer"/>
    <w:p>
      <w:pPr>
        <w:pStyle w:val="berschrift1"/>
      </w:pPr>
      <w:r>
        <w:t xml:space="preserve">5.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0"/>
    <w:bookmarkStart w:id="51" w:name="copyrights"/>
    <w:p>
      <w:pPr>
        <w:pStyle w:val="berschrift1"/>
      </w:pPr>
      <w:r>
        <w:t xml:space="preserve">6.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1"/>
    <w:bookmarkStart w:id="55" w:name="annex-a---references"/>
    <w:p>
      <w:pPr>
        <w:pStyle w:val="berschrift1"/>
      </w:pPr>
      <w:r>
        <w:t xml:space="preserve">7. Annex A - References</w:t>
      </w:r>
    </w:p>
    <w:bookmarkStart w:id="54" w:name="refs"/>
    <w:bookmarkStart w:id="52"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p>
    <w:bookmarkEnd w:id="53"/>
    <w:bookmarkEnd w:id="54"/>
    <w:bookmarkEnd w:id="55"/>
    <w:bookmarkStart w:id="56" w:name="annex-b---cooperation-verification"/>
    <w:p>
      <w:pPr>
        <w:pStyle w:val="berschrift1"/>
      </w:pPr>
      <w:r>
        <w:t xml:space="preserve">8. Annex B - Cooperation &amp; Verification</w:t>
      </w:r>
    </w:p>
    <w:bookmarkEnd w:id="56"/>
    <w:bookmarkStart w:id="57" w:name="annex-c---abbreviations-and-glossary"/>
    <w:p>
      <w:pPr>
        <w:pStyle w:val="berschrift1"/>
      </w:pPr>
      <w:r>
        <w:t xml:space="preserve">9. Annex C - Abbreviations and Glossary</w:t>
      </w:r>
    </w:p>
    <w:bookmarkEnd w:id="57"/>
    <w:bookmarkStart w:id="58" w:name="Xdaf56cf52464e71101c3791c2a0436e4470615f"/>
    <w:p>
      <w:pPr>
        <w:pStyle w:val="berschrift1"/>
      </w:pPr>
      <w:r>
        <w:t xml:space="preserve">10. Annex D - Changes in comparison to previous version</w:t>
      </w:r>
    </w:p>
    <w:bookmarkEnd w:id="58"/>
    <w:bookmarkStart w:id="59" w:name="annex-e---table-of-figures"/>
    <w:p>
      <w:pPr>
        <w:pStyle w:val="berschrift1"/>
      </w:pPr>
      <w:r>
        <w:t xml:space="preserve">11. Annex E - Table of figures</w:t>
      </w:r>
    </w:p>
    <w:bookmarkEnd w:id="59"/>
    <w:bookmarkStart w:id="60" w:name="annex-f---table-of-tables"/>
    <w:p>
      <w:pPr>
        <w:pStyle w:val="berschrift1"/>
      </w:pPr>
      <w:r>
        <w:t xml:space="preserve">12. Annex F - Table of tables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2026-08-12T18:02:21Z</dcterms:created>
  <dcterms:modified xsi:type="dcterms:W3CDTF">2026-08-12T18:02:21Z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August 12,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