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(dans le texte courant sans crochets avec</w:t>
      </w:r>
      <w:r>
        <w:t xml:space="preserve"> </w:t>
      </w:r>
      <w:r>
        <w:rPr>
          <w:rStyle w:val="VerbatimChar"/>
        </w:rPr>
        <w:t xml:space="preserve">@key</w:t>
      </w:r>
      <w:r>
        <w:t xml:space="preserve">, sinon entre crochets avec</w:t>
      </w:r>
      <w:r>
        <w:t xml:space="preserve"> </w:t>
      </w:r>
      <w:r>
        <w:rPr>
          <w:rStyle w:val="VerbatimChar"/>
        </w:rPr>
        <w:t xml:space="preserve">[@key]</w:t>
      </w:r>
      <w:r>
        <w:t xml:space="preserve">): selon</w:t>
      </w:r>
      <w:r>
        <w:t xml:space="preserve"> </w:t>
      </w:r>
      <w:hyperlink w:anchor="ref-eCH-0003:11.1.0">
        <w:r>
          <w:rPr>
            <w:rStyle w:val="Hyperlink"/>
          </w:rPr>
          <w:t xml:space="preserve">eCH-0003 11.1.0</w:t>
        </w:r>
      </w:hyperlink>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104"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103" w:name="sec-nodeshape-trackshape-properties"/>
    <w:p>
      <w:pPr>
        <w:pStyle w:val="berschrift3"/>
      </w:pPr>
      <w:r>
        <w:t xml:space="preserve">3.3.2 Propriétés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 Chaque</w:t>
            </w:r>
            <w:r>
              <w:t xml:space="preserve"> </w:t>
            </w:r>
            <w:r>
              <w:t xml:space="preserve">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 piste ne</w:t>
            </w:r>
            <w:r>
              <w:t xml:space="preserve"> </w:t>
            </w:r>
            <w:r>
              <w:t xml:space="preserve">peut appartenir qu’à un 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 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Type de média</w:t>
            </w:r>
            <w:r>
              <w:t xml:space="preserve"> </w:t>
            </w:r>
            <w:r>
              <w:t xml:space="preserve">(</w:t>
            </w:r>
            <w:hyperlink r:id="rId90">
              <w:r>
                <w:rPr>
                  <w:rStyle w:val="Hyperlink"/>
                </w:rPr>
                <w:t xml:space="preserve">schema:encodingFormat</w:t>
              </w:r>
            </w:hyperlink>
            <w:r>
              <w:t xml:space="preserve">):</w:t>
            </w:r>
            <w:r>
              <w:t xml:space="preserve"> </w:t>
            </w:r>
            <w:r>
              <w:t xml:space="preserve">Le format de fichier de la piste sous forme de code de la</w:t>
            </w:r>
            <w:r>
              <w:t xml:space="preserve"> </w:t>
            </w:r>
            <w:r>
              <w:t xml:space="preserve">liste de codes des types de média.</w:t>
            </w:r>
          </w:p>
        </w:tc>
        <w:tc>
          <w:tcPr/>
          <w:p>
            <w:pPr>
              <w:pStyle w:val="Compact"/>
              <w:numPr>
                <w:ilvl w:val="0"/>
                <w:numId w:val="1014"/>
              </w:numPr>
              <w:jc w:val="left"/>
            </w:pPr>
            <w:r>
              <w:t xml:space="preserve">Type:</w:t>
            </w:r>
            <w:r>
              <w:t xml:space="preserve"> </w:t>
            </w:r>
            <w:hyperlink r:id="rId91">
              <w:r>
                <w:rPr>
                  <w:rStyle w:val="Hyperlink"/>
                </w:rPr>
                <w:t xml:space="preserve">schema:CategoryCode</w:t>
              </w:r>
            </w:hyperlink>
            <w:r>
              <w:t xml:space="preserve"> </w:t>
            </w:r>
            <w:r>
              <w:t xml:space="preserve">avec la</w:t>
            </w:r>
            <w:r>
              <w:t xml:space="preserve"> </w:t>
            </w:r>
            <w:r>
              <w:t xml:space="preserve">sélection suivante:</w:t>
            </w:r>
          </w:p>
          <w:p>
            <w:pPr>
              <w:pStyle w:val="Compact"/>
              <w:numPr>
                <w:ilvl w:val="1"/>
                <w:numId w:val="1015"/>
              </w:numPr>
              <w:jc w:val="left"/>
            </w:pPr>
            <w:r>
              <w:t xml:space="preserve">Fichier audio MPEG</w:t>
            </w:r>
            <w:r>
              <w:t xml:space="preserve"> </w:t>
            </w:r>
            <w:r>
              <w:t xml:space="preserve">(</w:t>
            </w:r>
            <w:hyperlink r:id="rId92">
              <w:r>
                <w:rPr>
                  <w:rStyle w:val="Hyperlink"/>
                </w:rPr>
                <w:t xml:space="preserve">media:1</w:t>
              </w:r>
            </w:hyperlink>
            <w:r>
              <w:t xml:space="preserve">)</w:t>
            </w:r>
          </w:p>
          <w:p>
            <w:pPr>
              <w:pStyle w:val="Compact"/>
              <w:numPr>
                <w:ilvl w:val="1"/>
                <w:numId w:val="1015"/>
              </w:numPr>
              <w:jc w:val="left"/>
            </w:pPr>
            <w:r>
              <w:t xml:space="preserve">Fichier audio AAC protégé</w:t>
            </w:r>
            <w:r>
              <w:t xml:space="preserve"> </w:t>
            </w:r>
            <w:r>
              <w:t xml:space="preserve">(</w:t>
            </w:r>
            <w:hyperlink r:id="rId93">
              <w:r>
                <w:rPr>
                  <w:rStyle w:val="Hyperlink"/>
                </w:rPr>
                <w:t xml:space="preserve">media:2</w:t>
              </w:r>
            </w:hyperlink>
            <w:r>
              <w:t xml:space="preserve">)</w:t>
            </w:r>
          </w:p>
          <w:p>
            <w:pPr>
              <w:pStyle w:val="Compact"/>
              <w:numPr>
                <w:ilvl w:val="1"/>
                <w:numId w:val="1015"/>
              </w:numPr>
              <w:jc w:val="left"/>
            </w:pPr>
            <w:r>
              <w:t xml:space="preserve">Fichier vidéo MPEG-4 protégé</w:t>
            </w:r>
            <w:r>
              <w:t xml:space="preserve"> </w:t>
            </w:r>
            <w:r>
              <w:t xml:space="preserve">(</w:t>
            </w:r>
            <w:hyperlink r:id="rId94">
              <w:r>
                <w:rPr>
                  <w:rStyle w:val="Hyperlink"/>
                </w:rPr>
                <w:t xml:space="preserve">media:3</w:t>
              </w:r>
            </w:hyperlink>
            <w:r>
              <w:t xml:space="preserve">)</w:t>
            </w:r>
          </w:p>
          <w:p>
            <w:pPr>
              <w:pStyle w:val="Compact"/>
              <w:numPr>
                <w:ilvl w:val="1"/>
                <w:numId w:val="1015"/>
              </w:numPr>
              <w:jc w:val="left"/>
            </w:pPr>
            <w:r>
              <w:t xml:space="preserve">Fichier audio AAC acheté</w:t>
            </w:r>
            <w:r>
              <w:t xml:space="preserve"> </w:t>
            </w:r>
            <w:r>
              <w:t xml:space="preserve">(</w:t>
            </w:r>
            <w:hyperlink r:id="rId95">
              <w:r>
                <w:rPr>
                  <w:rStyle w:val="Hyperlink"/>
                </w:rPr>
                <w:t xml:space="preserve">media:4</w:t>
              </w:r>
            </w:hyperlink>
            <w:r>
              <w:t xml:space="preserve">)</w:t>
            </w:r>
          </w:p>
          <w:p>
            <w:pPr>
              <w:pStyle w:val="Compact"/>
              <w:numPr>
                <w:ilvl w:val="1"/>
                <w:numId w:val="1015"/>
              </w:numPr>
              <w:jc w:val="left"/>
            </w:pPr>
            <w:r>
              <w:t xml:space="preserve">Fichier audio AAC</w:t>
            </w:r>
            <w:r>
              <w:t xml:space="preserve"> </w:t>
            </w:r>
            <w:r>
              <w:t xml:space="preserve">(</w:t>
            </w:r>
            <w:hyperlink r:id="rId96">
              <w:r>
                <w:rPr>
                  <w:rStyle w:val="Hyperlink"/>
                </w:rPr>
                <w:t xml:space="preserve">media:5</w:t>
              </w:r>
            </w:hyperlink>
            <w:r>
              <w:t xml:space="preserve">)</w:t>
            </w:r>
          </w:p>
          <w:p>
            <w:pPr>
              <w:pStyle w:val="Compact"/>
              <w:numPr>
                <w:ilvl w:val="0"/>
                <w:numId w:val="1000"/>
              </w:numPr>
              <w:jc w:val="left"/>
            </w:pPr>
            <w:r>
              <w:t xml:space="preserve">Voir la liste de codes</w:t>
            </w:r>
            <w:r>
              <w:t xml:space="preserve"> </w:t>
            </w:r>
            <w:hyperlink w:anchor="sec-codelist-mediatypes">
              <w:r>
                <w:rPr>
                  <w:rStyle w:val="Hyperlink"/>
                </w:rPr>
                <w:t xml:space="preserve">Types de média</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7">
              <w:r>
                <w:rPr>
                  <w:rStyle w:val="Hyperlink"/>
                </w:rPr>
                <w:t xml:space="preserve">schema:duration</w:t>
              </w:r>
            </w:hyperlink>
            <w:r>
              <w:t xml:space="preserve">):</w:t>
            </w:r>
            <w:r>
              <w:t xml:space="preserve"> </w:t>
            </w:r>
            <w:r>
              <w:t xml:space="preserve">La durée de la piste sous forme de valeur quantitative en</w:t>
            </w:r>
            <w:r>
              <w:t xml:space="preserve"> </w:t>
            </w:r>
            <w:r>
              <w:t xml:space="preserve">millisecondes avec une valeur supérieure à zéro.</w:t>
            </w:r>
          </w:p>
        </w:tc>
        <w:tc>
          <w:tcPr/>
          <w:p>
            <w:pPr>
              <w:pStyle w:val="Compact"/>
              <w:numPr>
                <w:ilvl w:val="0"/>
                <w:numId w:val="1016"/>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17"/>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99">
              <w:r>
                <w:rPr>
                  <w:rStyle w:val="Hyperlink"/>
                </w:rPr>
                <w:t xml:space="preserve">unit:MilliSEC</w:t>
              </w:r>
            </w:hyperlink>
          </w:p>
          <w:p>
            <w:pPr>
              <w:pStyle w:val="Compact"/>
              <w:numPr>
                <w:ilvl w:val="1"/>
                <w:numId w:val="1017"/>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r>
        <w:tc>
          <w:tcPr/>
          <w:p>
            <w:pPr>
              <w:pStyle w:val="Compact"/>
              <w:jc w:val="left"/>
            </w:pPr>
            <w:r>
              <w:rPr>
                <w:b/>
                <w:bCs/>
              </w:rPr>
              <w:t xml:space="preserve">Taille du contenu</w:t>
            </w:r>
            <w:r>
              <w:t xml:space="preserve"> </w:t>
            </w:r>
            <w:r>
              <w:t xml:space="preserve">(</w:t>
            </w:r>
            <w:hyperlink r:id="rId101">
              <w:r>
                <w:rPr>
                  <w:rStyle w:val="Hyperlink"/>
                </w:rPr>
                <w:t xml:space="preserve">schema:contentSize</w:t>
              </w:r>
            </w:hyperlink>
            <w:r>
              <w:t xml:space="preserve">): La</w:t>
            </w:r>
            <w:r>
              <w:t xml:space="preserve"> </w:t>
            </w:r>
            <w:r>
              <w:t xml:space="preserve">taille du fichier de la piste sous forme de valeur</w:t>
            </w:r>
            <w:r>
              <w:t xml:space="preserve"> </w:t>
            </w:r>
            <w:r>
              <w:t xml:space="preserve">quantitative en octets avec une valeur supérieure à zéro.</w:t>
            </w:r>
          </w:p>
        </w:tc>
        <w:tc>
          <w:tcPr/>
          <w:p>
            <w:pPr>
              <w:pStyle w:val="Compact"/>
              <w:numPr>
                <w:ilvl w:val="0"/>
                <w:numId w:val="1018"/>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19"/>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102">
              <w:r>
                <w:rPr>
                  <w:rStyle w:val="Hyperlink"/>
                </w:rPr>
                <w:t xml:space="preserve">unit:BYTE</w:t>
              </w:r>
            </w:hyperlink>
          </w:p>
          <w:p>
            <w:pPr>
              <w:pStyle w:val="Compact"/>
              <w:numPr>
                <w:ilvl w:val="1"/>
                <w:numId w:val="1019"/>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bl>
    <w:bookmarkEnd w:id="103"/>
    <w:bookmarkEnd w:id="104"/>
    <w:bookmarkStart w:id="120"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108" w:name="sec-nodeshape-invoiceshape-overview"/>
    <w:p>
      <w:pPr>
        <w:pStyle w:val="berschrift3"/>
      </w:pPr>
      <w:r>
        <w:t xml:space="preserve">3.4.1 Aperçu</w:t>
      </w:r>
    </w:p>
    <w:p>
      <w:pPr>
        <w:pStyle w:val="DefinitionTerm"/>
      </w:pPr>
      <w:r>
        <w:t xml:space="preserve">Shape</w:t>
      </w:r>
    </w:p>
    <w:p>
      <w:pPr>
        <w:pStyle w:val="Definition"/>
      </w:pPr>
      <w:hyperlink r:id="rId105">
        <w:r>
          <w:rPr>
            <w:rStyle w:val="Hyperlink"/>
          </w:rPr>
          <w:t xml:space="preserve">:InvoiceShape</w:t>
        </w:r>
      </w:hyperlink>
    </w:p>
    <w:p>
      <w:pPr>
        <w:pStyle w:val="DefinitionTerm"/>
      </w:pPr>
      <w:r>
        <w:t xml:space="preserve">Classe cible</w:t>
      </w:r>
    </w:p>
    <w:p>
      <w:pPr>
        <w:pStyle w:val="Definition"/>
      </w:pPr>
      <w:hyperlink r:id="rId106">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107">
        <w:r>
          <w:rPr>
            <w:rStyle w:val="Hyperlink"/>
          </w:rPr>
          <w:t xml:space="preserve">Service SPARQL</w:t>
        </w:r>
      </w:hyperlink>
    </w:p>
    <w:bookmarkEnd w:id="108"/>
    <w:bookmarkStart w:id="116" w:name="sec-nodeshape-invoiceshape-properties"/>
    <w:p>
      <w:pPr>
        <w:pStyle w:val="berschrift3"/>
      </w:pPr>
      <w:r>
        <w:t xml:space="preserve">3.4.2 Propriétés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109">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20"/>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110">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21"/>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r>
              <w:t xml:space="preserve"> </w:t>
            </w:r>
            <w:r>
              <w:t xml:space="preserve">avec les restrictions suivantes:</w:t>
            </w:r>
          </w:p>
          <w:p>
            <w:pPr>
              <w:pStyle w:val="Compact"/>
              <w:numPr>
                <w:ilvl w:val="1"/>
                <w:numId w:val="1022"/>
              </w:numPr>
              <w:jc w:val="left"/>
            </w:pPr>
            <w: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Valeur obligatoire</w:t>
            </w:r>
            <w:r>
              <w:t xml:space="preserve"> </w:t>
            </w:r>
            <w:hyperlink r:id="rId111">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12">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23"/>
              </w:numPr>
              <w:jc w:val="left"/>
            </w:pPr>
            <w:r>
              <w:t xml:space="preserve">Type:</w:t>
            </w:r>
            <w:r>
              <w:t xml:space="preserve"> </w:t>
            </w:r>
            <w:hyperlink r:id="rId113">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14">
              <w:r>
                <w:rPr>
                  <w:rStyle w:val="Hyperlink"/>
                </w:rPr>
                <w:t xml:space="preserve">schema:dateCreated</w:t>
              </w:r>
            </w:hyperlink>
            <w:r>
              <w:t xml:space="preserve">)</w:t>
            </w:r>
          </w:p>
        </w:tc>
        <w:tc>
          <w:tcPr/>
          <w:p>
            <w:pPr>
              <w:pStyle w:val="Compact"/>
              <w:numPr>
                <w:ilvl w:val="0"/>
                <w:numId w:val="1024"/>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24"/>
              </w:numPr>
              <w:jc w:val="left"/>
            </w:pPr>
            <w:r>
              <w:t xml:space="preserve">Plage de valeurs: ≥ 2000-01-01</w:t>
            </w:r>
          </w:p>
          <w:p>
            <w:pPr>
              <w:pStyle w:val="Compact"/>
              <w:numPr>
                <w:ilvl w:val="0"/>
                <w:numId w:val="1024"/>
              </w:numPr>
              <w:jc w:val="left"/>
            </w:pPr>
            <w:r>
              <w:t xml:space="preserve">Exemples: 2001-01-01, 2024-05-21</w:t>
            </w:r>
          </w:p>
        </w:tc>
        <w:tc>
          <w:tcPr/>
          <w:p>
            <w:pPr>
              <w:pStyle w:val="Compact"/>
              <w:jc w:val="right"/>
            </w:pPr>
            <w:r>
              <w:t xml:space="preserve">0..*</w:t>
            </w:r>
          </w:p>
        </w:tc>
      </w:tr>
    </w:tbl>
    <w:bookmarkEnd w:id="116"/>
    <w:bookmarkStart w:id="119" w:name="sec-nodeshape-invoiceshape-rules"/>
    <w:p>
      <w:pPr>
        <w:pStyle w:val="berschrift3"/>
      </w:pPr>
      <w:r>
        <w:t xml:space="preserve">3.4.3 Règles (SPARQL)</w:t>
      </w:r>
    </w:p>
    <w:bookmarkStart w:id="117"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17"/>
    <w:bookmarkStart w:id="118"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18"/>
    <w:bookmarkEnd w:id="119"/>
    <w:bookmarkEnd w:id="120"/>
    <w:bookmarkStart w:id="131" w:name="sec-nodeshape-genreshape"/>
    <w:p>
      <w:pPr>
        <w:pStyle w:val="berschrift2"/>
      </w:pPr>
      <w:r>
        <w:t xml:space="preserve">3.5 Genre</w:t>
      </w:r>
    </w:p>
    <w:p>
      <w:pPr>
        <w:pStyle w:val="FirstParagraph"/>
      </w:pPr>
      <w:r>
        <w:t xml:space="preserve">Une catégorie musicale dans le jeu de données Chinook.</w:t>
      </w:r>
    </w:p>
    <w:bookmarkStart w:id="124" w:name="sec-nodeshape-genreshape-overview"/>
    <w:p>
      <w:pPr>
        <w:pStyle w:val="berschrift3"/>
      </w:pPr>
      <w:r>
        <w:t xml:space="preserve">3.5.1 Aperçu</w:t>
      </w:r>
    </w:p>
    <w:p>
      <w:pPr>
        <w:pStyle w:val="DefinitionTerm"/>
      </w:pPr>
      <w:r>
        <w:t xml:space="preserve">Shape</w:t>
      </w:r>
    </w:p>
    <w:p>
      <w:pPr>
        <w:pStyle w:val="Definition"/>
      </w:pPr>
      <w:hyperlink r:id="rId121">
        <w:r>
          <w:rPr>
            <w:rStyle w:val="Hyperlink"/>
          </w:rPr>
          <w:t xml:space="preserve">:GenreShape</w:t>
        </w:r>
      </w:hyperlink>
    </w:p>
    <w:p>
      <w:pPr>
        <w:pStyle w:val="DefinitionTerm"/>
      </w:pPr>
      <w:r>
        <w:t xml:space="preserve">Classe cible</w:t>
      </w:r>
    </w:p>
    <w:p>
      <w:pPr>
        <w:pStyle w:val="Definition"/>
      </w:pPr>
      <w:hyperlink r:id="rId122">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23">
        <w:r>
          <w:rPr>
            <w:rStyle w:val="Hyperlink"/>
          </w:rPr>
          <w:t xml:space="preserve">Service SPARQL</w:t>
        </w:r>
      </w:hyperlink>
    </w:p>
    <w:bookmarkEnd w:id="124"/>
    <w:bookmarkStart w:id="128" w:name="sec-nodeshape-genreshape-properties"/>
    <w:p>
      <w:pPr>
        <w:pStyle w:val="berschrift3"/>
      </w:pPr>
      <w:r>
        <w:t xml:space="preserve">3.5.2 Propriétés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Motif:</w:t>
            </w:r>
            <w:r>
              <w:t xml:space="preserve"> </w:t>
            </w:r>
            <w:r>
              <w:rPr>
                <w:rStyle w:val="VerbatimChar"/>
              </w:rPr>
              <w:t xml:space="preserve">^[A-Z]</w:t>
            </w:r>
          </w:p>
          <w:p>
            <w:pPr>
              <w:pStyle w:val="Compact"/>
              <w:numPr>
                <w:ilvl w:val="0"/>
                <w:numId w:val="1025"/>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25">
              <w:r>
                <w:rPr>
                  <w:rStyle w:val="Hyperlink"/>
                </w:rPr>
                <w:t xml:space="preserve">schema:partOf</w:t>
              </w:r>
            </w:hyperlink>
            <w:r>
              <w:t xml:space="preserve">)</w:t>
            </w:r>
          </w:p>
        </w:tc>
        <w:tc>
          <w:tcPr/>
          <w:p>
            <w:pPr>
              <w:pStyle w:val="Compact"/>
              <w:numPr>
                <w:ilvl w:val="0"/>
                <w:numId w:val="1026"/>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26">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7"/>
              </w:numPr>
              <w:jc w:val="left"/>
            </w:pPr>
            <w:r>
              <w:t xml:space="preserve">Type: Texte avec indication de langue</w:t>
            </w:r>
            <w:r>
              <w:t xml:space="preserve"> </w:t>
            </w:r>
            <w:r>
              <w:t xml:space="preserve">(</w:t>
            </w:r>
            <w:hyperlink r:id="rId127">
              <w:r>
                <w:rPr>
                  <w:rStyle w:val="Hyperlink"/>
                </w:rPr>
                <w:t xml:space="preserve">rdf:langString</w:t>
              </w:r>
            </w:hyperlink>
            <w:r>
              <w:t xml:space="preserve">)</w:t>
            </w:r>
          </w:p>
          <w:p>
            <w:pPr>
              <w:pStyle w:val="Compact"/>
              <w:numPr>
                <w:ilvl w:val="0"/>
                <w:numId w:val="1027"/>
              </w:numPr>
              <w:jc w:val="left"/>
            </w:pPr>
            <w:r>
              <w:t xml:space="preserve">Longueur: ≤ 50 caractères</w:t>
            </w:r>
          </w:p>
          <w:p>
            <w:pPr>
              <w:pStyle w:val="Compact"/>
              <w:numPr>
                <w:ilvl w:val="0"/>
                <w:numId w:val="1027"/>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28"/>
    <w:bookmarkStart w:id="130" w:name="sec-nodeshape-genreshape-rules"/>
    <w:p>
      <w:pPr>
        <w:pStyle w:val="berschrift3"/>
      </w:pPr>
      <w:r>
        <w:t xml:space="preserve">3.5.3 Règles (SPARQL)</w:t>
      </w:r>
    </w:p>
    <w:bookmarkStart w:id="129"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29"/>
    <w:bookmarkEnd w:id="130"/>
    <w:bookmarkEnd w:id="131"/>
    <w:bookmarkStart w:id="136" w:name="sec-nodeshape-organisationshape"/>
    <w:p>
      <w:pPr>
        <w:pStyle w:val="berschrift2"/>
      </w:pPr>
      <w:r>
        <w:t xml:space="preserve">3.6 Organisation</w:t>
      </w:r>
    </w:p>
    <w:p>
      <w:pPr>
        <w:pStyle w:val="FirstParagraph"/>
      </w:pPr>
      <w:r>
        <w:t xml:space="preserve">Une entreprise ou organisation dans le jeu de données Chinook.</w:t>
      </w:r>
    </w:p>
    <w:bookmarkStart w:id="134" w:name="sec-nodeshape-organisationshape-overview"/>
    <w:p>
      <w:pPr>
        <w:pStyle w:val="berschrift3"/>
      </w:pPr>
      <w:r>
        <w:t xml:space="preserve">3.6.1 Aperçu</w:t>
      </w:r>
    </w:p>
    <w:p>
      <w:pPr>
        <w:pStyle w:val="DefinitionTerm"/>
      </w:pPr>
      <w:r>
        <w:t xml:space="preserve">Shape</w:t>
      </w:r>
    </w:p>
    <w:p>
      <w:pPr>
        <w:pStyle w:val="Definition"/>
      </w:pPr>
      <w:hyperlink r:id="rId132">
        <w:r>
          <w:rPr>
            <w:rStyle w:val="Hyperlink"/>
          </w:rPr>
          <w:t xml:space="preserve">:OrganisationShape</w:t>
        </w:r>
      </w:hyperlink>
    </w:p>
    <w:p>
      <w:pPr>
        <w:pStyle w:val="DefinitionTerm"/>
      </w:pPr>
      <w:r>
        <w:t xml:space="preserve">Classe cible</w:t>
      </w:r>
    </w:p>
    <w:p>
      <w:pPr>
        <w:pStyle w:val="Definition"/>
      </w:pPr>
      <w:hyperlink r:id="rId133">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34"/>
    <w:bookmarkStart w:id="135" w:name="X694231572673875c8b98e55f859590bf822fedc"/>
    <w:p>
      <w:pPr>
        <w:pStyle w:val="berschrift3"/>
      </w:pPr>
      <w:r>
        <w:t xml:space="preserve">3.6.2 Propriétés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8"/>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Longueur: 2–100 caractères</w:t>
            </w:r>
          </w:p>
        </w:tc>
        <w:tc>
          <w:tcPr/>
          <w:p>
            <w:pPr>
              <w:pStyle w:val="Compact"/>
              <w:jc w:val="right"/>
            </w:pPr>
            <w:r>
              <w:t xml:space="preserve">1..1</w:t>
            </w:r>
          </w:p>
        </w:tc>
      </w:tr>
    </w:tbl>
    <w:bookmarkEnd w:id="135"/>
    <w:bookmarkEnd w:id="136"/>
    <w:bookmarkStart w:id="153"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40" w:name="sec-nodeshape-personshape-overview"/>
    <w:p>
      <w:pPr>
        <w:pStyle w:val="berschrift3"/>
      </w:pPr>
      <w:r>
        <w:t xml:space="preserve">3.7.1 Aperçu</w:t>
      </w:r>
    </w:p>
    <w:p>
      <w:pPr>
        <w:pStyle w:val="DefinitionTerm"/>
      </w:pPr>
      <w:r>
        <w:t xml:space="preserve">Shape</w:t>
      </w:r>
    </w:p>
    <w:p>
      <w:pPr>
        <w:pStyle w:val="Definition"/>
      </w:pPr>
      <w:hyperlink r:id="rId137">
        <w:r>
          <w:rPr>
            <w:rStyle w:val="Hyperlink"/>
          </w:rPr>
          <w:t xml:space="preserve">:PersonShape</w:t>
        </w:r>
      </w:hyperlink>
    </w:p>
    <w:p>
      <w:pPr>
        <w:pStyle w:val="DefinitionTerm"/>
      </w:pPr>
      <w:r>
        <w:t xml:space="preserve">Classe cible</w:t>
      </w:r>
    </w:p>
    <w:p>
      <w:pPr>
        <w:pStyle w:val="Definition"/>
      </w:pPr>
      <w:hyperlink r:id="rId138">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39">
        <w:r>
          <w:rPr>
            <w:rStyle w:val="Hyperlink"/>
          </w:rPr>
          <w:t xml:space="preserve">Service SPARQL</w:t>
        </w:r>
      </w:hyperlink>
    </w:p>
    <w:bookmarkEnd w:id="140"/>
    <w:bookmarkStart w:id="150" w:name="sec-nodeshape-personshape-properties"/>
    <w:p>
      <w:pPr>
        <w:pStyle w:val="berschrift3"/>
      </w:pPr>
      <w:r>
        <w:t xml:space="preserve">3.7.2 Propriétés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41">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9"/>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42">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43">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3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1"/>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1"/>
              </w:numPr>
              <w:jc w:val="left"/>
            </w:pPr>
            <w:r>
              <w:t xml:space="preserve">Longueur: ≤ 254 caractères</w:t>
            </w:r>
          </w:p>
          <w:p>
            <w:pPr>
              <w:pStyle w:val="Compact"/>
              <w:numPr>
                <w:ilvl w:val="0"/>
                <w:numId w:val="1031"/>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44">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32"/>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32"/>
              </w:numPr>
              <w:jc w:val="left"/>
            </w:pPr>
            <w:r>
              <w:t xml:space="preserve">Plage de valeurs: ≥ 1900-01-01, ≤ 2025-12-31</w:t>
            </w:r>
          </w:p>
          <w:p>
            <w:pPr>
              <w:pStyle w:val="Compact"/>
              <w:numPr>
                <w:ilvl w:val="0"/>
                <w:numId w:val="1032"/>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45">
              <w:r>
                <w:rPr>
                  <w:rStyle w:val="Hyperlink"/>
                </w:rPr>
                <w:t xml:space="preserve">schema:address</w:t>
              </w:r>
            </w:hyperlink>
            <w:r>
              <w:t xml:space="preserve">)</w:t>
            </w:r>
          </w:p>
        </w:tc>
        <w:tc>
          <w:tcPr/>
          <w:p>
            <w:pPr>
              <w:pStyle w:val="Compact"/>
              <w:numPr>
                <w:ilvl w:val="0"/>
                <w:numId w:val="1033"/>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46">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34"/>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4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48">
              <w:r>
                <w:rPr>
                  <w:rStyle w:val="Hyperlink"/>
                </w:rPr>
                <w:t xml:space="preserve">schema:jobTitle</w:t>
              </w:r>
            </w:hyperlink>
            <w:r>
              <w:t xml:space="preserve">)</w:t>
            </w:r>
          </w:p>
        </w:tc>
        <w:tc>
          <w:tcPr/>
          <w:p>
            <w:pPr>
              <w:pStyle w:val="Compact"/>
              <w:numPr>
                <w:ilvl w:val="0"/>
                <w:numId w:val="103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49">
              <w:r>
                <w:rPr>
                  <w:rStyle w:val="Hyperlink"/>
                </w:rPr>
                <w:t xml:space="preserve">schema:knows</w:t>
              </w:r>
            </w:hyperlink>
            <w:r>
              <w:t xml:space="preserve">)</w:t>
            </w:r>
          </w:p>
        </w:tc>
        <w:tc>
          <w:tcPr/>
          <w:p>
            <w:pPr>
              <w:pStyle w:val="Compact"/>
              <w:numPr>
                <w:ilvl w:val="0"/>
                <w:numId w:val="103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50"/>
    <w:bookmarkStart w:id="152" w:name="sec-nodeshape-personshape-rules"/>
    <w:p>
      <w:pPr>
        <w:pStyle w:val="berschrift3"/>
      </w:pPr>
      <w:r>
        <w:t xml:space="preserve">3.7.3 Règles (SPARQL)</w:t>
      </w:r>
    </w:p>
    <w:bookmarkStart w:id="151"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51"/>
    <w:bookmarkEnd w:id="152"/>
    <w:bookmarkEnd w:id="153"/>
    <w:bookmarkStart w:id="161"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de la liste de codes des unités (IRI du vocabulaire QUDT). Il reste ainsi clair si une durée est exprimée en millisecondes ou une taille de fichier en octets. Les valeurs négatives ne sont pas prévues dans ce jeu de données.</w:t>
      </w:r>
    </w:p>
    <w:bookmarkStart w:id="157" w:name="X78f593afbb200587db35193dab5ef366499966a"/>
    <w:p>
      <w:pPr>
        <w:pStyle w:val="berschrift3"/>
      </w:pPr>
      <w:r>
        <w:t xml:space="preserve">3.8.1 Aperçu</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Classe cible</w:t>
      </w:r>
    </w:p>
    <w:p>
      <w:pPr>
        <w:pStyle w:val="Definition"/>
      </w:pPr>
      <w:hyperlink r:id="rId155">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56">
        <w:r>
          <w:rPr>
            <w:rStyle w:val="Hyperlink"/>
          </w:rPr>
          <w:t xml:space="preserve">Service SPARQL</w:t>
        </w:r>
      </w:hyperlink>
    </w:p>
    <w:bookmarkEnd w:id="157"/>
    <w:bookmarkStart w:id="160"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00">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7"/>
              </w:numPr>
              <w:jc w:val="left"/>
            </w:pPr>
            <w:r>
              <w:t xml:space="preserve">Type: Nombre décimal</w:t>
            </w:r>
            <w:r>
              <w:t xml:space="preserve"> </w:t>
            </w:r>
            <w:r>
              <w:t xml:space="preserve">(</w:t>
            </w:r>
            <w:hyperlink r:id="rId158">
              <w:r>
                <w:rPr>
                  <w:rStyle w:val="Hyperlink"/>
                </w:rPr>
                <w:t xml:space="preserve">xsd:decimal</w:t>
              </w:r>
            </w:hyperlink>
            <w:r>
              <w:t xml:space="preserve">)</w:t>
            </w:r>
            <w:r>
              <w:t xml:space="preserve"> </w:t>
            </w:r>
            <w:r>
              <w:t xml:space="preserve">ou Nombre entier</w:t>
            </w:r>
            <w:r>
              <w:t xml:space="preserve"> </w:t>
            </w:r>
            <w:r>
              <w:t xml:space="preserve">(</w:t>
            </w:r>
            <w:hyperlink r:id="rId159">
              <w:r>
                <w:rPr>
                  <w:rStyle w:val="Hyperlink"/>
                </w:rPr>
                <w:t xml:space="preserve">xsd:integer</w:t>
              </w:r>
            </w:hyperlink>
            <w:r>
              <w:t xml:space="preserve">)</w:t>
            </w:r>
          </w:p>
          <w:p>
            <w:pPr>
              <w:pStyle w:val="Compact"/>
              <w:numPr>
                <w:ilvl w:val="0"/>
                <w:numId w:val="1037"/>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L’unité sous forme de code de la liste de codes</w:t>
            </w:r>
            <w:r>
              <w:t xml:space="preserve"> </w:t>
            </w:r>
            <w:r>
              <w:t xml:space="preserve">des unités (IRI du vocabulaire QUDT).</w:t>
            </w:r>
          </w:p>
        </w:tc>
        <w:tc>
          <w:tcPr/>
          <w:p>
            <w:pPr>
              <w:pStyle w:val="Compact"/>
              <w:numPr>
                <w:ilvl w:val="0"/>
                <w:numId w:val="1038"/>
              </w:numPr>
              <w:jc w:val="left"/>
            </w:pPr>
            <w:r>
              <w:t xml:space="preserve">Type:</w:t>
            </w:r>
            <w:r>
              <w:t xml:space="preserve"> </w:t>
            </w:r>
            <w:hyperlink r:id="rId91">
              <w:r>
                <w:rPr>
                  <w:rStyle w:val="Hyperlink"/>
                </w:rPr>
                <w:t xml:space="preserve">schema:CategoryCode</w:t>
              </w:r>
            </w:hyperlink>
            <w:r>
              <w:t xml:space="preserve">,</w:t>
            </w:r>
            <w:r>
              <w:t xml:space="preserve"> </w:t>
            </w:r>
            <w:r>
              <w:t xml:space="preserve">voir la liste de codes</w:t>
            </w:r>
            <w:r>
              <w:t xml:space="preserve"> </w:t>
            </w:r>
            <w:hyperlink w:anchor="sec-codelist-units">
              <w:r>
                <w:rPr>
                  <w:rStyle w:val="Hyperlink"/>
                </w:rPr>
                <w:t xml:space="preserve">Unités</w:t>
              </w:r>
            </w:hyperlink>
          </w:p>
          <w:p>
            <w:pPr>
              <w:pStyle w:val="Compact"/>
              <w:numPr>
                <w:ilvl w:val="0"/>
                <w:numId w:val="1038"/>
              </w:numPr>
              <w:jc w:val="left"/>
            </w:pPr>
            <w:r>
              <w:t xml:space="preserve">Exemples:</w:t>
            </w:r>
            <w:r>
              <w:t xml:space="preserve"> </w:t>
            </w:r>
            <w:hyperlink r:id="rId111">
              <w:r>
                <w:rPr>
                  <w:rStyle w:val="Hyperlink"/>
                </w:rPr>
                <w:t xml:space="preserve">currency:USD</w:t>
              </w:r>
            </w:hyperlink>
            <w:r>
              <w:t xml:space="preserve">,</w:t>
            </w:r>
            <w:r>
              <w:t xml:space="preserve"> </w:t>
            </w:r>
            <w:hyperlink r:id="rId99">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Listes de codes</w:t>
      </w:r>
    </w:p>
    <w:p>
      <w:pPr>
        <w:pStyle w:val="FirstParagraph"/>
      </w:pPr>
      <w:r>
        <w:t xml:space="preserve">Les listes de codes suivantes définissent les valeurs admises des propriétés correspondantes du modèle de données (</w:t>
      </w:r>
      <w:hyperlink w:anchor="sec-data-model">
        <w:r>
          <w:rPr>
            <w:rStyle w:val="Hyperlink"/>
          </w:rPr>
          <w:t xml:space="preserve">Section 3</w:t>
        </w:r>
      </w:hyperlink>
      <w:r>
        <w:t xml:space="preserve">). Chaque liste de codes est publiée sur LINDAS comme</w:t>
      </w:r>
      <w:r>
        <w:t xml:space="preserve"> </w:t>
      </w:r>
      <w:r>
        <w:rPr>
          <w:rStyle w:val="VerbatimChar"/>
        </w:rPr>
        <w:t xml:space="preserve">schema:CategoryCodeSet</w:t>
      </w:r>
      <w:r>
        <w:t xml:space="preserve"> </w:t>
      </w:r>
      <w:r>
        <w:t xml:space="preserve">et chaque valeur comme</w:t>
      </w:r>
      <w:r>
        <w:t xml:space="preserve"> </w:t>
      </w:r>
      <w:r>
        <w:rPr>
          <w:rStyle w:val="VerbatimChar"/>
        </w:rPr>
        <w:t xml:space="preserve">schema:CategoryCode</w:t>
      </w:r>
      <w:r>
        <w:t xml:space="preserve">.</w:t>
      </w:r>
    </w:p>
    <w:bookmarkStart w:id="164" w:name="sec-codelist-mediatypes"/>
    <w:p>
      <w:pPr>
        <w:pStyle w:val="berschrift2"/>
      </w:pPr>
      <w:r>
        <w:t xml:space="preserve">4.1 Types de média</w:t>
      </w:r>
    </w:p>
    <w:p>
      <w:pPr>
        <w:pStyle w:val="FirstParagraph"/>
      </w:pPr>
      <w:r>
        <w:t xml:space="preserve">Les formats de fichier des pistes du jeu de données Chinook. Les valeurs des codes sont les identifiants de la table MediaType de la base de données Chinook.</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Valeurs de la liste de codes Types de média.</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92">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Fichier audio MPEG (MP3)</w:t>
                  </w:r>
                </w:p>
              </w:tc>
              <w:tc>
                <w:tcPr/>
                <w:p>
                  <w:pPr>
                    <w:pStyle w:val="Compact"/>
                    <w:jc w:val="left"/>
                    <w:jc w:val="center"/>
                  </w:pPr>
                  <w:r>
                    <w:t xml:space="preserve">Fichier audio au format MPEG-1 Audio Layer III</w:t>
                  </w:r>
                  <w:r>
                    <w:t xml:space="preserve"> </w:t>
                  </w:r>
                  <w:r>
                    <w:t xml:space="preserve">(MP3), sans protection contre la copie.</w:t>
                  </w:r>
                </w:p>
              </w:tc>
            </w:tr>
            <w:tr>
              <w:tc>
                <w:tcPr/>
                <w:p>
                  <w:pPr>
                    <w:pStyle w:val="Compact"/>
                    <w:jc w:val="left"/>
                    <w:jc w:val="center"/>
                  </w:pPr>
                  <w:hyperlink r:id="rId93">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Fichier audio AAC protégé</w:t>
                  </w:r>
                  <w:r>
                    <w:t xml:space="preserve"> </w:t>
                  </w:r>
                  <w:r>
                    <w:t xml:space="preserve">(M4P)</w:t>
                  </w:r>
                </w:p>
              </w:tc>
              <w:tc>
                <w:tcPr/>
                <w:p>
                  <w:pPr>
                    <w:pStyle w:val="Compact"/>
                    <w:jc w:val="left"/>
                    <w:jc w:val="center"/>
                  </w:pPr>
                  <w:r>
                    <w:t xml:space="preserve">Fichier audio AAC avec protection contre la</w:t>
                  </w:r>
                  <w:r>
                    <w:t xml:space="preserve"> </w:t>
                  </w:r>
                  <w:r>
                    <w:t xml:space="preserve">copie (DRM), tel que vendu par l’iTunes Store</w:t>
                  </w:r>
                  <w:r>
                    <w:t xml:space="preserve"> </w:t>
                  </w:r>
                  <w:r>
                    <w:t xml:space="preserve">jusqu’en 2009.</w:t>
                  </w:r>
                </w:p>
              </w:tc>
            </w:tr>
            <w:tr>
              <w:tc>
                <w:tcPr/>
                <w:p>
                  <w:pPr>
                    <w:pStyle w:val="Compact"/>
                    <w:jc w:val="left"/>
                    <w:jc w:val="center"/>
                  </w:pPr>
                  <w:hyperlink r:id="rId94">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Fichier vidéo MPEG-4 protégé</w:t>
                  </w:r>
                  <w:r>
                    <w:t xml:space="preserve"> </w:t>
                  </w:r>
                  <w:r>
                    <w:t xml:space="preserve">(M4V)</w:t>
                  </w:r>
                </w:p>
              </w:tc>
              <w:tc>
                <w:tcPr/>
                <w:p>
                  <w:pPr>
                    <w:pStyle w:val="Compact"/>
                    <w:jc w:val="left"/>
                    <w:jc w:val="center"/>
                  </w:pPr>
                  <w:r>
                    <w:t xml:space="preserve">Fichier vidéo MPEG-4 avec protection contre la</w:t>
                  </w:r>
                  <w:r>
                    <w:t xml:space="preserve"> </w:t>
                  </w:r>
                  <w:r>
                    <w:t xml:space="preserve">copie (DRM), par exemple des films et des séries</w:t>
                  </w:r>
                  <w:r>
                    <w:t xml:space="preserve"> </w:t>
                  </w:r>
                  <w:r>
                    <w:t xml:space="preserve">achetés.</w:t>
                  </w:r>
                </w:p>
              </w:tc>
            </w:tr>
            <w:tr>
              <w:tc>
                <w:tcPr/>
                <w:p>
                  <w:pPr>
                    <w:pStyle w:val="Compact"/>
                    <w:jc w:val="left"/>
                    <w:jc w:val="center"/>
                  </w:pPr>
                  <w:hyperlink r:id="rId95">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Fichier audio AAC acheté</w:t>
                  </w:r>
                  <w:r>
                    <w:t xml:space="preserve"> </w:t>
                  </w:r>
                  <w:r>
                    <w:t xml:space="preserve">(iTunes Plus)</w:t>
                  </w:r>
                </w:p>
              </w:tc>
              <w:tc>
                <w:tcPr/>
                <w:p>
                  <w:pPr>
                    <w:pStyle w:val="Compact"/>
                    <w:jc w:val="left"/>
                    <w:jc w:val="center"/>
                  </w:pPr>
                  <w:r>
                    <w:t xml:space="preserve">Fichier audio AAC acheté dans l’iTunes Store</w:t>
                  </w:r>
                  <w:r>
                    <w:t xml:space="preserve"> </w:t>
                  </w:r>
                  <w:r>
                    <w:t xml:space="preserve">sans protection contre la copie (iTunes Plus).</w:t>
                  </w:r>
                </w:p>
              </w:tc>
            </w:tr>
            <w:tr>
              <w:tc>
                <w:tcPr/>
                <w:p>
                  <w:pPr>
                    <w:pStyle w:val="Compact"/>
                    <w:jc w:val="left"/>
                    <w:jc w:val="center"/>
                  </w:pPr>
                  <w:hyperlink r:id="rId96">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Fichier audio AAC (M4A)</w:t>
                  </w:r>
                </w:p>
              </w:tc>
              <w:tc>
                <w:tcPr/>
                <w:p>
                  <w:pPr>
                    <w:pStyle w:val="Compact"/>
                    <w:jc w:val="left"/>
                    <w:jc w:val="center"/>
                  </w:pPr>
                  <w:r>
                    <w:t xml:space="preserve">Fichier audio AAC sans protection contre la</w:t>
                  </w:r>
                  <w:r>
                    <w:t xml:space="preserve"> </w:t>
                  </w:r>
                  <w:r>
                    <w:t xml:space="preserve">copie, p. ex. importé d’un CD.</w:t>
                  </w:r>
                </w:p>
              </w:tc>
            </w:tr>
          </w:tbl>
          <w:bookmarkEnd w:id="163"/>
          <w:p/>
        </w:tc>
      </w:tr>
    </w:tbl>
    <w:bookmarkEnd w:id="164"/>
    <w:bookmarkStart w:id="167" w:name="sec-codelist-units"/>
    <w:p>
      <w:pPr>
        <w:pStyle w:val="berschrift2"/>
      </w:pPr>
      <w:r>
        <w:t xml:space="preserve">4.2 Unités</w:t>
      </w:r>
    </w:p>
    <w:p>
      <w:pPr>
        <w:pStyle w:val="FirstParagraph"/>
      </w:pPr>
      <w:r>
        <w:t xml:space="preserve">Les unités des valeurs quantitatives du jeu de données: durée en millisecondes, taille de fichier en octets, nombre de pièces et prix en dollars américains. Les codes sont des IRI du vocabulaire QUDT, les valeurs des codes les codes communs UN/CEFACT ou le code de devise ISO 4217.</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Valeurs de la liste de codes Unités.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02">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Octet (B)</w:t>
                  </w:r>
                </w:p>
              </w:tc>
              <w:tc>
                <w:tcPr/>
                <w:p>
                  <w:pPr>
                    <w:pStyle w:val="Compact"/>
                    <w:jc w:val="left"/>
                    <w:jc w:val="center"/>
                  </w:pPr>
                  <w:r>
                    <w:t xml:space="preserve">Huit bits; unité de la taille des fichiers des</w:t>
                  </w:r>
                  <w:r>
                    <w:t xml:space="preserve"> </w:t>
                  </w:r>
                  <w:r>
                    <w:t xml:space="preserve">pistes.</w:t>
                  </w:r>
                </w:p>
              </w:tc>
            </w:tr>
            <w:tr>
              <w:tc>
                <w:tcPr/>
                <w:p>
                  <w:pPr>
                    <w:pStyle w:val="Compact"/>
                    <w:jc w:val="left"/>
                    <w:jc w:val="center"/>
                  </w:pPr>
                  <w:hyperlink r:id="rId99">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Milliseconde (ms)</w:t>
                  </w:r>
                </w:p>
              </w:tc>
              <w:tc>
                <w:tcPr/>
                <w:p>
                  <w:pPr>
                    <w:pStyle w:val="Compact"/>
                    <w:jc w:val="left"/>
                    <w:jc w:val="center"/>
                  </w:pPr>
                  <w:r>
                    <w:t xml:space="preserve">Millième de seconde; unité de la durée des</w:t>
                  </w:r>
                  <w:r>
                    <w:t xml:space="preserve"> </w:t>
                  </w:r>
                  <w:r>
                    <w:t xml:space="preserve">pistes.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Pièce (#)</w:t>
                  </w:r>
                </w:p>
              </w:tc>
              <w:tc>
                <w:tcPr/>
                <w:p>
                  <w:pPr>
                    <w:pStyle w:val="Compact"/>
                    <w:jc w:val="left"/>
                    <w:jc w:val="center"/>
                  </w:pPr>
                  <w:r>
                    <w:t xml:space="preserve">Unité de comptage pour les quantités, par</w:t>
                  </w:r>
                  <w:r>
                    <w:t xml:space="preserve"> </w:t>
                  </w:r>
                  <w:r>
                    <w:t xml:space="preserve">exemple la quantité commandée d’une ligne de</w:t>
                  </w:r>
                  <w:r>
                    <w:t xml:space="preserve"> </w:t>
                  </w:r>
                  <w:r>
                    <w:t xml:space="preserve">facture.</w:t>
                  </w:r>
                </w:p>
              </w:tc>
            </w:tr>
            <w:tr>
              <w:tc>
                <w:tcPr/>
                <w:p>
                  <w:pPr>
                    <w:pStyle w:val="Compact"/>
                    <w:jc w:val="left"/>
                    <w:jc w:val="center"/>
                  </w:pPr>
                  <w:hyperlink r:id="rId111">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Dollar américain ($)</w:t>
                  </w:r>
                </w:p>
              </w:tc>
              <w:tc>
                <w:tcPr/>
                <w:p>
                  <w:pPr>
                    <w:pStyle w:val="Compact"/>
                    <w:jc w:val="left"/>
                    <w:jc w:val="center"/>
                  </w:pPr>
                  <w:r>
                    <w:t xml:space="preserve">Monnaie des États-Unis (ISO 4217: USD); unité</w:t>
                  </w:r>
                  <w:r>
                    <w:t xml:space="preserve"> </w:t>
                  </w:r>
                  <w:r>
                    <w:t xml:space="preserve">des prix et des montants des factures.</w:t>
                  </w:r>
                </w:p>
              </w:tc>
            </w:tr>
          </w:tbl>
          <w:bookmarkEnd w:id="166"/>
          <w:p/>
        </w:tc>
      </w:tr>
    </w:tbl>
    <w:bookmarkEnd w:id="167"/>
    <w:bookmarkEnd w:id="168"/>
    <w:bookmarkStart w:id="170" w:name="sec-data-retrieval"/>
    <w:p>
      <w:pPr>
        <w:pStyle w:val="berschrift1"/>
      </w:pPr>
      <w:r>
        <w:t xml:space="preserve">5.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6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71"/>
    <w:bookmarkStart w:id="172" w:name="sec-disclaimer"/>
    <w:p>
      <w:pPr>
        <w:pStyle w:val="berschrift1"/>
      </w:pPr>
      <w:r>
        <w:t xml:space="preserve">7.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72"/>
    <w:bookmarkStart w:id="173" w:name="sec-copyrights"/>
    <w:p>
      <w:pPr>
        <w:pStyle w:val="berschrift1"/>
      </w:pPr>
      <w:r>
        <w:t xml:space="preserve">8.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73"/>
    <w:bookmarkStart w:id="203" w:name="sec-appendix-a"/>
    <w:p>
      <w:pPr>
        <w:pStyle w:val="berschrift1"/>
      </w:pPr>
      <w:r>
        <w:t xml:space="preserve">Annexe A – Références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204"/>
    <w:bookmarkStart w:id="207"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69">
        <w:r>
          <w:rPr>
            <w:rStyle w:val="Hyperlink"/>
          </w:rPr>
          <w:t xml:space="preserve">LINDAS</w:t>
        </w:r>
      </w:hyperlink>
      <w:r>
        <w:t xml:space="preserve"> </w:t>
      </w:r>
      <w:r>
        <w:t xml:space="preserve">et dans le</w:t>
      </w:r>
      <w:r>
        <w:t xml:space="preserve"> </w:t>
      </w:r>
      <w:hyperlink r:id="rId205">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206"/>
          <w:p/>
        </w:tc>
      </w:tr>
    </w:tbl>
    <w:bookmarkEnd w:id="207"/>
    <w:bookmarkStart w:id="209"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9"/>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9"/>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9"/>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9"/>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208">
        <w:r>
          <w:rPr>
            <w:rStyle w:val="Hyperlink"/>
          </w:rPr>
          <w:t xml:space="preserve">releases sur GitHub</w:t>
        </w:r>
      </w:hyperlink>
      <w:r>
        <w:t xml:space="preserve">.</w:t>
      </w:r>
    </w:p>
    <w:bookmarkEnd w:id="209"/>
    <w:bookmarkStart w:id="210" w:name="sec-appendix-e"/>
    <w:p>
      <w:pPr>
        <w:pStyle w:val="berschrift1"/>
      </w:pPr>
      <w:r>
        <w:t xml:space="preserve">Annexe E – Table des illustrations</w:t>
      </w:r>
    </w:p>
    <w:bookmarkEnd w:id="210"/>
    <w:bookmarkStart w:id="211" w:name="sec-appendix-f"/>
    <w:p>
      <w:pPr>
        <w:pStyle w:val="berschrift1"/>
      </w:pPr>
      <w:r>
        <w:t xml:space="preserve">Annexe F – Liste des tableaux</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2026-10-12T15:57:39Z</dcterms:created>
  <dcterms:modified xsi:type="dcterms:W3CDTF">2026-10-12T15:57:39Z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des matières</vt:lpwstr>
  </property>
</Properties>
</file>