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30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34" w:name="sec-introduction"/>
    <w:p>
      <w:pPr>
        <w:pStyle w:val="berschrift1"/>
      </w:pPr>
      <w:r>
        <w:t xml:space="preserve">1. Introduction</w:t>
      </w:r>
    </w:p>
    <w:bookmarkStart w:id="26" w:name="sec-status"/>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End w:id="34"/>
    <w:bookmarkStart w:id="35" w:name="sec-technical-not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5"/>
    <w:bookmarkStart w:id="50" w:name="sec-data-model"/>
    <w:p>
      <w:pPr>
        <w:pStyle w:val="berschrift1"/>
      </w:pPr>
      <w:r>
        <w:t xml:space="preserve">3. Modèle de données</w:t>
      </w:r>
    </w:p>
    <w:bookmarkStart w:id="37"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0"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0"/>
          <w:p/>
        </w:tc>
      </w:tr>
    </w:tbl>
    <w:bookmarkEnd w:id="41"/>
    <w:bookmarkStart w:id="43"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2"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2"/>
          <w:p/>
        </w:tc>
      </w:tr>
    </w:tbl>
    <w:bookmarkEnd w:id="43"/>
    <w:bookmarkStart w:id="45"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4"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4"/>
          <w:p/>
        </w:tc>
      </w:tr>
    </w:tbl>
    <w:bookmarkEnd w:id="45"/>
    <w:bookmarkStart w:id="47"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6"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6"/>
          <w:p/>
        </w:tc>
      </w:tr>
    </w:tbl>
    <w:bookmarkEnd w:id="47"/>
    <w:bookmarkStart w:id="49"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8"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8"/>
          <w:p/>
        </w:tc>
      </w:tr>
    </w:tbl>
    <w:bookmarkEnd w:id="49"/>
    <w:bookmarkEnd w:id="50"/>
    <w:bookmarkStart w:id="52"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51">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2"/>
    <w:bookmarkStart w:id="53"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3"/>
    <w:bookmarkStart w:id="54"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4"/>
    <w:bookmarkStart w:id="55"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5"/>
    <w:bookmarkStart w:id="62" w:name="sec-appendix-a"/>
    <w:p>
      <w:pPr>
        <w:pStyle w:val="berschrift1"/>
      </w:pPr>
      <w:r>
        <w:t xml:space="preserve">8. Annexe A - Références</w:t>
      </w:r>
    </w:p>
    <w:bookmarkStart w:id="61" w:name="refs"/>
    <w:bookmarkStart w:id="57"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6">
        <w:r>
          <w:rPr>
            <w:rStyle w:val="Hyperlink"/>
          </w:rPr>
          <w:t xml:space="preserve">https://www.w3.org/TR/rdf11-concepts/</w:t>
        </w:r>
      </w:hyperlink>
      <w:r>
        <w:t xml:space="preserve">.</w:t>
      </w:r>
    </w:p>
    <w:bookmarkEnd w:id="57"/>
    <w:bookmarkStart w:id="58"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8"/>
    <w:bookmarkStart w:id="60"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9">
        <w:r>
          <w:rPr>
            <w:rStyle w:val="Hyperlink"/>
          </w:rPr>
          <w:t xml:space="preserve">https://doi.org/10.1186/s12859-019-3002-3</w:t>
        </w:r>
      </w:hyperlink>
      <w:r>
        <w:t xml:space="preserve">.</w:t>
      </w:r>
    </w:p>
    <w:bookmarkEnd w:id="60"/>
    <w:bookmarkEnd w:id="61"/>
    <w:bookmarkEnd w:id="62"/>
    <w:bookmarkStart w:id="63" w:name="sec-appendix-b"/>
    <w:p>
      <w:pPr>
        <w:pStyle w:val="berschrift1"/>
      </w:pPr>
      <w:r>
        <w:t xml:space="preserve">9. Annexe B - Collaboration et Vérification</w:t>
      </w:r>
    </w:p>
    <w:bookmarkEnd w:id="63"/>
    <w:bookmarkStart w:id="68" w:name="sec-appendix-c"/>
    <w:p>
      <w:pPr>
        <w:pStyle w:val="berschrift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67" w:name="tbl-glossary"/>
          <w:p>
            <w:pPr>
              <w:jc w:val="center"/>
            </w:pPr>
            <w:pPr>
              <w:jc w:val="left"/>
              <w:spacing w:before="200"/>
              <w:pStyle w:val="ImageCaption"/>
            </w:pPr>
            <w:r>
              <w:t xml:space="preserve">Table 8: Glossaire de la norme eCH-1234</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hyperlink r:id="rId64">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w:t>
                  </w:r>
                  <w:r>
                    <w:t xml:space="preserve"> </w:t>
                  </w:r>
                  <w:r>
                    <w:t xml:space="preserve">suisse, fonctionnant comme un triple store (magasin de triplets).</w:t>
                  </w:r>
                </w:p>
              </w:tc>
            </w:tr>
            <w:tr>
              <w:tc>
                <w:tcPr/>
                <w:p>
                  <w:pPr>
                    <w:pStyle w:val="Compact"/>
                    <w:jc w:val="left"/>
                    <w:jc w:val="center"/>
                  </w:pPr>
                  <w:hyperlink r:id="rId65">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hyperlink r:id="rId66">
                    <w:r>
                      <w:rPr>
                        <w:rStyle w:val="VerbatimChar"/>
                      </w:rPr>
                      <w:t xml:space="preserve">term:triple</w:t>
                    </w:r>
                  </w:hyperlink>
                </w:p>
              </w:tc>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plus générique</w:t>
                  </w:r>
                  <w:r>
                    <w:t xml:space="preserve">:</w:t>
                  </w:r>
                  <w:r>
                    <w:t xml:space="preserve"> </w:t>
                  </w:r>
                  <w:hyperlink r:id="rId65">
                    <w:r>
                      <w:rPr>
                        <w:rStyle w:val="VerbatimChar"/>
                      </w:rPr>
                      <w:t xml:space="preserve">term:rdf</w:t>
                    </w:r>
                  </w:hyperlink>
                </w:p>
              </w:tc>
            </w:tr>
          </w:tbl>
          <w:bookmarkEnd w:id="67"/>
          <w:p/>
        </w:tc>
      </w:tr>
    </w:tbl>
    <w:bookmarkEnd w:id="68"/>
    <w:bookmarkStart w:id="69" w:name="sec-appendix-d"/>
    <w:p>
      <w:pPr>
        <w:pStyle w:val="berschrift1"/>
      </w:pPr>
      <w:r>
        <w:t xml:space="preserve">11. Annexe D - Modifications par rapport à la version précédente</w:t>
      </w:r>
    </w:p>
    <w:bookmarkEnd w:id="69"/>
    <w:bookmarkStart w:id="70" w:name="sec-appendix-e"/>
    <w:p>
      <w:pPr>
        <w:pStyle w:val="berschrift1"/>
      </w:pPr>
      <w:r>
        <w:t xml:space="preserve">12. Annexe E - Table des illustrations</w:t>
      </w:r>
    </w:p>
    <w:bookmarkEnd w:id="70"/>
    <w:bookmarkStart w:id="71" w:name="sec-appendix-f"/>
    <w:p>
      <w:pPr>
        <w:pStyle w:val="berschrift1"/>
      </w:pPr>
      <w:r>
        <w:t xml:space="preserve">13. Annexe F - Liste des tableaux</w:t>
      </w:r>
    </w:p>
    <w:bookmarkEnd w:id="7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28" Target="media/rId28.jpg" /><Relationship Type="http://schemas.openxmlformats.org/officeDocument/2006/relationships/hyperlink" Id="rId64" Target="https://agriculture.ld.admin.ch/eCH-1234/2/term/lindas" TargetMode="External" /><Relationship Type="http://schemas.openxmlformats.org/officeDocument/2006/relationships/hyperlink" Id="rId65" Target="https://agriculture.ld.admin.ch/eCH-1234/2/term/rdf" TargetMode="External" /><Relationship Type="http://schemas.openxmlformats.org/officeDocument/2006/relationships/hyperlink" Id="rId66" Target="https://agriculture.ld.admin.ch/eCH-1234/2/term/triple" TargetMode="External" /><Relationship Type="http://schemas.openxmlformats.org/officeDocument/2006/relationships/hyperlink" Id="rId59" Target="https://doi.org/10.1186/s12859-019-3002-3" TargetMode="External" /><Relationship Type="http://schemas.openxmlformats.org/officeDocument/2006/relationships/hyperlink" Id="rId51" Target="https://lindas.admin.ch/" TargetMode="External" /><Relationship Type="http://schemas.openxmlformats.org/officeDocument/2006/relationships/hyperlink" Id="rId56"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64" Target="https://agriculture.ld.admin.ch/eCH-1234/2/term/lindas" TargetMode="External" /><Relationship Type="http://schemas.openxmlformats.org/officeDocument/2006/relationships/hyperlink" Id="rId65" Target="https://agriculture.ld.admin.ch/eCH-1234/2/term/rdf" TargetMode="External" /><Relationship Type="http://schemas.openxmlformats.org/officeDocument/2006/relationships/hyperlink" Id="rId66" Target="https://agriculture.ld.admin.ch/eCH-1234/2/term/triple" TargetMode="External" /><Relationship Type="http://schemas.openxmlformats.org/officeDocument/2006/relationships/hyperlink" Id="rId59" Target="https://doi.org/10.1186/s12859-019-3002-3" TargetMode="External" /><Relationship Type="http://schemas.openxmlformats.org/officeDocument/2006/relationships/hyperlink" Id="rId51" Target="https://lindas.admin.ch/" TargetMode="External" /><Relationship Type="http://schemas.openxmlformats.org/officeDocument/2006/relationships/hyperlink" Id="rId56" Target="https://www.w3.org/TR/rdf11-concepts/"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2026-09-30T11:33:15Z</dcterms:created>
  <dcterms:modified xsi:type="dcterms:W3CDTF">2026-09-30T11:33:15Z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30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