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42.png" ContentType="image/png"/>
  <Override PartName="/word/media/rId28.jpg" ContentType="image/jpeg"/>
  <Override PartName="/word/media/rId46.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Quarto-Dokument als Vorlage</w:t>
      </w:r>
    </w:p>
    <w:p>
      <w:pPr>
        <w:pStyle w:val="Date"/>
      </w:pPr>
      <w:r>
        <w:t xml:space="preserve">2026-10-01</w:t>
      </w:r>
    </w:p>
    <w:p>
      <w:pPr>
        <w:pStyle w:val="AbstractTitle"/>
      </w:pPr>
      <w:r>
        <w:t xml:space="preserve">Zusammenfassung</w:t>
      </w:r>
    </w:p>
    <w:p>
      <w:pPr>
        <w:pStyle w:val="Abstract"/>
      </w:pPr>
      <w:r>
        <w:t xml:space="preserve">Kurze Zusammenfassung des Zwecks dieses Dokuments</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5" w:name="sec-note"/>
    <w:p>
      <w:pPr>
        <w:pStyle w:val="berschrift1"/>
      </w:pPr>
      <w:r>
        <w:t xml:space="preserve">Hinweis</w:t>
      </w:r>
    </w:p>
    <w:p>
      <w:pPr>
        <w:pStyle w:val="FirstParagraph"/>
      </w:pPr>
      <w:r>
        <w:t xml:space="preserve">Im vorliegenden Dokument wird bei der Bezeichnung von Personen eine geschlechtsneutrale Formulierung verwendet. Basis bildet der Leitfaden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 (Referent/in). Genderstern und ähnliche Schreibweisen werden nicht verwendet.</w:t>
      </w:r>
    </w:p>
    <w:bookmarkEnd w:id="25"/>
    <w:bookmarkStart w:id="54" w:name="sec-introduction"/>
    <w:p>
      <w:pPr>
        <w:pStyle w:val="berschrift1"/>
      </w:pPr>
      <w:r>
        <w:t xml:space="preserve">1. Einleitung</w:t>
      </w:r>
    </w:p>
    <w:bookmarkStart w:id="26" w:name="sec-status"/>
    <w:p>
      <w:pPr>
        <w:pStyle w:val="berschrift2"/>
      </w:pPr>
      <w:r>
        <w:t xml:space="preserve">1.1 Status</w:t>
      </w:r>
    </w:p>
    <w:p>
      <w:pPr>
        <w:pStyle w:val="FirstParagraph"/>
      </w:pPr>
      <w:r>
        <w:t xml:space="preserve">In Arbeit: Der Gebrauch ist nur innerhalb der Fachgruppe, beziehungsweise im Expertenausschuss zugelassen.</w:t>
      </w:r>
    </w:p>
    <w:bookmarkEnd w:id="26"/>
    <w:bookmarkStart w:id="27" w:name="sec-scope-of-application"/>
    <w:p>
      <w:pPr>
        <w:pStyle w:val="berschrift2"/>
      </w:pPr>
      <w:r>
        <w:t xml:space="preserve">1.2 Geltungsbereich</w:t>
      </w:r>
    </w:p>
    <w:p>
      <w:pPr>
        <w:pStyle w:val="FirstParagraph"/>
      </w:pPr>
      <w:r>
        <w:t xml:space="preserve">Die Angaben in diesem Kapitel sollen dem Leser einen raschen Überblick geben, wofür dieser Standard gedacht ist.</w:t>
      </w:r>
      <w:r>
        <w:t xml:space="preserve"> </w:t>
      </w:r>
      <w:r>
        <w:t xml:space="preserve">Hinweise zu folgenden Sachverhalten können dabei hilfreich sein.</w:t>
      </w:r>
    </w:p>
    <w:bookmarkEnd w:id="27"/>
    <w:bookmarkStart w:id="33" w:name="sec-example-subheading"/>
    <w:p>
      <w:pPr>
        <w:pStyle w:val="berschrift2"/>
      </w:pPr>
      <w:r>
        <w:t xml:space="preserve">1.3 Wir können Untertitel haben</w:t>
      </w:r>
    </w:p>
    <w:p>
      <w:pPr>
        <w:pStyle w:val="FirstParagraph"/>
      </w:pPr>
      <w:r>
        <w:t xml:space="preserve">Und etwas Text schreiben.</w:t>
      </w:r>
    </w:p>
    <w:bookmarkStart w:id="32" w:name="sec-example-subsubheading"/>
    <w:p>
      <w:pPr>
        <w:pStyle w:val="berschrift3"/>
      </w:pPr>
      <w:r>
        <w:t xml:space="preserve">1.3.1 Auch Unter-Unterüberschriften</w:t>
      </w:r>
    </w:p>
    <w:p>
      <w:pPr>
        <w:pStyle w:val="FirstParagraph"/>
      </w:pPr>
      <w:r>
        <w:t xml:space="preserve">Und noch mehr Text schreiben. Vielleicht sogar mit einem schönen Bild.</w:t>
      </w:r>
    </w:p>
    <w:tbl>
      <w:tblPr>
        <w:tblStyle w:val="Table"/>
        <w:tblW w:type="pct" w:w="5000"/>
        <w:tblLayout w:type="fixed"/>
        <w:tblLook w:firstRow="0" w:lastRow="0" w:firstColumn="0" w:lastColumn="0" w:noHBand="0" w:noVBand="0" w:val="0000"/>
      </w:tblPr>
      <w:tblGrid>
        <w:gridCol w:w="7920"/>
      </w:tblGrid>
      <w:tr>
        <w:tc>
          <w:tcPr/>
          <w:bookmarkStart w:id="31" w:name="fig-example"/>
          <w:p>
            <w:pPr>
              <w:pStyle w:val="Compact"/>
              <w:jc w:val="center"/>
            </w:pPr>
            <w:r>
              <w:drawing>
                <wp:inline>
                  <wp:extent cx="6299200" cy="4160292"/>
                  <wp:effectExtent b="0" l="0" r="0" t="0"/>
                  <wp:docPr descr="" title="" id="29" name="Picture"/>
                  <a:graphic>
                    <a:graphicData uri="http://schemas.openxmlformats.org/drawingml/2006/picture">
                      <pic:pic>
                        <pic:nvPicPr>
                          <pic:cNvPr descr="https://fastly.picsum.photos/id/653/536/354.jpg?hmac=3InR8I5KmwbdkPHehlM8BMPd_BDHG_RWZkxt_IkeQGY" id="30" name="Picture"/>
                          <pic:cNvPicPr>
                            <a:picLocks noChangeArrowheads="1" noChangeAspect="1"/>
                          </pic:cNvPicPr>
                        </pic:nvPicPr>
                        <pic:blipFill>
                          <a:blip r:embed="rId28"/>
                          <a:stretch>
                            <a:fillRect/>
                          </a:stretch>
                        </pic:blipFill>
                        <pic:spPr bwMode="auto">
                          <a:xfrm>
                            <a:off x="0" y="0"/>
                            <a:ext cx="6299200" cy="4160292"/>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 Fügen Sie immer etwas Text hinzu, um zu beschreiben, was das Bild zeigt. Hat eine Abbildung eine Beschriftung, erscheint sie im Abbildungsverzeichnis. Dort wird nur der erste Satz der Beschriftung angezeigt.</w:t>
            </w:r>
          </w:p>
          <w:bookmarkEnd w:id="31"/>
        </w:tc>
      </w:tr>
    </w:tbl>
    <w:p>
      <w:pPr>
        <w:pStyle w:val="Textkrper"/>
      </w:pPr>
      <w:r>
        <w:t xml:space="preserve">Bei der Darstellung von Diagrammen sollte versucht werden, diese direkt in Mermaid JS zu erstellen; dies macht zukünftige Änderungen oder Übersetzungen sehr einfach.</w:t>
      </w:r>
    </w:p>
    <w:bookmarkEnd w:id="32"/>
    <w:bookmarkEnd w:id="33"/>
    <w:bookmarkStart w:id="53" w:name="sec-formatting"/>
    <w:p>
      <w:pPr>
        <w:pStyle w:val="berschrift2"/>
      </w:pPr>
      <w:r>
        <w:t xml:space="preserve">1.4 Formatierungen</w:t>
      </w:r>
    </w:p>
    <w:p>
      <w:pPr>
        <w:pStyle w:val="FirstParagraph"/>
      </w:pPr>
      <w:r>
        <w:t xml:space="preserve">Dieses Kapitel ist ein Stresstest: Es enthält die gängigen Markdown- und Quarto-Elemente, damit ihre Darstellung in PDF und Website geprüft werden kann.</w:t>
      </w:r>
    </w:p>
    <w:bookmarkStart w:id="38" w:name="sec-formatting-text"/>
    <w:p>
      <w:pPr>
        <w:pStyle w:val="berschrift3"/>
      </w:pPr>
      <w:r>
        <w:t xml:space="preserve">1.4.1 Textauszeichnungen</w:t>
      </w:r>
    </w:p>
    <w:p>
      <w:pPr>
        <w:pStyle w:val="FirstParagraph"/>
      </w:pPr>
      <w:r>
        <w:t xml:space="preserve">Text kann</w:t>
      </w:r>
      <w:r>
        <w:t xml:space="preserve"> </w:t>
      </w:r>
      <w:r>
        <w:rPr>
          <w:b/>
          <w:bCs/>
        </w:rPr>
        <w:t xml:space="preserve">fett</w:t>
      </w:r>
      <w:r>
        <w:t xml:space="preserve">,</w:t>
      </w:r>
      <w:r>
        <w:t xml:space="preserve"> </w:t>
      </w:r>
      <w:r>
        <w:rPr>
          <w:i/>
          <w:iCs/>
        </w:rPr>
        <w:t xml:space="preserve">kursiv</w:t>
      </w:r>
      <w:r>
        <w:t xml:space="preserve">,</w:t>
      </w:r>
      <w:r>
        <w:t xml:space="preserve"> </w:t>
      </w:r>
      <w:r>
        <w:rPr>
          <w:u w:val="single"/>
        </w:rPr>
        <w:t xml:space="preserve">unterstrichen</w:t>
      </w:r>
      <w:r>
        <w:t xml:space="preserve">,</w:t>
      </w:r>
      <w:r>
        <w:t xml:space="preserve"> </w:t>
      </w:r>
      <w:r>
        <w:rPr>
          <w:highlight w:val="yellow"/>
        </w:rPr>
        <w:t xml:space="preserve">markiert</w:t>
      </w:r>
      <w:r>
        <w:t xml:space="preserve">,</w:t>
      </w:r>
      <w:r>
        <w:t xml:space="preserve"> </w:t>
      </w:r>
      <w:r>
        <w:rPr>
          <w:smallCaps/>
        </w:rPr>
        <w:t xml:space="preserve">in Kapitälchen</w:t>
      </w:r>
      <w:r>
        <w:t xml:space="preserve"> </w:t>
      </w:r>
      <w:r>
        <w:t xml:space="preserve">oder</w:t>
      </w:r>
      <w:r>
        <w:t xml:space="preserve"> </w:t>
      </w:r>
      <w:r>
        <w:rPr>
          <w:strike/>
        </w:rPr>
        <w:t xml:space="preserve">durchgestrichen</w:t>
      </w:r>
      <w:r>
        <w:t xml:space="preserve"> </w:t>
      </w:r>
      <w:r>
        <w:t xml:space="preserve">gesetzt werden. Tastenkürzel wie</w:t>
      </w:r>
      <w:r>
        <w:t xml:space="preserve"> </w:t>
      </w:r>
      <w:r>
        <w:rPr>
          <w:rStyle w:val="VerbatimChar"/>
        </w:rPr>
        <w:t xml:space="preserve">Ctrl-C</w:t>
      </w:r>
      <w:r>
        <w:t xml:space="preserve"> </w:t>
      </w:r>
      <w:r>
        <w:t xml:space="preserve">+</w:t>
      </w:r>
      <w:r>
        <w:t xml:space="preserve"> </w:t>
      </w:r>
      <w:r>
        <w:rPr>
          <w:rStyle w:val="VerbatimChar"/>
        </w:rPr>
        <w:t xml:space="preserve">Ctrl-V</w:t>
      </w:r>
      <w:r>
        <w:t xml:space="preserve"> </w:t>
      </w:r>
      <w:r>
        <w:t xml:space="preserve">und Inline-Code wie</w:t>
      </w:r>
      <w:r>
        <w:t xml:space="preserve"> </w:t>
      </w:r>
      <w:r>
        <w:rPr>
          <w:rStyle w:val="VerbatimChar"/>
        </w:rPr>
        <w:t xml:space="preserve">schema:name</w:t>
      </w:r>
      <w:r>
        <w:t xml:space="preserve"> </w:t>
      </w:r>
      <w:r>
        <w:t xml:space="preserve">werden speziell hervorgehoben.</w:t>
      </w:r>
      <w:r>
        <w:rPr>
          <w:rStyle w:val="FootnoteReference"/>
        </w:rPr>
        <w:footnoteReference w:id="34"/>
      </w:r>
    </w:p>
    <w:bookmarkStart w:id="37" w:name="sec-formatting-h4"/>
    <w:p>
      <w:pPr>
        <w:pStyle w:val="berschrift4"/>
      </w:pPr>
      <w:r>
        <w:t xml:space="preserve">1.4.1.1 Eine Überschrift vierter Stufe</w:t>
      </w:r>
    </w:p>
    <w:p>
      <w:pPr>
        <w:pStyle w:val="FirstParagraph"/>
      </w:pPr>
      <w:r>
        <w:t xml:space="preserve">Überschriften bis zur vierten Stufe sind möglich; sie werden nummeriert, erscheinen aber nicht im Inhaltsverzeichnis.</w:t>
      </w:r>
      <w:r>
        <w:rPr>
          <w:rStyle w:val="FootnoteReference"/>
        </w:rPr>
        <w:footnoteReference w:id="35"/>
      </w:r>
    </w:p>
    <w:bookmarkEnd w:id="37"/>
    <w:bookmarkEnd w:id="38"/>
    <w:bookmarkStart w:id="45" w:name="sec-formatting-lists"/>
    <w:p>
      <w:pPr>
        <w:pStyle w:val="berschrift3"/>
      </w:pPr>
      <w:r>
        <w:t xml:space="preserve">1.4.2 Listen und Hinweise</w:t>
      </w:r>
    </w:p>
    <w:p>
      <w:pPr>
        <w:pStyle w:val="FirstParagraph"/>
      </w:pPr>
      <w:r>
        <w:t xml:space="preserve">Ungeordnete Liste:</w:t>
      </w:r>
    </w:p>
    <w:p>
      <w:pPr>
        <w:pStyle w:val="Compact"/>
        <w:numPr>
          <w:ilvl w:val="0"/>
          <w:numId w:val="1001"/>
        </w:numPr>
      </w:pPr>
      <w:r>
        <w:t xml:space="preserve">Erster Punkt</w:t>
      </w:r>
    </w:p>
    <w:p>
      <w:pPr>
        <w:pStyle w:val="Compact"/>
        <w:numPr>
          <w:ilvl w:val="0"/>
          <w:numId w:val="1001"/>
        </w:numPr>
      </w:pPr>
      <w:r>
        <w:t xml:space="preserve">Zweiter Punkt</w:t>
      </w:r>
    </w:p>
    <w:p>
      <w:pPr>
        <w:pStyle w:val="Compact"/>
        <w:numPr>
          <w:ilvl w:val="1"/>
          <w:numId w:val="1002"/>
        </w:numPr>
      </w:pPr>
      <w:r>
        <w:t xml:space="preserve">Unterpunkt</w:t>
      </w:r>
    </w:p>
    <w:p>
      <w:pPr>
        <w:pStyle w:val="Compact"/>
        <w:numPr>
          <w:ilvl w:val="0"/>
          <w:numId w:val="1001"/>
        </w:numPr>
      </w:pPr>
      <w:r>
        <w:t xml:space="preserve">Dritter Punkt</w:t>
      </w:r>
    </w:p>
    <w:p>
      <w:pPr>
        <w:pStyle w:val="FirstParagraph"/>
      </w:pPr>
      <w:r>
        <w:t xml:space="preserve">Geordnete Liste:</w:t>
      </w:r>
    </w:p>
    <w:p>
      <w:pPr>
        <w:pStyle w:val="Compact"/>
        <w:numPr>
          <w:ilvl w:val="0"/>
          <w:numId w:val="1003"/>
        </w:numPr>
      </w:pPr>
      <w:r>
        <w:t xml:space="preserve">Erster Schritt</w:t>
      </w:r>
    </w:p>
    <w:p>
      <w:pPr>
        <w:pStyle w:val="Compact"/>
        <w:numPr>
          <w:ilvl w:val="0"/>
          <w:numId w:val="1003"/>
        </w:numPr>
      </w:pPr>
      <w:r>
        <w:t xml:space="preserve">Zweiter Schritt</w:t>
      </w:r>
    </w:p>
    <w:p>
      <w:pPr>
        <w:pStyle w:val="Compact"/>
        <w:numPr>
          <w:ilvl w:val="0"/>
          <w:numId w:val="1003"/>
        </w:numPr>
      </w:pPr>
      <w:r>
        <w:t xml:space="preserve">Dritter Schritt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Textkrper"/>
            </w:pPr>
            <w:pPr>
              <w:spacing w:before="16" w:after="16"/>
            </w:pPr>
            <w:r>
              <w:t xml:space="preserve">Ein Hinweis macht auf Zusammenhänge aufmerksam, die leicht übersehen werden.</w:t>
            </w:r>
          </w:p>
          <w:p/>
        </w:tc>
      </w:tr>
    </w:tbl>
    <w:p>
      <w:pPr>
        <w:pStyle w:val="Textkrper"/>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Textkrper"/>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warning.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Warnung</w:t>
            </w:r>
          </w:p>
        </w:tc>
      </w:tr>
      <w:tr>
        <w:trPr>
          <w:cantSplit/>
        </w:trPr>
        <w:tc>
          <w:tcPr>
            <w:tcMar>
              <w:top w:w="108" w:type="dxa"/>
              <w:bottom w:w="108" w:type="dxa"/>
            </w:tcMar>
          </w:tcPr>
          <w:p>
            <w:pPr>
              <w:pStyle w:val="Textkrper"/>
            </w:pPr>
            <w:pPr>
              <w:spacing w:before="16" w:after="16"/>
            </w:pPr>
            <w:r>
              <w:t xml:space="preserve">Eine Warnung weist auf Fehlerquellen hin, zum Beispiel auf ungeprüfte Eingabedaten.</w:t>
            </w:r>
          </w:p>
          <w:p/>
        </w:tc>
      </w:tr>
    </w:tbl>
    <w:bookmarkEnd w:id="45"/>
    <w:bookmarkStart w:id="52" w:name="sec-formatting-code"/>
    <w:p>
      <w:pPr>
        <w:pStyle w:val="berschrift3"/>
      </w:pPr>
      <w:r>
        <w:t xml:space="preserve">1.4.3 Code, Tabellen und Formeln</w:t>
      </w:r>
    </w:p>
    <w:p>
      <w:pPr>
        <w:pStyle w:val="FirstParagraph"/>
      </w:pPr>
      <w:r>
        <w:t xml:space="preserve">Der folgende Codeblock zeigt eine SPARQL-Abfrage:</w:t>
      </w:r>
    </w:p>
    <w:p>
      <w:pPr>
        <w:pStyle w:val="SourceCode"/>
      </w:pPr>
      <w:r>
        <w:rPr>
          <w:rStyle w:val="VerbatimChar"/>
        </w:rPr>
        <w:t xml:space="preserve">SELECT ?s ?p ?o</w:t>
      </w:r>
      <w:r>
        <w:br/>
      </w:r>
      <w:r>
        <w:rPr>
          <w:rStyle w:val="VerbatimChar"/>
        </w:rPr>
        <w:t xml:space="preserve">WHERE {</w:t>
      </w:r>
      <w:r>
        <w:br/>
      </w:r>
      <w:r>
        <w:rPr>
          <w:rStyle w:val="VerbatimChar"/>
        </w:rPr>
        <w:t xml:space="preserve">  ?s ?p ?o .</w:t>
      </w:r>
      <w:r>
        <w:br/>
      </w:r>
      <w:r>
        <w:rPr>
          <w:rStyle w:val="VerbatimChar"/>
        </w:rPr>
        <w:t xml:space="preserve">}</w:t>
      </w:r>
      <w:r>
        <w:br/>
      </w:r>
      <w:r>
        <w:rPr>
          <w:rStyle w:val="VerbatimChar"/>
        </w:rPr>
        <w:t xml:space="preserve">LIMIT 10</w:t>
      </w:r>
    </w:p>
    <w:p>
      <w:pPr>
        <w:pStyle w:val="FirstParagraph"/>
      </w:pPr>
      <w:r>
        <w:t xml:space="preserve">Abbildungen lassen sich auch mit R-Code erzeugen, wie</w:t>
      </w:r>
      <w:r>
        <w:t xml:space="preserve"> </w:t>
      </w:r>
      <w:hyperlink w:anchor="fig-r-example">
        <w:r>
          <w:rPr>
            <w:rStyle w:val="Hyperlink"/>
          </w:rPr>
          <w:t xml:space="preserve">Abbildung 2</w:t>
        </w:r>
      </w:hyperlink>
      <w:r>
        <w:t xml:space="preserve"> </w:t>
      </w:r>
      <w:r>
        <w:t xml:space="preserve">zeigt:</w:t>
      </w:r>
    </w:p>
    <w:tbl>
      <w:tblPr>
        <w:tblStyle w:val="Table"/>
        <w:tblW w:type="pct" w:w="5000"/>
        <w:tblLayout w:type="fixed"/>
        <w:tblLook w:firstRow="0" w:lastRow="0" w:firstColumn="0" w:lastColumn="0" w:noHBand="0" w:noVBand="0" w:val="0000"/>
      </w:tblPr>
      <w:tblGrid>
        <w:gridCol w:w="7920"/>
      </w:tblGrid>
      <w:tr>
        <w:tc>
          <w:tcPr/>
          <w:bookmarkStart w:id="49" w:name="fig-r-example"/>
          <w:p>
            <w:pPr>
              <w:pStyle w:val="Compact"/>
              <w:jc w:val="center"/>
            </w:pPr>
            <w:r>
              <w:drawing>
                <wp:inline>
                  <wp:extent cx="5544151" cy="2310063"/>
                  <wp:effectExtent b="0" l="0" r="0" t="0"/>
                  <wp:docPr descr="" title="" id="47" name="Picture"/>
                  <a:graphic>
                    <a:graphicData uri="http://schemas.openxmlformats.org/drawingml/2006/picture">
                      <pic:pic>
                        <pic:nvPicPr>
                          <pic:cNvPr descr="index_files/figure-docx/fig-r-example-1.png" id="48" name="Picture"/>
                          <pic:cNvPicPr>
                            <a:picLocks noChangeArrowheads="1" noChangeAspect="1"/>
                          </pic:cNvPicPr>
                        </pic:nvPicPr>
                        <pic:blipFill>
                          <a:blip r:embed="rId46"/>
                          <a:stretch>
                            <a:fillRect/>
                          </a:stretch>
                        </pic:blipFill>
                        <pic:spPr bwMode="auto">
                          <a:xfrm>
                            <a:off x="0" y="0"/>
                            <a:ext cx="5544151" cy="2310063"/>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2: Mit R erzeugte Abbildung. Quarto führt den Code beim Rendern aus und fügt die Grafik ein.</w:t>
            </w:r>
          </w:p>
          <w:bookmarkEnd w:id="49"/>
        </w:tc>
      </w:tr>
    </w:tbl>
    <w:tbl>
      <w:tblPr>
        <w:tblStyle w:val="Table"/>
        <w:tblW w:type="pct" w:w="5000"/>
        <w:tblLayout w:type="fixed"/>
        <w:tblLook w:firstRow="0" w:lastRow="0" w:firstColumn="0" w:lastColumn="0" w:noHBand="0" w:noVBand="0" w:val="0000"/>
      </w:tblPr>
      <w:tblGrid>
        <w:gridCol w:w="7920"/>
      </w:tblGrid>
      <w:tr>
        <w:tc>
          <w:tcPr/>
          <w:bookmarkStart w:id="50" w:name="tbl-example"/>
          <w:p>
            <w:pPr>
              <w:jc w:val="center"/>
            </w:pPr>
            <w:pPr>
              <w:jc w:val="left"/>
              <w:spacing w:before="200"/>
              <w:pStyle w:val="ImageCaption"/>
            </w:pPr>
            <w:r>
              <w:t xml:space="preserve">Tabelle 1: Beispieltabelle mit drei Spalten. Hat eine Tabelle eine Beschriftung, erscheint sie im Tabellenverzeichnis. Dort wird nur der erste Satz der Beschriftung angezeigt.</w:t>
            </w:r>
          </w:p>
          <w:tbl>
            <w:tblPr>
              <w:tblStyle w:val="Table"/>
              <w:tblW w:type="pct" w:w="4931"/>
              <w:tblLayout w:type="fixed"/>
              <w:tblLook w:firstRow="1" w:lastRow="0" w:firstColumn="0" w:lastColumn="0" w:noHBand="0" w:noVBand="0" w:val="0020"/>
            </w:tblPr>
            <w:tblGrid>
              <w:gridCol w:w="1870"/>
              <w:gridCol w:w="2310"/>
              <w:gridCol w:w="3630"/>
            </w:tblGrid>
            <w:tr>
              <w:trPr>
                <w:tblHeader w:val="on"/>
              </w:trPr>
              <w:tc>
                <w:tcPr/>
                <w:p>
                  <w:pPr>
                    <w:pStyle w:val="Compact"/>
                    <w:jc w:val="left"/>
                    <w:jc w:val="center"/>
                  </w:pPr>
                  <w:r>
                    <w:t xml:space="preserve">Spalte</w:t>
                  </w:r>
                </w:p>
              </w:tc>
              <w:tc>
                <w:tcPr/>
                <w:p>
                  <w:pPr>
                    <w:pStyle w:val="Compact"/>
                    <w:jc w:val="left"/>
                    <w:jc w:val="center"/>
                  </w:pPr>
                  <w:r>
                    <w:t xml:space="preserve">Typ</w:t>
                  </w:r>
                </w:p>
              </w:tc>
              <w:tc>
                <w:tcPr/>
                <w:p>
                  <w:pPr>
                    <w:pStyle w:val="Compact"/>
                    <w:jc w:val="left"/>
                    <w:jc w:val="center"/>
                  </w:pPr>
                  <w:r>
                    <w:t xml:space="preserve">Bemerkung</w:t>
                  </w:r>
                </w:p>
              </w:tc>
            </w:tr>
            <w:tr>
              <w:tc>
                <w:tcPr/>
                <w:p>
                  <w:pPr>
                    <w:pStyle w:val="Compact"/>
                    <w:jc w:val="left"/>
                    <w:jc w:val="center"/>
                  </w:pPr>
                  <w:r>
                    <w:t xml:space="preserve">Name</w:t>
                  </w:r>
                </w:p>
              </w:tc>
              <w:tc>
                <w:tcPr/>
                <w:p>
                  <w:pPr>
                    <w:pStyle w:val="Compact"/>
                    <w:jc w:val="left"/>
                    <w:jc w:val="center"/>
                  </w:pPr>
                  <w:r>
                    <w:t xml:space="preserve">Zeichenkette</w:t>
                  </w:r>
                </w:p>
              </w:tc>
              <w:tc>
                <w:tcPr/>
                <w:p>
                  <w:pPr>
                    <w:pStyle w:val="Compact"/>
                    <w:jc w:val="left"/>
                    <w:jc w:val="center"/>
                  </w:pPr>
                  <w:r>
                    <w:t xml:space="preserve">Pflichtfeld</w:t>
                  </w:r>
                </w:p>
              </w:tc>
            </w:tr>
            <w:tr>
              <w:tc>
                <w:tcPr/>
                <w:p>
                  <w:pPr>
                    <w:pStyle w:val="Compact"/>
                    <w:jc w:val="left"/>
                    <w:jc w:val="center"/>
                  </w:pPr>
                  <w:r>
                    <w:t xml:space="preserve">Menge</w:t>
                  </w:r>
                </w:p>
              </w:tc>
              <w:tc>
                <w:tcPr/>
                <w:p>
                  <w:pPr>
                    <w:pStyle w:val="Compact"/>
                    <w:jc w:val="left"/>
                    <w:jc w:val="center"/>
                  </w:pPr>
                  <w:r>
                    <w:t xml:space="preserve">Dezimalzahl</w:t>
                  </w:r>
                </w:p>
              </w:tc>
              <w:tc>
                <w:tcPr/>
                <w:p>
                  <w:pPr>
                    <w:pStyle w:val="Compact"/>
                    <w:jc w:val="left"/>
                    <w:jc w:val="center"/>
                  </w:pPr>
                  <w:r>
                    <w:t xml:space="preserve">mit Einheit</w:t>
                  </w:r>
                </w:p>
              </w:tc>
            </w:tr>
          </w:tbl>
          <w:bookmarkEnd w:id="50"/>
          <w:p/>
        </w:tc>
      </w:tr>
    </w:tbl>
    <w:p>
      <w:pPr>
        <w:pStyle w:val="Textkrper"/>
      </w:pPr>
      <w:r>
        <w:t xml:space="preserve">Eine Formel kann im Text stehen, etwa</w:t>
      </w:r>
      <w:r>
        <w:t xml:space="preserve"> </w:t>
      </w:r>
      <m:oMath>
        <m:r>
          <m:t>E</m:t>
        </m:r>
        <m:r>
          <m:rPr>
            <m:sty m:val="p"/>
          </m:rPr>
          <m:t>=</m:t>
        </m:r>
        <m:r>
          <m:t>m</m:t>
        </m:r>
        <m:sSup>
          <m:e>
            <m:r>
              <m:t>c</m:t>
            </m:r>
          </m:e>
          <m:sup>
            <m:r>
              <m:t>2</m:t>
            </m:r>
          </m:sup>
        </m:sSup>
      </m:oMath>
      <w:r>
        <w:t xml:space="preserve">, oder als eigene Gleichung wie</w:t>
      </w:r>
      <w:r>
        <w:t xml:space="preserve"> </w:t>
      </w:r>
      <w:hyperlink w:anchor="eq-example">
        <w:r>
          <w:rPr>
            <w:rStyle w:val="Hyperlink"/>
          </w:rPr>
          <w:t xml:space="preserve">Gleichung 1</w:t>
        </w:r>
      </w:hyperlink>
      <w:r>
        <w:t xml:space="preserve">:</w:t>
      </w:r>
    </w:p>
    <w:p>
      <w:pPr>
        <w:pStyle w:val="Textkrper"/>
      </w:pPr>
      <w:bookmarkStart w:id="51" w:name="eq-example"/>
      <m:oMathPara>
        <m:oMathParaPr>
          <m:jc m:val="center"/>
        </m:oMathParaP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acc>
            <m:accPr>
              <m:chr m:val="‾"/>
            </m:accPr>
            <m:e>
              <m:r>
                <m:t>x</m:t>
              </m:r>
            </m:e>
          </m:acc>
          <m:r>
            <m:t>  </m:t>
          </m:r>
          <m:r>
            <m:rPr>
              <m:sty m:val="p"/>
            </m:rPr>
            <m:t>(</m:t>
          </m:r>
          <m:r>
            <m:t>1</m:t>
          </m:r>
          <m:r>
            <m:rPr>
              <m:sty m:val="p"/>
            </m:rPr>
            <m:t>)</m:t>
          </m:r>
        </m:oMath>
      </m:oMathPara>
      <w:bookmarkEnd w:id="51"/>
    </w:p>
    <w:p>
      <w:pPr>
        <w:pStyle w:val="FirstParagraph"/>
      </w:pPr>
      <w:r>
        <w:t xml:space="preserve">Der folgende Absatz ist bewusst Unsinn und dient nur dem Test der Zitierweise (im Fliesstext ohne Klammern mit</w:t>
      </w:r>
      <w:r>
        <w:t xml:space="preserve"> </w:t>
      </w:r>
      <w:r>
        <w:rPr>
          <w:rStyle w:val="VerbatimChar"/>
        </w:rPr>
        <w:t xml:space="preserve">@key</w:t>
      </w:r>
      <w:r>
        <w:t xml:space="preserve">, sonst in Klammern mit</w:t>
      </w:r>
      <w:r>
        <w:t xml:space="preserve"> </w:t>
      </w:r>
      <w:r>
        <w:rPr>
          <w:rStyle w:val="VerbatimChar"/>
        </w:rPr>
        <w:t xml:space="preserve">[@key]</w:t>
      </w:r>
      <w:r>
        <w:t xml:space="preserve">): Gemäss</w:t>
      </w:r>
      <w:r>
        <w:t xml:space="preserve"> </w:t>
      </w:r>
      <w:hyperlink w:anchor="ref-eCH-0003:11.1.0">
        <w:r>
          <w:rPr>
            <w:rStyle w:val="Hyperlink"/>
          </w:rPr>
          <w:t xml:space="preserve">eCH-0003 11.1.0</w:t>
        </w:r>
      </w:hyperlink>
      <w:r>
        <w:t xml:space="preserve"> </w:t>
      </w:r>
      <w:r>
        <w:t xml:space="preserve">müssen alle Postadressen</w:t>
      </w:r>
      <w:r>
        <w:t xml:space="preserve"> </w:t>
      </w:r>
      <w:r>
        <w:t xml:space="preserve">[</w:t>
      </w:r>
      <w:hyperlink w:anchor="ref-eCH-0010:8.1.0">
        <w:r>
          <w:rPr>
            <w:rStyle w:val="Hyperlink"/>
          </w:rPr>
          <w:t xml:space="preserve">eCH-0010 8.1.0</w:t>
        </w:r>
      </w:hyperlink>
      <w:r>
        <w:t xml:space="preserve">]</w:t>
      </w:r>
      <w:r>
        <w:t xml:space="preserve"> </w:t>
      </w:r>
      <w:r>
        <w:t xml:space="preserve">in Turtle</w:t>
      </w:r>
      <w:r>
        <w:t xml:space="preserve"> </w:t>
      </w:r>
      <w:r>
        <w:t xml:space="preserve">[</w:t>
      </w:r>
      <w:hyperlink w:anchor="ref-Turtle">
        <w:r>
          <w:rPr>
            <w:rStyle w:val="Hyperlink"/>
          </w:rPr>
          <w:t xml:space="preserve">Turtle</w:t>
        </w:r>
      </w:hyperlink>
      <w:r>
        <w:t xml:space="preserve">]</w:t>
      </w:r>
      <w:r>
        <w:t xml:space="preserve"> </w:t>
      </w:r>
      <w:r>
        <w:t xml:space="preserve">serialisiert, als DCAT-Katalog</w:t>
      </w:r>
      <w:r>
        <w:t xml:space="preserve"> </w:t>
      </w:r>
      <w:r>
        <w:t xml:space="preserve">[</w:t>
      </w:r>
      <w:hyperlink w:anchor="ref-DCAT">
        <w:r>
          <w:rPr>
            <w:rStyle w:val="Hyperlink"/>
          </w:rPr>
          <w:t xml:space="preserve">DCAT</w:t>
        </w:r>
      </w:hyperlink>
      <w:r>
        <w:t xml:space="preserve">;</w:t>
      </w:r>
      <w:r>
        <w:t xml:space="preserve"> </w:t>
      </w:r>
      <w:hyperlink w:anchor="ref-eCH-0200:3.0.1">
        <w:r>
          <w:rPr>
            <w:rStyle w:val="Hyperlink"/>
          </w:rPr>
          <w:t xml:space="preserve">eCH-0200 3.0.1</w:t>
        </w:r>
      </w:hyperlink>
      <w:r>
        <w:t xml:space="preserve">]</w:t>
      </w:r>
      <w:r>
        <w:t xml:space="preserve"> </w:t>
      </w:r>
      <w:r>
        <w:t xml:space="preserve">mit SHACL</w:t>
      </w:r>
      <w:r>
        <w:t xml:space="preserve"> </w:t>
      </w:r>
      <w:r>
        <w:t xml:space="preserve">[</w:t>
      </w:r>
      <w:hyperlink w:anchor="ref-SHACL">
        <w:r>
          <w:rPr>
            <w:rStyle w:val="Hyperlink"/>
          </w:rPr>
          <w:t xml:space="preserve">SHACL</w:t>
        </w:r>
      </w:hyperlink>
      <w:r>
        <w:t xml:space="preserve">]</w:t>
      </w:r>
      <w:r>
        <w:t xml:space="preserve"> </w:t>
      </w:r>
      <w:r>
        <w:t xml:space="preserve">geprüft und per SPARQL</w:t>
      </w:r>
      <w:r>
        <w:t xml:space="preserve"> </w:t>
      </w:r>
      <w:r>
        <w:t xml:space="preserve">[</w:t>
      </w:r>
      <w:hyperlink w:anchor="ref-SPARQL">
        <w:r>
          <w:rPr>
            <w:rStyle w:val="Hyperlink"/>
          </w:rPr>
          <w:t xml:space="preserve">SPARQL</w:t>
        </w:r>
      </w:hyperlink>
      <w:r>
        <w:t xml:space="preserve">]</w:t>
      </w:r>
      <w:r>
        <w:t xml:space="preserve"> </w:t>
      </w:r>
      <w:r>
        <w:t xml:space="preserve">als Linked Open Data</w:t>
      </w:r>
      <w:r>
        <w:t xml:space="preserve"> </w:t>
      </w:r>
      <w:r>
        <w:t xml:space="preserve">[</w:t>
      </w:r>
      <w:hyperlink w:anchor="ref-eCH-0205:1.0">
        <w:r>
          <w:rPr>
            <w:rStyle w:val="Hyperlink"/>
          </w:rPr>
          <w:t xml:space="preserve">eCH-0205 1.0</w:t>
        </w:r>
      </w:hyperlink>
      <w:r>
        <w:t xml:space="preserve">]</w:t>
      </w:r>
      <w:r>
        <w:t xml:space="preserve"> </w:t>
      </w:r>
      <w:r>
        <w:t xml:space="preserve">über landwirtschaftliche Kulturen</w:t>
      </w:r>
      <w:r>
        <w:t xml:space="preserve"> </w:t>
      </w:r>
      <w:r>
        <w:t xml:space="preserve">[</w:t>
      </w:r>
      <w:hyperlink w:anchor="ref-eCH-0265:1.0.0">
        <w:r>
          <w:rPr>
            <w:rStyle w:val="Hyperlink"/>
          </w:rPr>
          <w:t xml:space="preserve">eCH-0265 1.0.0</w:t>
        </w:r>
      </w:hyperlink>
      <w:r>
        <w:t xml:space="preserve">]</w:t>
      </w:r>
      <w:r>
        <w:t xml:space="preserve"> </w:t>
      </w:r>
      <w:r>
        <w:t xml:space="preserve">in JSON-LD</w:t>
      </w:r>
      <w:r>
        <w:t xml:space="preserve"> </w:t>
      </w:r>
      <w:r>
        <w:t xml:space="preserve">[</w:t>
      </w:r>
      <w:hyperlink w:anchor="ref-JSON-LD">
        <w:r>
          <w:rPr>
            <w:rStyle w:val="Hyperlink"/>
          </w:rPr>
          <w:t xml:space="preserve">JSON-LD</w:t>
        </w:r>
      </w:hyperlink>
      <w:r>
        <w:t xml:space="preserve">]</w:t>
      </w:r>
      <w:r>
        <w:t xml:space="preserve"> </w:t>
      </w:r>
      <w:r>
        <w:t xml:space="preserve">und OWL</w:t>
      </w:r>
      <w:r>
        <w:t xml:space="preserve"> </w:t>
      </w:r>
      <w:r>
        <w:t xml:space="preserve">[</w:t>
      </w:r>
      <w:hyperlink w:anchor="ref-OWL2">
        <w:r>
          <w:rPr>
            <w:rStyle w:val="Hyperlink"/>
          </w:rPr>
          <w:t xml:space="preserve">OWL 2</w:t>
        </w:r>
      </w:hyperlink>
      <w:r>
        <w:t xml:space="preserve">]</w:t>
      </w:r>
      <w:r>
        <w:t xml:space="preserve"> </w:t>
      </w:r>
      <w:r>
        <w:t xml:space="preserve">veröffentlicht werden, wie es das Semantic Web</w:t>
      </w:r>
      <w:r>
        <w:t xml:space="preserve"> </w:t>
      </w:r>
      <w:r>
        <w:t xml:space="preserve">[</w:t>
      </w:r>
      <w:hyperlink w:anchor="ref-berners2023semantic">
        <w:r>
          <w:rPr>
            <w:rStyle w:val="Hyperlink"/>
          </w:rPr>
          <w:t xml:space="preserve">Berners-Lee 2023</w:t>
        </w:r>
      </w:hyperlink>
      <w:r>
        <w:t xml:space="preserve">]</w:t>
      </w:r>
      <w:r>
        <w:t xml:space="preserve"> </w:t>
      </w:r>
      <w:r>
        <w:t xml:space="preserve">vorsieht.</w:t>
      </w:r>
    </w:p>
    <w:bookmarkEnd w:id="52"/>
    <w:bookmarkEnd w:id="53"/>
    <w:bookmarkEnd w:id="54"/>
    <w:bookmarkStart w:id="58" w:name="sec-usage-notes"/>
    <w:p>
      <w:pPr>
        <w:pStyle w:val="berschrift1"/>
      </w:pPr>
      <w:r>
        <w:t xml:space="preserve">2. Hinweise zur Verwendung</w:t>
      </w:r>
    </w:p>
    <w:bookmarkStart w:id="57" w:name="sec-namespaces"/>
    <w:p>
      <w:pPr>
        <w:pStyle w:val="berschrift2"/>
      </w:pPr>
      <w:r>
        <w:t xml:space="preserve">2.1 Namespaces</w:t>
      </w:r>
    </w:p>
    <w:p>
      <w:pPr>
        <w:pStyle w:val="FirstParagraph"/>
      </w:pPr>
      <w:hyperlink w:anchor="tbl-namespaces">
        <w:r>
          <w:rPr>
            <w:rStyle w:val="Hyperlink"/>
          </w:rPr>
          <w:t xml:space="preserve">Tabelle 2</w:t>
        </w:r>
      </w:hyperlink>
      <w:r>
        <w:t xml:space="preserve"> </w:t>
      </w:r>
      <w:r>
        <w:t xml:space="preserve">listet die Präfixe und Namespaces, die in diesem Dokument verwendet werden. Ein Präfix steht stellvertretend für eine Namespace-IRI, den gemeinsamen Anfang der IRIs eines Vokabulars. Die Turtle-Spezifikation beschreibt, wie solche</w:t>
      </w:r>
      <w:r>
        <w:t xml:space="preserve"> </w:t>
      </w:r>
      <w:hyperlink r:id="rId55">
        <w:r>
          <w:rPr>
            <w:rStyle w:val="Hyperlink"/>
            <w:i/>
            <w:iCs/>
          </w:rPr>
          <w:t xml:space="preserve">Prefixed Names</w:t>
        </w:r>
      </w:hyperlink>
      <w:r>
        <w:t xml:space="preserve"> </w:t>
      </w:r>
      <w:r>
        <w:t xml:space="preserve">aufgelöst werden</w:t>
      </w:r>
      <w:r>
        <w:t xml:space="preserve"> </w:t>
      </w:r>
      <w:r>
        <w:t xml:space="preserve">[</w:t>
      </w:r>
      <w:hyperlink w:anchor="ref-Turtle">
        <w:r>
          <w:rPr>
            <w:rStyle w:val="Hyperlink"/>
          </w:rPr>
          <w:t xml:space="preserve">Turtle</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56" w:name="tbl-namespaces"/>
          <w:p>
            <w:pPr>
              <w:jc w:val="center"/>
            </w:pPr>
            <w:pPr>
              <w:jc w:val="left"/>
              <w:spacing w:before="200"/>
              <w:pStyle w:val="ImageCaption"/>
            </w:pPr>
            <w:r>
              <w:t xml:space="preserve">Tabelle 2: In eCH-1234 – Quarto-Dokument als Vorlage verwendete Namespaces.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Präfix</w:t>
                  </w:r>
                </w:p>
              </w:tc>
              <w:tc>
                <w:tcPr/>
                <w:p>
                  <w:pPr>
                    <w:pStyle w:val="Compact"/>
                    <w:jc w:val="left"/>
                    <w:jc w:val="center"/>
                  </w:pPr>
                  <w:r>
                    <w:t xml:space="preserve">Namespace</w:t>
                  </w:r>
                </w:p>
              </w:tc>
            </w:tr>
            <w:tr>
              <w:tc>
                <w:tcPr/>
                <w:p>
                  <w:pPr>
                    <w:pStyle w:val="Compact"/>
                    <w:jc w:val="left"/>
                    <w:jc w:val="center"/>
                  </w:pPr>
                  <w:r>
                    <w:t xml:space="preserve">:</w:t>
                  </w:r>
                </w:p>
              </w:tc>
              <w:tc>
                <w:tcPr/>
                <w:p>
                  <w:pPr>
                    <w:pStyle w:val="Compact"/>
                    <w:jc w:val="left"/>
                    <w:jc w:val="center"/>
                  </w:pPr>
                  <w:r>
                    <w:t xml:space="preserve">https://agriculture.ld.admin.ch/eCH-1234/2/</w:t>
                  </w:r>
                </w:p>
              </w:tc>
            </w:tr>
            <w:tr>
              <w:tc>
                <w:tcPr/>
                <w:p>
                  <w:pPr>
                    <w:pStyle w:val="Compact"/>
                    <w:jc w:val="left"/>
                    <w:jc w:val="center"/>
                  </w:pPr>
                  <w:r>
                    <w:t xml:space="preserve">codelist:</w:t>
                  </w:r>
                </w:p>
              </w:tc>
              <w:tc>
                <w:tcPr/>
                <w:p>
                  <w:pPr>
                    <w:pStyle w:val="Compact"/>
                    <w:jc w:val="left"/>
                    <w:jc w:val="center"/>
                  </w:pPr>
                  <w:r>
                    <w:t xml:space="preserve">https://agriculture.ld.admin.ch/eCH-1234/2/codelist/</w:t>
                  </w:r>
                </w:p>
              </w:tc>
            </w:tr>
            <w:tr>
              <w:tc>
                <w:tcPr/>
                <w:p>
                  <w:pPr>
                    <w:pStyle w:val="Compact"/>
                    <w:jc w:val="left"/>
                    <w:jc w:val="center"/>
                  </w:pPr>
                  <w:r>
                    <w:t xml:space="preserve">country:</w:t>
                  </w:r>
                </w:p>
              </w:tc>
              <w:tc>
                <w:tcPr/>
                <w:p>
                  <w:pPr>
                    <w:pStyle w:val="Compact"/>
                    <w:jc w:val="left"/>
                    <w:jc w:val="center"/>
                  </w:pPr>
                  <w:r>
                    <w:t xml:space="preserve">https://ld.admin.ch/country/</w:t>
                  </w:r>
                </w:p>
              </w:tc>
            </w:tr>
            <w:tr>
              <w:tc>
                <w:tcPr/>
                <w:p>
                  <w:pPr>
                    <w:pStyle w:val="Compact"/>
                    <w:jc w:val="left"/>
                    <w:jc w:val="center"/>
                  </w:pPr>
                  <w:r>
                    <w:t xml:space="preserve">currency:</w:t>
                  </w:r>
                </w:p>
              </w:tc>
              <w:tc>
                <w:tcPr/>
                <w:p>
                  <w:pPr>
                    <w:pStyle w:val="Compact"/>
                    <w:jc w:val="left"/>
                    <w:jc w:val="center"/>
                  </w:pPr>
                  <w:r>
                    <w:t xml:space="preserve">http://qudt.org/vocab/currency/</w:t>
                  </w:r>
                </w:p>
              </w:tc>
            </w:tr>
            <w:tr>
              <w:tc>
                <w:tcPr/>
                <w:p>
                  <w:pPr>
                    <w:pStyle w:val="Compact"/>
                    <w:jc w:val="left"/>
                    <w:jc w:val="center"/>
                  </w:pPr>
                  <w:r>
                    <w:t xml:space="preserve">media:</w:t>
                  </w:r>
                </w:p>
              </w:tc>
              <w:tc>
                <w:tcPr/>
                <w:p>
                  <w:pPr>
                    <w:pStyle w:val="Compact"/>
                    <w:jc w:val="left"/>
                    <w:jc w:val="center"/>
                  </w:pPr>
                  <w:r>
                    <w:t xml:space="preserve">https://agriculture.ld.admin.ch/eCH-1234/2/mediatype/</w:t>
                  </w:r>
                </w:p>
              </w:tc>
            </w:tr>
            <w:tr>
              <w:tc>
                <w:tcPr/>
                <w:p>
                  <w:pPr>
                    <w:pStyle w:val="Compact"/>
                    <w:jc w:val="left"/>
                    <w:jc w:val="center"/>
                  </w:pPr>
                  <w:r>
                    <w:t xml:space="preserve">rdf:</w:t>
                  </w:r>
                </w:p>
              </w:tc>
              <w:tc>
                <w:tcPr/>
                <w:p>
                  <w:pPr>
                    <w:pStyle w:val="Compact"/>
                    <w:jc w:val="left"/>
                    <w:jc w:val="center"/>
                  </w:pPr>
                  <w:r>
                    <w:t xml:space="preserve">http://www.w3.org/1999/02/22-rdf-syntax-ns#</w:t>
                  </w:r>
                </w:p>
              </w:tc>
            </w:tr>
            <w:tr>
              <w:tc>
                <w:tcPr/>
                <w:p>
                  <w:pPr>
                    <w:pStyle w:val="Compact"/>
                    <w:jc w:val="left"/>
                    <w:jc w:val="center"/>
                  </w:pPr>
                  <w:r>
                    <w:t xml:space="preserve">schema:</w:t>
                  </w:r>
                </w:p>
              </w:tc>
              <w:tc>
                <w:tcPr/>
                <w:p>
                  <w:pPr>
                    <w:pStyle w:val="Compact"/>
                    <w:jc w:val="left"/>
                    <w:jc w:val="center"/>
                  </w:pPr>
                  <w:r>
                    <w:t xml:space="preserve">http://schema.org/</w:t>
                  </w:r>
                </w:p>
              </w:tc>
            </w:tr>
            <w:tr>
              <w:tc>
                <w:tcPr/>
                <w:p>
                  <w:pPr>
                    <w:pStyle w:val="Compact"/>
                    <w:jc w:val="left"/>
                    <w:jc w:val="center"/>
                  </w:pPr>
                  <w:r>
                    <w:t xml:space="preserve">unit:</w:t>
                  </w:r>
                </w:p>
              </w:tc>
              <w:tc>
                <w:tcPr/>
                <w:p>
                  <w:pPr>
                    <w:pStyle w:val="Compact"/>
                    <w:jc w:val="left"/>
                    <w:jc w:val="center"/>
                  </w:pPr>
                  <w:r>
                    <w:t xml:space="preserve">http://qudt.org/vocab/unit/</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56"/>
          <w:p/>
        </w:tc>
      </w:tr>
    </w:tbl>
    <w:bookmarkEnd w:id="57"/>
    <w:bookmarkEnd w:id="58"/>
    <w:bookmarkStart w:id="162" w:name="sec-data-model"/>
    <w:p>
      <w:pPr>
        <w:pStyle w:val="berschrift1"/>
      </w:pPr>
      <w:r>
        <w:t xml:space="preserve">3. Datenmodell</w:t>
      </w:r>
    </w:p>
    <w:bookmarkStart w:id="71" w:name="sec-nodeshape-genreshape"/>
    <w:p>
      <w:pPr>
        <w:pStyle w:val="berschrift2"/>
      </w:pPr>
      <w:r>
        <w:t xml:space="preserve">3.1 Genre</w:t>
      </w:r>
    </w:p>
    <w:p>
      <w:pPr>
        <w:pStyle w:val="FirstParagraph"/>
      </w:pPr>
      <w:r>
        <w:t xml:space="preserve">Eine musikalische Kategorie im Chinook-Datensatz.</w:t>
      </w:r>
    </w:p>
    <w:bookmarkStart w:id="62" w:name="sec-nodeshape-genreshape-overview"/>
    <w:p>
      <w:pPr>
        <w:pStyle w:val="berschrift3"/>
      </w:pPr>
      <w:r>
        <w:t xml:space="preserve">3.1.1 Übersicht</w:t>
      </w:r>
    </w:p>
    <w:p>
      <w:pPr>
        <w:pStyle w:val="DefinitionTerm"/>
      </w:pPr>
      <w:r>
        <w:t xml:space="preserve">Shape</w:t>
      </w:r>
    </w:p>
    <w:p>
      <w:pPr>
        <w:pStyle w:val="Definition"/>
      </w:pPr>
      <w:hyperlink r:id="rId59">
        <w:r>
          <w:rPr>
            <w:rStyle w:val="Hyperlink"/>
          </w:rPr>
          <w:t xml:space="preserve">:GenreShape</w:t>
        </w:r>
      </w:hyperlink>
    </w:p>
    <w:p>
      <w:pPr>
        <w:pStyle w:val="DefinitionTerm"/>
      </w:pPr>
      <w:r>
        <w:t xml:space="preserve">Zielklasse</w:t>
      </w:r>
    </w:p>
    <w:p>
      <w:pPr>
        <w:pStyle w:val="Definition"/>
      </w:pPr>
      <w:hyperlink r:id="rId60">
        <w:r>
          <w:rPr>
            <w:rStyle w:val="Hyperlink"/>
          </w:rPr>
          <w:t xml:space="preserve">:Genre</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25 Instanzen mit je 5 bis 7 Tripeln (im Mittel 5.4)</w:t>
      </w:r>
    </w:p>
    <w:p>
      <w:pPr>
        <w:pStyle w:val="DefinitionTerm"/>
      </w:pPr>
      <w:r>
        <w:t xml:space="preserve">Datenzugriff</w:t>
      </w:r>
    </w:p>
    <w:p>
      <w:pPr>
        <w:pStyle w:val="Definition"/>
      </w:pPr>
      <w:hyperlink r:id="rId61">
        <w:r>
          <w:rPr>
            <w:rStyle w:val="Hyperlink"/>
          </w:rPr>
          <w:t xml:space="preserve">SPARQL-Dienst</w:t>
        </w:r>
      </w:hyperlink>
    </w:p>
    <w:bookmarkEnd w:id="62"/>
    <w:bookmarkStart w:id="68" w:name="sec-nodeshape-genreshape-properties"/>
    <w:p>
      <w:pPr>
        <w:pStyle w:val="berschrift3"/>
      </w:pPr>
      <w:r>
        <w:t xml:space="preserve">3.1.2 Eigenschaften</w:t>
      </w:r>
    </w:p>
    <w:tbl>
      <w:tblPr>
        <w:tblStyle w:val="Table"/>
        <w:tblW w:type="pct" w:w="4968"/>
        <w:tblLayout w:type="fixed"/>
        <w:tblLook w:firstRow="1" w:lastRow="0" w:firstColumn="0" w:lastColumn="0" w:noHBand="0" w:noVBand="0" w:val="0020"/>
      </w:tblPr>
      <w:tblGrid>
        <w:gridCol w:w="3116"/>
        <w:gridCol w:w="3985"/>
        <w:gridCol w:w="76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w:t>
            </w:r>
          </w:p>
        </w:tc>
        <w:tc>
          <w:tcPr/>
          <w:p>
            <w:pPr>
              <w:pStyle w:val="Compact"/>
              <w:numPr>
                <w:ilvl w:val="0"/>
                <w:numId w:val="1004"/>
              </w:numPr>
              <w:jc w:val="left"/>
            </w:pPr>
            <w:r>
              <w:t xml:space="preserve">Typ: Zeichenkette (</w:t>
            </w:r>
            <w:hyperlink r:id="rId64">
              <w:r>
                <w:rPr>
                  <w:rStyle w:val="Hyperlink"/>
                </w:rPr>
                <w:t xml:space="preserve">xsd:string</w:t>
              </w:r>
            </w:hyperlink>
            <w:r>
              <w:t xml:space="preserve">)</w:t>
            </w:r>
          </w:p>
          <w:p>
            <w:pPr>
              <w:pStyle w:val="Compact"/>
              <w:numPr>
                <w:ilvl w:val="0"/>
                <w:numId w:val="1004"/>
              </w:numPr>
              <w:jc w:val="left"/>
            </w:pPr>
            <w:r>
              <w:t xml:space="preserve">Muster:</w:t>
            </w:r>
            <w:r>
              <w:t xml:space="preserve"> </w:t>
            </w:r>
            <w:r>
              <w:rPr>
                <w:rStyle w:val="VerbatimChar"/>
              </w:rPr>
              <w:t xml:space="preserve">^[A-Z]</w:t>
            </w:r>
          </w:p>
          <w:p>
            <w:pPr>
              <w:pStyle w:val="Compact"/>
              <w:numPr>
                <w:ilvl w:val="0"/>
                <w:numId w:val="1004"/>
              </w:numPr>
              <w:jc w:val="left"/>
            </w:pPr>
            <w:r>
              <w:t xml:space="preserve">Länge: 2–50 Zeichen</w:t>
            </w:r>
          </w:p>
        </w:tc>
        <w:tc>
          <w:tcPr/>
          <w:p>
            <w:pPr>
              <w:pStyle w:val="Compact"/>
              <w:jc w:val="right"/>
            </w:pPr>
            <w:r>
              <w:t xml:space="preserve">1..1</w:t>
            </w:r>
          </w:p>
        </w:tc>
      </w:tr>
      <w:tr>
        <w:tc>
          <w:tcPr/>
          <w:p>
            <w:pPr>
              <w:pStyle w:val="Compact"/>
              <w:jc w:val="left"/>
            </w:pPr>
            <w:r>
              <w:rPr>
                <w:b/>
                <w:bCs/>
              </w:rPr>
              <w:t xml:space="preserve">Teil von</w:t>
            </w:r>
            <w:r>
              <w:t xml:space="preserve"> </w:t>
            </w:r>
            <w:r>
              <w:t xml:space="preserve">(</w:t>
            </w:r>
            <w:hyperlink r:id="rId65">
              <w:r>
                <w:rPr>
                  <w:rStyle w:val="Hyperlink"/>
                </w:rPr>
                <w:t xml:space="preserve">schema:partOf</w:t>
              </w:r>
            </w:hyperlink>
            <w:r>
              <w:t xml:space="preserve">)</w:t>
            </w:r>
          </w:p>
        </w:tc>
        <w:tc>
          <w:tcPr/>
          <w:p>
            <w:pPr>
              <w:pStyle w:val="Compact"/>
              <w:numPr>
                <w:ilvl w:val="0"/>
                <w:numId w:val="1005"/>
              </w:numPr>
              <w:jc w:val="left"/>
            </w:pPr>
            <w:r>
              <w:t xml:space="preserve">Typ:</w:t>
            </w:r>
            <w:r>
              <w:t xml:space="preserve"> </w:t>
            </w:r>
            <w:hyperlink w:anchor="sec-nodeshape-genreshape">
              <w:r>
                <w:rPr>
                  <w:rStyle w:val="Hyperlink"/>
                </w:rPr>
                <w:t xml:space="preserve">Genre</w:t>
              </w:r>
            </w:hyperlink>
          </w:p>
        </w:tc>
        <w:tc>
          <w:tcPr/>
          <w:p>
            <w:pPr>
              <w:pStyle w:val="Compact"/>
              <w:jc w:val="right"/>
            </w:pPr>
            <w:r>
              <w:t xml:space="preserve">0..*</w:t>
            </w:r>
          </w:p>
        </w:tc>
      </w:tr>
      <w:tr>
        <w:tc>
          <w:tcPr/>
          <w:p>
            <w:pPr>
              <w:pStyle w:val="Compact"/>
              <w:jc w:val="left"/>
            </w:pPr>
            <w:r>
              <w:rPr>
                <w:b/>
                <w:bCs/>
              </w:rPr>
              <w:t xml:space="preserve">Alternative Bezeichnung</w:t>
            </w:r>
            <w:r>
              <w:t xml:space="preserve"> </w:t>
            </w:r>
            <w:r>
              <w:t xml:space="preserve">(</w:t>
            </w:r>
            <w:hyperlink r:id="rId66">
              <w:r>
                <w:rPr>
                  <w:rStyle w:val="Hyperlink"/>
                </w:rPr>
                <w:t xml:space="preserve">schema:alternateName</w:t>
              </w:r>
            </w:hyperlink>
            <w:r>
              <w:t xml:space="preserve">):</w:t>
            </w:r>
            <w:r>
              <w:t xml:space="preserve"> </w:t>
            </w:r>
            <w:r>
              <w:t xml:space="preserve">Übersetzte oder umgangssprachliche Bezeichnung des Genres,</w:t>
            </w:r>
            <w:r>
              <w:t xml:space="preserve"> </w:t>
            </w:r>
            <w:r>
              <w:t xml:space="preserve">höchstens eine pro Sprache.</w:t>
            </w:r>
          </w:p>
        </w:tc>
        <w:tc>
          <w:tcPr/>
          <w:p>
            <w:pPr>
              <w:pStyle w:val="Compact"/>
              <w:numPr>
                <w:ilvl w:val="0"/>
                <w:numId w:val="1006"/>
              </w:numPr>
              <w:jc w:val="left"/>
            </w:pPr>
            <w:r>
              <w:t xml:space="preserve">Typ: Sprachabhängiger Text</w:t>
            </w:r>
            <w:r>
              <w:t xml:space="preserve"> </w:t>
            </w:r>
            <w:r>
              <w:t xml:space="preserve">(</w:t>
            </w:r>
            <w:hyperlink r:id="rId67">
              <w:r>
                <w:rPr>
                  <w:rStyle w:val="Hyperlink"/>
                </w:rPr>
                <w:t xml:space="preserve">rdf:langString</w:t>
              </w:r>
            </w:hyperlink>
            <w:r>
              <w:t xml:space="preserve">)</w:t>
            </w:r>
          </w:p>
          <w:p>
            <w:pPr>
              <w:pStyle w:val="Compact"/>
              <w:numPr>
                <w:ilvl w:val="0"/>
                <w:numId w:val="1006"/>
              </w:numPr>
              <w:jc w:val="left"/>
            </w:pPr>
            <w:r>
              <w:t xml:space="preserve">Länge: ≤ 50 Zeichen</w:t>
            </w:r>
          </w:p>
          <w:p>
            <w:pPr>
              <w:pStyle w:val="Compact"/>
              <w:numPr>
                <w:ilvl w:val="0"/>
                <w:numId w:val="1006"/>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 Sprache)</w:t>
            </w:r>
          </w:p>
        </w:tc>
        <w:tc>
          <w:tcPr/>
          <w:p>
            <w:pPr>
              <w:pStyle w:val="Compact"/>
              <w:jc w:val="right"/>
            </w:pPr>
            <w:r>
              <w:t xml:space="preserve">0..*</w:t>
            </w:r>
          </w:p>
        </w:tc>
      </w:tr>
    </w:tbl>
    <w:bookmarkEnd w:id="68"/>
    <w:bookmarkStart w:id="70" w:name="sec-nodeshape-genreshape-rules"/>
    <w:p>
      <w:pPr>
        <w:pStyle w:val="berschrift3"/>
      </w:pPr>
      <w:r>
        <w:t xml:space="preserve">3.1.3 Regeln (SPARQL)</w:t>
      </w:r>
    </w:p>
    <w:bookmarkStart w:id="69" w:name="sec-nodeshape-genreshape-rule-1"/>
    <w:p>
      <w:pPr>
        <w:pStyle w:val="berschrift4"/>
      </w:pPr>
      <w:r>
        <w:t xml:space="preserve">3.1.3.1 Keine zyklische Hierarchie</w:t>
      </w:r>
    </w:p>
    <w:p>
      <w:pPr>
        <w:pStyle w:val="FirstParagraph"/>
      </w:pPr>
      <w:r>
        <w:t xml:space="preserve">Ein Genre darf weder direkt noch transitiv ein Teil von sich selbst sein.</w:t>
      </w:r>
    </w:p>
    <w:p>
      <w:pPr>
        <w:pStyle w:val="SourceCode"/>
      </w:pPr>
      <w:r>
        <w:rPr>
          <w:rStyle w:val="VerbatimChar"/>
        </w:rPr>
        <w:t xml:space="preserve">SELECT $this</w:t>
      </w:r>
      <w:r>
        <w:br/>
      </w:r>
      <w:r>
        <w:rPr>
          <w:rStyle w:val="VerbatimChar"/>
        </w:rPr>
        <w:t xml:space="preserve">WHERE {</w:t>
      </w:r>
      <w:r>
        <w:br/>
      </w:r>
      <w:r>
        <w:rPr>
          <w:rStyle w:val="VerbatimChar"/>
        </w:rPr>
        <w:t xml:space="preserve">    $this schema:partOf+ $this .</w:t>
      </w:r>
      <w:r>
        <w:br/>
      </w:r>
      <w:r>
        <w:rPr>
          <w:rStyle w:val="VerbatimChar"/>
        </w:rPr>
        <w:t xml:space="preserve">}</w:t>
      </w:r>
    </w:p>
    <w:bookmarkEnd w:id="69"/>
    <w:bookmarkEnd w:id="70"/>
    <w:bookmarkEnd w:id="71"/>
    <w:bookmarkStart w:id="79" w:name="sec-nodeshape-musicalbumshape"/>
    <w:p>
      <w:pPr>
        <w:pStyle w:val="berschrift2"/>
      </w:pPr>
      <w:r>
        <w:t xml:space="preserve">3.2 Musikalbum</w:t>
      </w:r>
    </w:p>
    <w:p>
      <w:pPr>
        <w:pStyle w:val="FirstParagraph"/>
      </w:pPr>
      <w:r>
        <w:t xml:space="preserve">Eine Sammlung von Titeln im Chinook-Datensatz.</w:t>
      </w:r>
    </w:p>
    <w:bookmarkStart w:id="75" w:name="sec-nodeshape-musicalbumshape-overview"/>
    <w:p>
      <w:pPr>
        <w:pStyle w:val="berschrift3"/>
      </w:pPr>
      <w:r>
        <w:t xml:space="preserve">3.2.1 Übersicht</w:t>
      </w:r>
    </w:p>
    <w:p>
      <w:pPr>
        <w:pStyle w:val="DefinitionTerm"/>
      </w:pPr>
      <w:r>
        <w:t xml:space="preserve">Shape</w:t>
      </w:r>
    </w:p>
    <w:p>
      <w:pPr>
        <w:pStyle w:val="Definition"/>
      </w:pPr>
      <w:hyperlink r:id="rId72">
        <w:r>
          <w:rPr>
            <w:rStyle w:val="Hyperlink"/>
          </w:rPr>
          <w:t xml:space="preserve">:MusicAlbumShape</w:t>
        </w:r>
      </w:hyperlink>
    </w:p>
    <w:p>
      <w:pPr>
        <w:pStyle w:val="DefinitionTerm"/>
      </w:pPr>
      <w:r>
        <w:t xml:space="preserve">Zielklasse</w:t>
      </w:r>
    </w:p>
    <w:p>
      <w:pPr>
        <w:pStyle w:val="Definition"/>
      </w:pPr>
      <w:hyperlink r:id="rId73">
        <w:r>
          <w:rPr>
            <w:rStyle w:val="Hyperlink"/>
          </w:rPr>
          <w:t xml:space="preserve">schema:MusicAlbum</w:t>
        </w:r>
      </w:hyperlink>
    </w:p>
    <w:p>
      <w:pPr>
        <w:pStyle w:val="DefinitionTerm"/>
      </w:pPr>
      <w:r>
        <w:t xml:space="preserve">Geschlossen</w:t>
      </w:r>
    </w:p>
    <w:p>
      <w:pPr>
        <w:pStyle w:val="Definition"/>
      </w:pPr>
      <w:r>
        <w:t xml:space="preserve">Nein (weitere Eigenschaften zulässig)</w:t>
      </w:r>
    </w:p>
    <w:p>
      <w:pPr>
        <w:pStyle w:val="DefinitionTerm"/>
      </w:pPr>
      <w:r>
        <w:t xml:space="preserve">Kennzahlen</w:t>
      </w:r>
    </w:p>
    <w:p>
      <w:pPr>
        <w:pStyle w:val="Definition"/>
      </w:pPr>
      <w:r>
        <w:t xml:space="preserve">347 Instanzen mit je 5 Tripeln</w:t>
      </w:r>
    </w:p>
    <w:p>
      <w:pPr>
        <w:pStyle w:val="DefinitionTerm"/>
      </w:pPr>
      <w:r>
        <w:t xml:space="preserve">Datenzugriff</w:t>
      </w:r>
    </w:p>
    <w:p>
      <w:pPr>
        <w:pStyle w:val="Definition"/>
      </w:pPr>
      <w:hyperlink r:id="rId74">
        <w:r>
          <w:rPr>
            <w:rStyle w:val="Hyperlink"/>
          </w:rPr>
          <w:t xml:space="preserve">SPARQL-Dienst</w:t>
        </w:r>
      </w:hyperlink>
    </w:p>
    <w:bookmarkEnd w:id="75"/>
    <w:bookmarkStart w:id="78" w:name="sec-nodeshape-musicalbumshape-properties"/>
    <w:p>
      <w:pPr>
        <w:pStyle w:val="berschrift3"/>
      </w:pPr>
      <w:r>
        <w:t xml:space="preserve">3.2.2 Eigenschaften</w:t>
      </w:r>
    </w:p>
    <w:tbl>
      <w:tblPr>
        <w:tblStyle w:val="Table"/>
        <w:tblW w:type="pct" w:w="4961"/>
        <w:tblLayout w:type="fixed"/>
        <w:tblLook w:firstRow="1" w:lastRow="0" w:firstColumn="0" w:lastColumn="0" w:noHBand="0" w:noVBand="0" w:val="0020"/>
      </w:tblPr>
      <w:tblGrid>
        <w:gridCol w:w="3180"/>
        <w:gridCol w:w="3741"/>
        <w:gridCol w:w="935"/>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 Jedes</w:t>
            </w:r>
            <w:r>
              <w:t xml:space="preserve"> </w:t>
            </w:r>
            <w:r>
              <w:t xml:space="preserve">Album muss einen Namen haben.</w:t>
            </w:r>
          </w:p>
        </w:tc>
        <w:tc>
          <w:tcPr/>
          <w:p>
            <w:pPr>
              <w:pStyle w:val="Compact"/>
              <w:numPr>
                <w:ilvl w:val="0"/>
                <w:numId w:val="1007"/>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07"/>
              </w:numPr>
              <w:jc w:val="left"/>
            </w:pPr>
            <w:r>
              <w:t xml:space="preserve">Länge: ≤ 200 Zeichen</w:t>
            </w:r>
          </w:p>
        </w:tc>
        <w:tc>
          <w:tcPr/>
          <w:p>
            <w:pPr>
              <w:pStyle w:val="Compact"/>
              <w:jc w:val="right"/>
            </w:pPr>
            <w:r>
              <w:t xml:space="preserve">1..1</w:t>
            </w:r>
          </w:p>
        </w:tc>
      </w:tr>
      <w:tr>
        <w:tc>
          <w:tcPr/>
          <w:p>
            <w:pPr>
              <w:pStyle w:val="Compact"/>
              <w:jc w:val="left"/>
            </w:pPr>
            <w:r>
              <w:rPr>
                <w:b/>
                <w:bCs/>
              </w:rPr>
              <w:t xml:space="preserve">Künstler</w:t>
            </w:r>
            <w:r>
              <w:t xml:space="preserve"> </w:t>
            </w:r>
            <w:r>
              <w:t xml:space="preserve">(</w:t>
            </w:r>
            <w:hyperlink r:id="rId76">
              <w:r>
                <w:rPr>
                  <w:rStyle w:val="Hyperlink"/>
                </w:rPr>
                <w:t xml:space="preserve">schema:byArtist</w:t>
              </w:r>
            </w:hyperlink>
            <w:r>
              <w:t xml:space="preserve">):</w:t>
            </w:r>
            <w:r>
              <w:t xml:space="preserve"> </w:t>
            </w:r>
            <w:r>
              <w:t xml:space="preserve">Person oder Musikgruppe, die das Album erstellt</w:t>
            </w:r>
            <w:r>
              <w:t xml:space="preserve"> </w:t>
            </w:r>
            <w:r>
              <w:t xml:space="preserve">hat.</w:t>
            </w:r>
          </w:p>
        </w:tc>
        <w:tc>
          <w:tcPr/>
          <w:p>
            <w:pPr>
              <w:pStyle w:val="Compact"/>
              <w:numPr>
                <w:ilvl w:val="0"/>
                <w:numId w:val="1008"/>
              </w:numPr>
              <w:jc w:val="left"/>
            </w:pPr>
            <w:r>
              <w:t xml:space="preserve">Typ:</w:t>
            </w:r>
            <w:r>
              <w:t xml:space="preserve"> </w:t>
            </w:r>
            <w:hyperlink w:anchor="sec-nodeshape-personshape">
              <w:r>
                <w:rPr>
                  <w:rStyle w:val="Hyperlink"/>
                </w:rPr>
                <w:t xml:space="preserve">Person</w:t>
              </w:r>
            </w:hyperlink>
            <w:r>
              <w:t xml:space="preserve"> </w:t>
            </w:r>
            <w:r>
              <w:t xml:space="preserve">oder</w:t>
            </w:r>
            <w:r>
              <w:t xml:space="preserve"> </w:t>
            </w:r>
            <w:hyperlink r:id="rId77">
              <w:r>
                <w:rPr>
                  <w:rStyle w:val="Hyperlink"/>
                </w:rPr>
                <w:t xml:space="preserve">schema:MusicGroup</w:t>
              </w:r>
            </w:hyperlink>
          </w:p>
        </w:tc>
        <w:tc>
          <w:tcPr/>
          <w:p>
            <w:pPr>
              <w:pStyle w:val="Compact"/>
              <w:jc w:val="right"/>
            </w:pPr>
            <w:r>
              <w:t xml:space="preserve">0..*</w:t>
            </w:r>
          </w:p>
        </w:tc>
      </w:tr>
    </w:tbl>
    <w:bookmarkEnd w:id="78"/>
    <w:bookmarkEnd w:id="79"/>
    <w:bookmarkStart w:id="101" w:name="sec-nodeshape-trackshape"/>
    <w:p>
      <w:pPr>
        <w:pStyle w:val="berschrift2"/>
      </w:pPr>
      <w:r>
        <w:t xml:space="preserve">3.3 Musikaufnahme</w:t>
      </w:r>
    </w:p>
    <w:p>
      <w:pPr>
        <w:pStyle w:val="FirstParagraph"/>
      </w:pPr>
      <w:r>
        <w:t xml:space="preserve">Ein einzelner Musiktitel im Chinook-Datensatz.</w:t>
      </w:r>
    </w:p>
    <w:bookmarkStart w:id="83" w:name="sec-nodeshape-trackshape-overview"/>
    <w:p>
      <w:pPr>
        <w:pStyle w:val="berschrift3"/>
      </w:pPr>
      <w:r>
        <w:t xml:space="preserve">3.3.1 Übersicht</w:t>
      </w:r>
    </w:p>
    <w:p>
      <w:pPr>
        <w:pStyle w:val="DefinitionTerm"/>
      </w:pPr>
      <w:r>
        <w:t xml:space="preserve">Shape</w:t>
      </w:r>
    </w:p>
    <w:p>
      <w:pPr>
        <w:pStyle w:val="Definition"/>
      </w:pPr>
      <w:hyperlink r:id="rId80">
        <w:r>
          <w:rPr>
            <w:rStyle w:val="Hyperlink"/>
          </w:rPr>
          <w:t xml:space="preserve">:TrackShape</w:t>
        </w:r>
      </w:hyperlink>
    </w:p>
    <w:p>
      <w:pPr>
        <w:pStyle w:val="DefinitionTerm"/>
      </w:pPr>
      <w:r>
        <w:t xml:space="preserve">Zielklasse</w:t>
      </w:r>
    </w:p>
    <w:p>
      <w:pPr>
        <w:pStyle w:val="Definition"/>
      </w:pPr>
      <w:hyperlink r:id="rId81">
        <w:r>
          <w:rPr>
            <w:rStyle w:val="Hyperlink"/>
          </w:rPr>
          <w:t xml:space="preserve">schema:MusicRecording</w:t>
        </w:r>
      </w:hyperlink>
    </w:p>
    <w:p>
      <w:pPr>
        <w:pStyle w:val="DefinitionTerm"/>
      </w:pPr>
      <w:r>
        <w:t xml:space="preserve">Geschlossen</w:t>
      </w:r>
    </w:p>
    <w:p>
      <w:pPr>
        <w:pStyle w:val="Definition"/>
      </w:pPr>
      <w:r>
        <w:t xml:space="preserve">Nein (weitere Eigenschaften zulässig)</w:t>
      </w:r>
    </w:p>
    <w:p>
      <w:pPr>
        <w:pStyle w:val="DefinitionTerm"/>
      </w:pPr>
      <w:r>
        <w:t xml:space="preserve">Kennzahlen</w:t>
      </w:r>
    </w:p>
    <w:p>
      <w:pPr>
        <w:pStyle w:val="Definition"/>
      </w:pPr>
      <w:r>
        <w:t xml:space="preserve">3503 Instanzen mit je 10 bis 15 Tripeln (im Mittel 11.1)</w:t>
      </w:r>
    </w:p>
    <w:p>
      <w:pPr>
        <w:pStyle w:val="DefinitionTerm"/>
      </w:pPr>
      <w:r>
        <w:t xml:space="preserve">Datenzugriff</w:t>
      </w:r>
    </w:p>
    <w:p>
      <w:pPr>
        <w:pStyle w:val="Definition"/>
      </w:pPr>
      <w:hyperlink r:id="rId82">
        <w:r>
          <w:rPr>
            <w:rStyle w:val="Hyperlink"/>
          </w:rPr>
          <w:t xml:space="preserve">SPARQL-Dienst</w:t>
        </w:r>
      </w:hyperlink>
    </w:p>
    <w:bookmarkEnd w:id="83"/>
    <w:bookmarkStart w:id="100" w:name="sec-nodeshape-trackshape-properties"/>
    <w:p>
      <w:pPr>
        <w:pStyle w:val="berschrift3"/>
      </w:pPr>
      <w:r>
        <w:t xml:space="preserve">3.3.2 Eigenschaften</w:t>
      </w:r>
    </w:p>
    <w:tbl>
      <w:tblPr>
        <w:tblStyle w:val="Table"/>
        <w:tblW w:type="pct" w:w="4967"/>
        <w:tblLayout w:type="fixed"/>
        <w:tblLook w:firstRow="1" w:lastRow="0" w:firstColumn="0" w:lastColumn="0" w:noHBand="0" w:noVBand="0" w:val="0020"/>
      </w:tblPr>
      <w:tblGrid>
        <w:gridCol w:w="3261"/>
        <w:gridCol w:w="3830"/>
        <w:gridCol w:w="77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 Jeder</w:t>
            </w:r>
            <w:r>
              <w:t xml:space="preserve"> </w:t>
            </w:r>
            <w:r>
              <w:t xml:space="preserve">Titel muss einen Namen haben.</w:t>
            </w:r>
          </w:p>
        </w:tc>
        <w:tc>
          <w:tcPr/>
          <w:p>
            <w:pPr>
              <w:pStyle w:val="Compact"/>
              <w:numPr>
                <w:ilvl w:val="0"/>
                <w:numId w:val="1009"/>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09"/>
              </w:numPr>
              <w:jc w:val="left"/>
            </w:pPr>
            <w:r>
              <w:t xml:space="preserve">Länge: 1–200 Zeichen</w:t>
            </w:r>
          </w:p>
        </w:tc>
        <w:tc>
          <w:tcPr/>
          <w:p>
            <w:pPr>
              <w:pStyle w:val="Compact"/>
              <w:jc w:val="right"/>
            </w:pPr>
            <w:r>
              <w:t xml:space="preserve">1..1</w:t>
            </w:r>
          </w:p>
        </w:tc>
      </w:tr>
      <w:tr>
        <w:tc>
          <w:tcPr/>
          <w:p>
            <w:pPr>
              <w:pStyle w:val="Compact"/>
              <w:jc w:val="left"/>
            </w:pPr>
            <w:r>
              <w:rPr>
                <w:b/>
                <w:bCs/>
              </w:rPr>
              <w:t xml:space="preserve">In Album</w:t>
            </w:r>
            <w:r>
              <w:t xml:space="preserve"> </w:t>
            </w:r>
            <w:r>
              <w:t xml:space="preserve">(</w:t>
            </w:r>
            <w:hyperlink r:id="rId84">
              <w:r>
                <w:rPr>
                  <w:rStyle w:val="Hyperlink"/>
                </w:rPr>
                <w:t xml:space="preserve">schema:inAlbum</w:t>
              </w:r>
            </w:hyperlink>
            <w:r>
              <w:t xml:space="preserve">):</w:t>
            </w:r>
            <w:r>
              <w:t xml:space="preserve"> </w:t>
            </w:r>
            <w:r>
              <w:t xml:space="preserve">Ein Titel kann nur zu einem gültigen schema:MusicAlbum</w:t>
            </w:r>
            <w:r>
              <w:t xml:space="preserve"> </w:t>
            </w:r>
            <w:r>
              <w:t xml:space="preserve">gehören.</w:t>
            </w:r>
          </w:p>
        </w:tc>
        <w:tc>
          <w:tcPr/>
          <w:p>
            <w:pPr>
              <w:pStyle w:val="Compact"/>
              <w:numPr>
                <w:ilvl w:val="0"/>
                <w:numId w:val="1010"/>
              </w:numPr>
              <w:jc w:val="left"/>
            </w:pPr>
            <w:r>
              <w:t xml:space="preserve">Typ:</w:t>
            </w:r>
            <w:r>
              <w:t xml:space="preserve"> </w:t>
            </w:r>
            <w:hyperlink w:anchor="sec-nodeshape-musicalbumshape">
              <w:r>
                <w:rPr>
                  <w:rStyle w:val="Hyperlink"/>
                </w:rPr>
                <w:t xml:space="preserve">Musikalbum</w:t>
              </w:r>
            </w:hyperlink>
          </w:p>
        </w:tc>
        <w:tc>
          <w:tcPr/>
          <w:p>
            <w:pPr>
              <w:pStyle w:val="Compact"/>
              <w:jc w:val="right"/>
            </w:pPr>
            <w:r>
              <w:t xml:space="preserve">0..*</w:t>
            </w:r>
          </w:p>
        </w:tc>
      </w:tr>
      <w:tr>
        <w:tc>
          <w:tcPr/>
          <w:p>
            <w:pPr>
              <w:pStyle w:val="Compact"/>
              <w:jc w:val="left"/>
            </w:pPr>
            <w:r>
              <w:rPr>
                <w:b/>
                <w:bCs/>
              </w:rPr>
              <w:t xml:space="preserve">Autor</w:t>
            </w:r>
            <w:r>
              <w:t xml:space="preserve"> </w:t>
            </w:r>
            <w:r>
              <w:t xml:space="preserve">(</w:t>
            </w:r>
            <w:hyperlink r:id="rId85">
              <w:r>
                <w:rPr>
                  <w:rStyle w:val="Hyperlink"/>
                </w:rPr>
                <w:t xml:space="preserve">schema:author</w:t>
              </w:r>
            </w:hyperlink>
            <w:r>
              <w:t xml:space="preserve">): Die</w:t>
            </w:r>
            <w:r>
              <w:t xml:space="preserve"> </w:t>
            </w:r>
            <w:r>
              <w:t xml:space="preserve">Person oder Gruppe, die den Titel geschrieben hat.</w:t>
            </w:r>
          </w:p>
        </w:tc>
        <w:tc>
          <w:tcPr/>
          <w:p>
            <w:pPr>
              <w:pStyle w:val="Compact"/>
            </w:pPr>
          </w:p>
        </w:tc>
        <w:tc>
          <w:tcPr/>
          <w:p>
            <w:pPr>
              <w:pStyle w:val="Compact"/>
              <w:jc w:val="right"/>
            </w:pPr>
            <w:r>
              <w:t xml:space="preserve">0..*</w:t>
            </w:r>
          </w:p>
        </w:tc>
      </w:tr>
      <w:tr>
        <w:tc>
          <w:tcPr/>
          <w:p>
            <w:pPr>
              <w:pStyle w:val="Compact"/>
              <w:jc w:val="left"/>
            </w:pPr>
            <w:r>
              <w:rPr>
                <w:b/>
                <w:bCs/>
              </w:rPr>
              <w:t xml:space="preserve">Genre</w:t>
            </w:r>
            <w:r>
              <w:t xml:space="preserve"> </w:t>
            </w:r>
            <w:r>
              <w:t xml:space="preserve">(</w:t>
            </w:r>
            <w:hyperlink r:id="rId86">
              <w:r>
                <w:rPr>
                  <w:rStyle w:val="Hyperlink"/>
                </w:rPr>
                <w:t xml:space="preserve">schema:genre</w:t>
              </w:r>
            </w:hyperlink>
            <w:r>
              <w:t xml:space="preserve">)</w:t>
            </w:r>
          </w:p>
        </w:tc>
        <w:tc>
          <w:tcPr/>
          <w:p>
            <w:pPr>
              <w:pStyle w:val="Compact"/>
              <w:numPr>
                <w:ilvl w:val="0"/>
                <w:numId w:val="1011"/>
              </w:numPr>
              <w:jc w:val="left"/>
            </w:pPr>
            <w:r>
              <w:t xml:space="preserve">Typ:</w:t>
            </w:r>
            <w:r>
              <w:t xml:space="preserve"> </w:t>
            </w:r>
            <w:hyperlink w:anchor="sec-nodeshape-genreshape">
              <w:r>
                <w:rPr>
                  <w:rStyle w:val="Hyperlink"/>
                </w:rPr>
                <w:t xml:space="preserve">Genre</w:t>
              </w:r>
            </w:hyperlink>
          </w:p>
        </w:tc>
        <w:tc>
          <w:tcPr/>
          <w:p>
            <w:pPr>
              <w:pStyle w:val="Compact"/>
              <w:jc w:val="right"/>
            </w:pPr>
            <w:r>
              <w:t xml:space="preserve">1..1</w:t>
            </w:r>
          </w:p>
        </w:tc>
      </w:tr>
      <w:tr>
        <w:tc>
          <w:tcPr/>
          <w:p>
            <w:pPr>
              <w:pStyle w:val="Compact"/>
              <w:jc w:val="left"/>
            </w:pPr>
            <w:r>
              <w:rPr>
                <w:b/>
                <w:bCs/>
              </w:rPr>
              <w:t xml:space="preserve">Medientyp</w:t>
            </w:r>
            <w:r>
              <w:t xml:space="preserve"> </w:t>
            </w:r>
            <w:r>
              <w:t xml:space="preserve">(</w:t>
            </w:r>
            <w:hyperlink r:id="rId87">
              <w:r>
                <w:rPr>
                  <w:rStyle w:val="Hyperlink"/>
                </w:rPr>
                <w:t xml:space="preserve">schema:encodingFormat</w:t>
              </w:r>
            </w:hyperlink>
            <w:r>
              <w:t xml:space="preserve">):</w:t>
            </w:r>
            <w:r>
              <w:t xml:space="preserve"> </w:t>
            </w:r>
            <w:r>
              <w:t xml:space="preserve">Das Dateiformat des Titels als Code der Codeliste</w:t>
            </w:r>
            <w:r>
              <w:t xml:space="preserve"> </w:t>
            </w:r>
            <w:r>
              <w:t xml:space="preserve">Medientypen.</w:t>
            </w:r>
          </w:p>
        </w:tc>
        <w:tc>
          <w:tcPr/>
          <w:p>
            <w:pPr>
              <w:pStyle w:val="Compact"/>
              <w:numPr>
                <w:ilvl w:val="0"/>
                <w:numId w:val="1012"/>
              </w:numPr>
              <w:jc w:val="left"/>
            </w:pPr>
            <w:r>
              <w:t xml:space="preserve">Typ:</w:t>
            </w:r>
            <w:r>
              <w:t xml:space="preserve"> </w:t>
            </w:r>
            <w:hyperlink r:id="rId88">
              <w:r>
                <w:rPr>
                  <w:rStyle w:val="Hyperlink"/>
                </w:rPr>
                <w:t xml:space="preserve">schema:CategoryCode</w:t>
              </w:r>
            </w:hyperlink>
            <w:r>
              <w:t xml:space="preserve"> </w:t>
            </w:r>
            <w:r>
              <w:t xml:space="preserve">mit</w:t>
            </w:r>
            <w:r>
              <w:t xml:space="preserve"> </w:t>
            </w:r>
            <w:r>
              <w:t xml:space="preserve">folgender Auswahl:</w:t>
            </w:r>
          </w:p>
          <w:p>
            <w:pPr>
              <w:pStyle w:val="Compact"/>
              <w:numPr>
                <w:ilvl w:val="1"/>
                <w:numId w:val="1013"/>
              </w:numPr>
              <w:jc w:val="left"/>
            </w:pPr>
            <w:r>
              <w:t xml:space="preserve">MPEG-Audiodatei</w:t>
            </w:r>
            <w:r>
              <w:t xml:space="preserve"> </w:t>
            </w:r>
            <w:r>
              <w:t xml:space="preserve">(</w:t>
            </w:r>
            <w:hyperlink r:id="rId89">
              <w:r>
                <w:rPr>
                  <w:rStyle w:val="Hyperlink"/>
                </w:rPr>
                <w:t xml:space="preserve">media:1</w:t>
              </w:r>
            </w:hyperlink>
            <w:r>
              <w:t xml:space="preserve">)</w:t>
            </w:r>
          </w:p>
          <w:p>
            <w:pPr>
              <w:pStyle w:val="Compact"/>
              <w:numPr>
                <w:ilvl w:val="1"/>
                <w:numId w:val="1013"/>
              </w:numPr>
              <w:jc w:val="left"/>
            </w:pPr>
            <w:r>
              <w:t xml:space="preserve">Geschützte AAC-Audiodatei</w:t>
            </w:r>
            <w:r>
              <w:t xml:space="preserve"> </w:t>
            </w:r>
            <w:r>
              <w:t xml:space="preserve">(</w:t>
            </w:r>
            <w:hyperlink r:id="rId90">
              <w:r>
                <w:rPr>
                  <w:rStyle w:val="Hyperlink"/>
                </w:rPr>
                <w:t xml:space="preserve">media:2</w:t>
              </w:r>
            </w:hyperlink>
            <w:r>
              <w:t xml:space="preserve">)</w:t>
            </w:r>
          </w:p>
          <w:p>
            <w:pPr>
              <w:pStyle w:val="Compact"/>
              <w:numPr>
                <w:ilvl w:val="1"/>
                <w:numId w:val="1013"/>
              </w:numPr>
              <w:jc w:val="left"/>
            </w:pPr>
            <w:r>
              <w:t xml:space="preserve">Geschützte MPEG-4-Videodatei</w:t>
            </w:r>
            <w:r>
              <w:t xml:space="preserve"> </w:t>
            </w:r>
            <w:r>
              <w:t xml:space="preserve">(</w:t>
            </w:r>
            <w:hyperlink r:id="rId91">
              <w:r>
                <w:rPr>
                  <w:rStyle w:val="Hyperlink"/>
                </w:rPr>
                <w:t xml:space="preserve">media:3</w:t>
              </w:r>
            </w:hyperlink>
            <w:r>
              <w:t xml:space="preserve">)</w:t>
            </w:r>
          </w:p>
          <w:p>
            <w:pPr>
              <w:pStyle w:val="Compact"/>
              <w:numPr>
                <w:ilvl w:val="1"/>
                <w:numId w:val="1013"/>
              </w:numPr>
              <w:jc w:val="left"/>
            </w:pPr>
            <w:r>
              <w:t xml:space="preserve">Gekaufte AAC-Audiodatei</w:t>
            </w:r>
            <w:r>
              <w:t xml:space="preserve"> </w:t>
            </w:r>
            <w:r>
              <w:t xml:space="preserve">(</w:t>
            </w:r>
            <w:hyperlink r:id="rId92">
              <w:r>
                <w:rPr>
                  <w:rStyle w:val="Hyperlink"/>
                </w:rPr>
                <w:t xml:space="preserve">media:4</w:t>
              </w:r>
            </w:hyperlink>
            <w:r>
              <w:t xml:space="preserve">)</w:t>
            </w:r>
          </w:p>
          <w:p>
            <w:pPr>
              <w:pStyle w:val="Compact"/>
              <w:numPr>
                <w:ilvl w:val="1"/>
                <w:numId w:val="1013"/>
              </w:numPr>
              <w:jc w:val="left"/>
            </w:pPr>
            <w:r>
              <w:t xml:space="preserve">AAC-Audiodatei</w:t>
            </w:r>
            <w:r>
              <w:t xml:space="preserve"> </w:t>
            </w:r>
            <w:r>
              <w:t xml:space="preserve">(</w:t>
            </w:r>
            <w:hyperlink r:id="rId93">
              <w:r>
                <w:rPr>
                  <w:rStyle w:val="Hyperlink"/>
                </w:rPr>
                <w:t xml:space="preserve">media:5</w:t>
              </w:r>
            </w:hyperlink>
            <w:r>
              <w:t xml:space="preserve">)</w:t>
            </w:r>
          </w:p>
          <w:p>
            <w:pPr>
              <w:pStyle w:val="Compact"/>
              <w:numPr>
                <w:ilvl w:val="0"/>
                <w:numId w:val="1000"/>
              </w:numPr>
              <w:jc w:val="left"/>
            </w:pPr>
            <w:r>
              <w:t xml:space="preserve">Siehe Codeliste</w:t>
            </w:r>
            <w:r>
              <w:t xml:space="preserve"> </w:t>
            </w:r>
            <w:hyperlink w:anchor="sec-codelist-mediatypes">
              <w:r>
                <w:rPr>
                  <w:rStyle w:val="Hyperlink"/>
                </w:rPr>
                <w:t xml:space="preserve">Medientypen</w:t>
              </w:r>
            </w:hyperlink>
          </w:p>
        </w:tc>
        <w:tc>
          <w:tcPr/>
          <w:p>
            <w:pPr>
              <w:pStyle w:val="Compact"/>
              <w:jc w:val="right"/>
            </w:pPr>
            <w:r>
              <w:t xml:space="preserve">1..1</w:t>
            </w:r>
          </w:p>
        </w:tc>
      </w:tr>
      <w:tr>
        <w:tc>
          <w:tcPr/>
          <w:p>
            <w:pPr>
              <w:pStyle w:val="Compact"/>
              <w:jc w:val="left"/>
            </w:pPr>
            <w:r>
              <w:rPr>
                <w:b/>
                <w:bCs/>
              </w:rPr>
              <w:t xml:space="preserve">Dauer</w:t>
            </w:r>
            <w:r>
              <w:t xml:space="preserve"> </w:t>
            </w:r>
            <w:r>
              <w:t xml:space="preserve">(</w:t>
            </w:r>
            <w:hyperlink r:id="rId94">
              <w:r>
                <w:rPr>
                  <w:rStyle w:val="Hyperlink"/>
                </w:rPr>
                <w:t xml:space="preserve">schema:duration</w:t>
              </w:r>
            </w:hyperlink>
            <w:r>
              <w:t xml:space="preserve">):</w:t>
            </w:r>
            <w:r>
              <w:t xml:space="preserve"> </w:t>
            </w:r>
            <w:r>
              <w:t xml:space="preserve">Die Dauer des Titels als quantitativer Wert in Millisekunden</w:t>
            </w:r>
            <w:r>
              <w:t xml:space="preserve"> </w:t>
            </w:r>
            <w:r>
              <w:t xml:space="preserve">mit einem Wert grösser als null.</w:t>
            </w:r>
          </w:p>
        </w:tc>
        <w:tc>
          <w:tcPr/>
          <w:p>
            <w:pPr>
              <w:pStyle w:val="Compact"/>
              <w:numPr>
                <w:ilvl w:val="0"/>
                <w:numId w:val="1014"/>
              </w:numPr>
              <w:jc w:val="left"/>
            </w:pPr>
            <w:r>
              <w:t xml:space="preserve">Typ:</w:t>
            </w:r>
            <w:r>
              <w:t xml:space="preserve"> </w:t>
            </w:r>
            <w:hyperlink w:anchor="sec-nodeshape-quantitativevalueshape">
              <w:r>
                <w:rPr>
                  <w:rStyle w:val="Hyperlink"/>
                </w:rPr>
                <w:t xml:space="preserve">Quantitativer Wert</w:t>
              </w:r>
            </w:hyperlink>
            <w:r>
              <w:t xml:space="preserve"> </w:t>
            </w:r>
            <w:r>
              <w:t xml:space="preserve">mit</w:t>
            </w:r>
            <w:r>
              <w:t xml:space="preserve"> </w:t>
            </w:r>
            <w:r>
              <w:t xml:space="preserve">folgenden Einschränkungen:</w:t>
            </w:r>
          </w:p>
          <w:p>
            <w:pPr>
              <w:pStyle w:val="Compact"/>
              <w:numPr>
                <w:ilvl w:val="1"/>
                <w:numId w:val="1015"/>
              </w:numPr>
              <w:jc w:val="left"/>
            </w:pPr>
            <w:r>
              <w:t xml:space="preserve">Einheitencode (</w:t>
            </w:r>
            <w:hyperlink r:id="rId95">
              <w:r>
                <w:rPr>
                  <w:rStyle w:val="Hyperlink"/>
                </w:rPr>
                <w:t xml:space="preserve">schema:unitCode</w:t>
              </w:r>
            </w:hyperlink>
            <w:r>
              <w:t xml:space="preserve">):</w:t>
            </w:r>
            <w:r>
              <w:t xml:space="preserve"> </w:t>
            </w:r>
            <w:r>
              <w:t xml:space="preserve">Pflichtwert</w:t>
            </w:r>
            <w:r>
              <w:t xml:space="preserve"> </w:t>
            </w:r>
            <w:hyperlink r:id="rId96">
              <w:r>
                <w:rPr>
                  <w:rStyle w:val="Hyperlink"/>
                </w:rPr>
                <w:t xml:space="preserve">unit:MilliSEC</w:t>
              </w:r>
            </w:hyperlink>
          </w:p>
          <w:p>
            <w:pPr>
              <w:pStyle w:val="Compact"/>
              <w:numPr>
                <w:ilvl w:val="1"/>
                <w:numId w:val="1015"/>
              </w:numPr>
              <w:jc w:val="left"/>
            </w:pPr>
            <w:r>
              <w:t xml:space="preserve">Wert (</w:t>
            </w:r>
            <w:hyperlink r:id="rId97">
              <w:r>
                <w:rPr>
                  <w:rStyle w:val="Hyperlink"/>
                </w:rPr>
                <w:t xml:space="preserve">schema:value</w:t>
              </w:r>
            </w:hyperlink>
            <w:r>
              <w:t xml:space="preserve">): Wertebereich &gt; 0</w:t>
            </w:r>
          </w:p>
        </w:tc>
        <w:tc>
          <w:tcPr/>
          <w:p>
            <w:pPr>
              <w:pStyle w:val="Compact"/>
              <w:jc w:val="right"/>
            </w:pPr>
            <w:r>
              <w:t xml:space="preserve">1..1</w:t>
            </w:r>
          </w:p>
        </w:tc>
      </w:tr>
      <w:tr>
        <w:tc>
          <w:tcPr/>
          <w:p>
            <w:pPr>
              <w:pStyle w:val="Compact"/>
              <w:jc w:val="left"/>
            </w:pPr>
            <w:r>
              <w:rPr>
                <w:b/>
                <w:bCs/>
              </w:rPr>
              <w:t xml:space="preserve">Dateigrösse</w:t>
            </w:r>
            <w:r>
              <w:t xml:space="preserve"> </w:t>
            </w:r>
            <w:r>
              <w:t xml:space="preserve">(</w:t>
            </w:r>
            <w:hyperlink r:id="rId98">
              <w:r>
                <w:rPr>
                  <w:rStyle w:val="Hyperlink"/>
                </w:rPr>
                <w:t xml:space="preserve">schema:contentSize</w:t>
              </w:r>
            </w:hyperlink>
            <w:r>
              <w:t xml:space="preserve">): Die</w:t>
            </w:r>
            <w:r>
              <w:t xml:space="preserve"> </w:t>
            </w:r>
            <w:r>
              <w:t xml:space="preserve">Dateigrösse des Titels als quantitativer Wert in Byte mit</w:t>
            </w:r>
            <w:r>
              <w:t xml:space="preserve"> </w:t>
            </w:r>
            <w:r>
              <w:t xml:space="preserve">einem Wert grösser als null.</w:t>
            </w:r>
          </w:p>
        </w:tc>
        <w:tc>
          <w:tcPr/>
          <w:p>
            <w:pPr>
              <w:pStyle w:val="Compact"/>
              <w:numPr>
                <w:ilvl w:val="0"/>
                <w:numId w:val="1016"/>
              </w:numPr>
              <w:jc w:val="left"/>
            </w:pPr>
            <w:r>
              <w:t xml:space="preserve">Typ:</w:t>
            </w:r>
            <w:r>
              <w:t xml:space="preserve"> </w:t>
            </w:r>
            <w:hyperlink w:anchor="sec-nodeshape-quantitativevalueshape">
              <w:r>
                <w:rPr>
                  <w:rStyle w:val="Hyperlink"/>
                </w:rPr>
                <w:t xml:space="preserve">Quantitativer Wert</w:t>
              </w:r>
            </w:hyperlink>
            <w:r>
              <w:t xml:space="preserve"> </w:t>
            </w:r>
            <w:r>
              <w:t xml:space="preserve">mit</w:t>
            </w:r>
            <w:r>
              <w:t xml:space="preserve"> </w:t>
            </w:r>
            <w:r>
              <w:t xml:space="preserve">folgenden Einschränkungen:</w:t>
            </w:r>
          </w:p>
          <w:p>
            <w:pPr>
              <w:pStyle w:val="Compact"/>
              <w:numPr>
                <w:ilvl w:val="1"/>
                <w:numId w:val="1017"/>
              </w:numPr>
              <w:jc w:val="left"/>
            </w:pPr>
            <w:r>
              <w:t xml:space="preserve">Einheitencode (</w:t>
            </w:r>
            <w:hyperlink r:id="rId95">
              <w:r>
                <w:rPr>
                  <w:rStyle w:val="Hyperlink"/>
                </w:rPr>
                <w:t xml:space="preserve">schema:unitCode</w:t>
              </w:r>
            </w:hyperlink>
            <w:r>
              <w:t xml:space="preserve">):</w:t>
            </w:r>
            <w:r>
              <w:t xml:space="preserve"> </w:t>
            </w:r>
            <w:r>
              <w:t xml:space="preserve">Pflichtwert</w:t>
            </w:r>
            <w:r>
              <w:t xml:space="preserve"> </w:t>
            </w:r>
            <w:hyperlink r:id="rId99">
              <w:r>
                <w:rPr>
                  <w:rStyle w:val="Hyperlink"/>
                </w:rPr>
                <w:t xml:space="preserve">unit:BYTE</w:t>
              </w:r>
            </w:hyperlink>
          </w:p>
          <w:p>
            <w:pPr>
              <w:pStyle w:val="Compact"/>
              <w:numPr>
                <w:ilvl w:val="1"/>
                <w:numId w:val="1017"/>
              </w:numPr>
              <w:jc w:val="left"/>
            </w:pPr>
            <w:r>
              <w:t xml:space="preserve">Wert (</w:t>
            </w:r>
            <w:hyperlink r:id="rId97">
              <w:r>
                <w:rPr>
                  <w:rStyle w:val="Hyperlink"/>
                </w:rPr>
                <w:t xml:space="preserve">schema:value</w:t>
              </w:r>
            </w:hyperlink>
            <w:r>
              <w:t xml:space="preserve">): Wertebereich &gt; 0</w:t>
            </w:r>
          </w:p>
        </w:tc>
        <w:tc>
          <w:tcPr/>
          <w:p>
            <w:pPr>
              <w:pStyle w:val="Compact"/>
              <w:jc w:val="right"/>
            </w:pPr>
            <w:r>
              <w:t xml:space="preserve">1..1</w:t>
            </w:r>
          </w:p>
        </w:tc>
      </w:tr>
    </w:tbl>
    <w:bookmarkEnd w:id="100"/>
    <w:bookmarkEnd w:id="101"/>
    <w:bookmarkStart w:id="106" w:name="sec-nodeshape-organisationshape"/>
    <w:p>
      <w:pPr>
        <w:pStyle w:val="berschrift2"/>
      </w:pPr>
      <w:r>
        <w:t xml:space="preserve">3.4 Organisation</w:t>
      </w:r>
    </w:p>
    <w:p>
      <w:pPr>
        <w:pStyle w:val="FirstParagraph"/>
      </w:pPr>
      <w:r>
        <w:t xml:space="preserve">Ein Unternehmen oder eine Organisation im Chinook-Datensatz.</w:t>
      </w:r>
    </w:p>
    <w:bookmarkStart w:id="104" w:name="sec-nodeshape-organisationshape-overview"/>
    <w:p>
      <w:pPr>
        <w:pStyle w:val="berschrift3"/>
      </w:pPr>
      <w:r>
        <w:t xml:space="preserve">3.4.1 Übersicht</w:t>
      </w:r>
    </w:p>
    <w:p>
      <w:pPr>
        <w:pStyle w:val="DefinitionTerm"/>
      </w:pPr>
      <w:r>
        <w:t xml:space="preserve">Shape</w:t>
      </w:r>
    </w:p>
    <w:p>
      <w:pPr>
        <w:pStyle w:val="Definition"/>
      </w:pPr>
      <w:hyperlink r:id="rId102">
        <w:r>
          <w:rPr>
            <w:rStyle w:val="Hyperlink"/>
          </w:rPr>
          <w:t xml:space="preserve">:OrganisationShape</w:t>
        </w:r>
      </w:hyperlink>
    </w:p>
    <w:p>
      <w:pPr>
        <w:pStyle w:val="DefinitionTerm"/>
      </w:pPr>
      <w:r>
        <w:t xml:space="preserve">Zielklasse</w:t>
      </w:r>
    </w:p>
    <w:p>
      <w:pPr>
        <w:pStyle w:val="Definition"/>
      </w:pPr>
      <w:hyperlink r:id="rId103">
        <w:r>
          <w:rPr>
            <w:rStyle w:val="Hyperlink"/>
          </w:rPr>
          <w:t xml:space="preserve">schema:Organisation</w:t>
        </w:r>
      </w:hyperlink>
    </w:p>
    <w:p>
      <w:pPr>
        <w:pStyle w:val="DefinitionTerm"/>
      </w:pPr>
      <w:r>
        <w:t xml:space="preserve">Geschlossen</w:t>
      </w:r>
    </w:p>
    <w:p>
      <w:pPr>
        <w:pStyle w:val="Definition"/>
      </w:pPr>
      <w:r>
        <w:t xml:space="preserve">Nein (weitere Eigenschaften zulässig)</w:t>
      </w:r>
    </w:p>
    <w:p>
      <w:pPr>
        <w:pStyle w:val="DefinitionTerm"/>
      </w:pPr>
      <w:r>
        <w:t xml:space="preserve">Datenzugriff</w:t>
      </w:r>
    </w:p>
    <w:p>
      <w:pPr>
        <w:pStyle w:val="Definition"/>
      </w:pPr>
      <w:r>
        <w:t xml:space="preserve">Keiner (Transaktionsdaten, nicht Teil des publizierten Graphen)</w:t>
      </w:r>
    </w:p>
    <w:bookmarkEnd w:id="104"/>
    <w:bookmarkStart w:id="105" w:name="X694231572673875c8b98e55f859590bf822fedc"/>
    <w:p>
      <w:pPr>
        <w:pStyle w:val="berschrift3"/>
      </w:pPr>
      <w:r>
        <w:t xml:space="preserve">3.4.2 Eigenschaften</w:t>
      </w:r>
    </w:p>
    <w:tbl>
      <w:tblPr>
        <w:tblStyle w:val="Table"/>
        <w:tblW w:type="pct" w:w="4958"/>
        <w:tblLayout w:type="fixed"/>
        <w:tblLook w:firstRow="1" w:lastRow="0" w:firstColumn="0" w:lastColumn="0" w:noHBand="0" w:noVBand="0" w:val="0020"/>
      </w:tblPr>
      <w:tblGrid>
        <w:gridCol w:w="2861"/>
        <w:gridCol w:w="3993"/>
        <w:gridCol w:w="998"/>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hyperlink r:id="rId63">
              <w:r>
                <w:rPr>
                  <w:rStyle w:val="Hyperlink"/>
                </w:rPr>
                <w:t xml:space="preserve">schema:name</w:t>
              </w:r>
            </w:hyperlink>
            <w:r>
              <w:t xml:space="preserve">):</w:t>
            </w:r>
            <w:r>
              <w:t xml:space="preserve"> </w:t>
            </w:r>
            <w:r>
              <w:t xml:space="preserve">Jede Organisation muss einen Namen</w:t>
            </w:r>
            <w:r>
              <w:t xml:space="preserve"> </w:t>
            </w:r>
            <w:r>
              <w:t xml:space="preserve">haben.</w:t>
            </w:r>
          </w:p>
        </w:tc>
        <w:tc>
          <w:tcPr/>
          <w:p>
            <w:pPr>
              <w:pStyle w:val="Compact"/>
              <w:numPr>
                <w:ilvl w:val="0"/>
                <w:numId w:val="1018"/>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18"/>
              </w:numPr>
              <w:jc w:val="left"/>
            </w:pPr>
            <w:r>
              <w:t xml:space="preserve">Länge: 2–100 Zeichen</w:t>
            </w:r>
          </w:p>
        </w:tc>
        <w:tc>
          <w:tcPr/>
          <w:p>
            <w:pPr>
              <w:pStyle w:val="Compact"/>
              <w:jc w:val="right"/>
            </w:pPr>
            <w:r>
              <w:t xml:space="preserve">1..1</w:t>
            </w:r>
          </w:p>
        </w:tc>
      </w:tr>
    </w:tbl>
    <w:bookmarkEnd w:id="105"/>
    <w:bookmarkEnd w:id="106"/>
    <w:bookmarkStart w:id="124" w:name="sec-nodeshape-personshape"/>
    <w:p>
      <w:pPr>
        <w:pStyle w:val="berschrift2"/>
      </w:pPr>
      <w:r>
        <w:t xml:space="preserve">3.5 Person</w:t>
      </w:r>
    </w:p>
    <w:p>
      <w:pPr>
        <w:pStyle w:val="FirstParagraph"/>
      </w:pPr>
      <w:r>
        <w:t xml:space="preserve">Jede Person (Mitarbeiter, Kunde oder benutzerdefinierte Person) im Datensatz.</w:t>
      </w:r>
    </w:p>
    <w:p>
      <w:pPr>
        <w:pStyle w:val="Textkrper"/>
      </w:pPr>
      <w:r>
        <w:t xml:space="preserve">Personen werden unabhängig von ihrer Rolle einheitlich beschrieben: Angestellte des Musikhandels, Kundinnen und Kunden sowie manuell erfasste Personen teilen dieselben Eigenschaften. Die Rolle ergibt sich aus den Beziehungen, etwa</w:t>
      </w:r>
      <w:r>
        <w:t xml:space="preserve"> </w:t>
      </w:r>
      <w:r>
        <w:rPr>
          <w:rStyle w:val="VerbatimChar"/>
        </w:rPr>
        <w:t xml:space="preserve">schema:worksFor</w:t>
      </w:r>
      <w:r>
        <w:t xml:space="preserve"> </w:t>
      </w:r>
      <w:r>
        <w:t xml:space="preserve">für Angestellte oder</w:t>
      </w:r>
      <w:r>
        <w:t xml:space="preserve"> </w:t>
      </w:r>
      <w:r>
        <w:rPr>
          <w:rStyle w:val="VerbatimChar"/>
        </w:rPr>
        <w:t xml:space="preserve">schema:customer</w:t>
      </w:r>
      <w:r>
        <w:t xml:space="preserve"> </w:t>
      </w:r>
      <w:r>
        <w:t xml:space="preserve">auf einer Rechnung für Kundschaft.</w:t>
      </w:r>
    </w:p>
    <w:p>
      <w:pPr>
        <w:pStyle w:val="Textkrper"/>
      </w:pPr>
      <w:r>
        <w:t xml:space="preserve">Namen werden so erfasst, wie sie die Person selbst verwendet; akademische Titel gehören nicht in den Vornamen. E-Mail-Adressen und Geburtsdaten sind freiwillige Angaben und werden bei Verstössen gegen die Regeln lediglich als Warnung gemeldet.</w:t>
      </w:r>
    </w:p>
    <w:bookmarkStart w:id="110" w:name="sec-nodeshape-personshape-overview"/>
    <w:p>
      <w:pPr>
        <w:pStyle w:val="berschrift3"/>
      </w:pPr>
      <w:r>
        <w:t xml:space="preserve">3.5.1 Übersicht</w:t>
      </w:r>
    </w:p>
    <w:p>
      <w:pPr>
        <w:pStyle w:val="DefinitionTerm"/>
      </w:pPr>
      <w:r>
        <w:t xml:space="preserve">Shape</w:t>
      </w:r>
    </w:p>
    <w:p>
      <w:pPr>
        <w:pStyle w:val="Definition"/>
      </w:pPr>
      <w:hyperlink r:id="rId107">
        <w:r>
          <w:rPr>
            <w:rStyle w:val="Hyperlink"/>
          </w:rPr>
          <w:t xml:space="preserve">:PersonShape</w:t>
        </w:r>
      </w:hyperlink>
    </w:p>
    <w:p>
      <w:pPr>
        <w:pStyle w:val="DefinitionTerm"/>
      </w:pPr>
      <w:r>
        <w:t xml:space="preserve">Zielklasse</w:t>
      </w:r>
    </w:p>
    <w:p>
      <w:pPr>
        <w:pStyle w:val="Definition"/>
      </w:pPr>
      <w:hyperlink r:id="rId108">
        <w:r>
          <w:rPr>
            <w:rStyle w:val="Hyperlink"/>
          </w:rPr>
          <w:t xml:space="preserve">schema:Person</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383 Instanzen mit je 5 bis 10 Tripeln (im Mittel 5.6)</w:t>
      </w:r>
    </w:p>
    <w:p>
      <w:pPr>
        <w:pStyle w:val="DefinitionTerm"/>
      </w:pPr>
      <w:r>
        <w:t xml:space="preserve">Datenzugriff</w:t>
      </w:r>
    </w:p>
    <w:p>
      <w:pPr>
        <w:pStyle w:val="Definition"/>
      </w:pPr>
      <w:hyperlink r:id="rId109">
        <w:r>
          <w:rPr>
            <w:rStyle w:val="Hyperlink"/>
          </w:rPr>
          <w:t xml:space="preserve">SPARQL-Dienst</w:t>
        </w:r>
      </w:hyperlink>
    </w:p>
    <w:bookmarkEnd w:id="110"/>
    <w:bookmarkStart w:id="121" w:name="sec-nodeshape-personshape-properties"/>
    <w:p>
      <w:pPr>
        <w:pStyle w:val="berschrift3"/>
      </w:pPr>
      <w:r>
        <w:t xml:space="preserve">3.5.2 Eigenschaften</w:t>
      </w:r>
    </w:p>
    <w:tbl>
      <w:tblPr>
        <w:tblStyle w:val="Table"/>
        <w:tblW w:type="pct" w:w="4962"/>
        <w:tblLayout w:type="fixed"/>
        <w:tblLook w:firstRow="1" w:lastRow="0" w:firstColumn="0" w:lastColumn="0" w:noHBand="0" w:noVBand="0" w:val="0020"/>
      </w:tblPr>
      <w:tblGrid>
        <w:gridCol w:w="3325"/>
        <w:gridCol w:w="3627"/>
        <w:gridCol w:w="90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Vorname</w:t>
            </w:r>
            <w:r>
              <w:t xml:space="preserve"> </w:t>
            </w:r>
            <w:r>
              <w:t xml:space="preserve">(</w:t>
            </w:r>
            <w:hyperlink r:id="rId111">
              <w:r>
                <w:rPr>
                  <w:rStyle w:val="Hyperlink"/>
                </w:rPr>
                <w:t xml:space="preserve">schema:givenName</w:t>
              </w:r>
            </w:hyperlink>
            <w:r>
              <w:t xml:space="preserve">):</w:t>
            </w:r>
            <w:r>
              <w:t xml:space="preserve"> </w:t>
            </w:r>
            <w:r>
              <w:t xml:space="preserve">Jede Person muss einen Vornamen haben.</w:t>
            </w:r>
          </w:p>
        </w:tc>
        <w:tc>
          <w:tcPr/>
          <w:p>
            <w:pPr>
              <w:pStyle w:val="Compact"/>
              <w:numPr>
                <w:ilvl w:val="0"/>
                <w:numId w:val="1019"/>
              </w:numPr>
              <w:jc w:val="left"/>
            </w:pPr>
            <w:r>
              <w:t xml:space="preserve">Typ: Zeichenkette</w:t>
            </w:r>
            <w:r>
              <w:t xml:space="preserve"> </w:t>
            </w:r>
            <w:r>
              <w:t xml:space="preserve">(</w:t>
            </w:r>
            <w:hyperlink r:id="rId6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Nachname</w:t>
            </w:r>
            <w:r>
              <w:t xml:space="preserve"> </w:t>
            </w:r>
            <w:r>
              <w:t xml:space="preserve">(</w:t>
            </w:r>
            <w:hyperlink r:id="rId112">
              <w:r>
                <w:rPr>
                  <w:rStyle w:val="Hyperlink"/>
                </w:rPr>
                <w:t xml:space="preserve">schema:familyName</w:t>
              </w:r>
            </w:hyperlink>
            <w:r>
              <w:t xml:space="preserve">):</w:t>
            </w:r>
            <w:r>
              <w:t xml:space="preserve"> </w:t>
            </w:r>
            <w:r>
              <w:t xml:space="preserve">Jede Person muss einen Nachnamen haben.</w:t>
            </w:r>
          </w:p>
        </w:tc>
        <w:tc>
          <w:tcPr/>
          <w:p>
            <w:pPr>
              <w:pStyle w:val="Compact"/>
              <w:numPr>
                <w:ilvl w:val="0"/>
                <w:numId w:val="1020"/>
              </w:numPr>
              <w:jc w:val="left"/>
            </w:pPr>
            <w:r>
              <w:t xml:space="preserve">Typ: Zeichenkette</w:t>
            </w:r>
            <w:r>
              <w:t xml:space="preserve"> </w:t>
            </w:r>
            <w:r>
              <w:t xml:space="preserve">(</w:t>
            </w:r>
            <w:hyperlink r:id="rId6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E-Mail-Adresse</w:t>
            </w:r>
            <w:r>
              <w:t xml:space="preserve"> </w:t>
            </w:r>
            <w:r>
              <w:t xml:space="preserve">(</w:t>
            </w:r>
            <w:hyperlink r:id="rId113">
              <w:r>
                <w:rPr>
                  <w:rStyle w:val="Hyperlink"/>
                </w:rPr>
                <w:t xml:space="preserve">schema:email</w:t>
              </w:r>
            </w:hyperlink>
            <w:r>
              <w:t xml:space="preserve">): Falls</w:t>
            </w:r>
            <w:r>
              <w:t xml:space="preserve"> </w:t>
            </w:r>
            <w:r>
              <w:t xml:space="preserve">angegeben, muss die E-Mail-Adresse einem</w:t>
            </w:r>
            <w:r>
              <w:t xml:space="preserve"> </w:t>
            </w:r>
            <w:r>
              <w:t xml:space="preserve">Standardformat entsprechen.</w:t>
            </w:r>
          </w:p>
        </w:tc>
        <w:tc>
          <w:tcPr/>
          <w:p>
            <w:pPr>
              <w:pStyle w:val="Compact"/>
              <w:numPr>
                <w:ilvl w:val="0"/>
                <w:numId w:val="1021"/>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21"/>
              </w:numPr>
              <w:jc w:val="left"/>
            </w:pPr>
            <w:r>
              <w:t xml:space="preserve">Muster:</w:t>
            </w:r>
            <w:r>
              <w:t xml:space="preserve"> </w:t>
            </w:r>
            <w:r>
              <w:rPr>
                <w:rStyle w:val="VerbatimChar"/>
              </w:rPr>
              <w:t xml:space="preserve">^.+@.+\..+$</w:t>
            </w:r>
            <w:r>
              <w:t xml:space="preserve"> </w:t>
            </w:r>
            <w:r>
              <w:t xml:space="preserve">(</w:t>
            </w:r>
            <w:r>
              <w:rPr>
                <w:rStyle w:val="VerbatimChar"/>
              </w:rPr>
              <w:t xml:space="preserve">i</w:t>
            </w:r>
            <w:r>
              <w:t xml:space="preserve">)</w:t>
            </w:r>
          </w:p>
          <w:p>
            <w:pPr>
              <w:pStyle w:val="Compact"/>
              <w:numPr>
                <w:ilvl w:val="0"/>
                <w:numId w:val="1021"/>
              </w:numPr>
              <w:jc w:val="left"/>
            </w:pPr>
            <w:r>
              <w:t xml:space="preserve">Länge: ≤ 254 Zeichen</w:t>
            </w:r>
          </w:p>
          <w:p>
            <w:pPr>
              <w:pStyle w:val="Compact"/>
              <w:numPr>
                <w:ilvl w:val="0"/>
                <w:numId w:val="1021"/>
              </w:numPr>
              <w:jc w:val="left"/>
            </w:pPr>
            <w:r>
              <w:t xml:space="preserve">Schweregrad: Warnung</w:t>
            </w:r>
          </w:p>
        </w:tc>
        <w:tc>
          <w:tcPr/>
          <w:p>
            <w:pPr>
              <w:pStyle w:val="Compact"/>
              <w:jc w:val="right"/>
            </w:pPr>
            <w:r>
              <w:t xml:space="preserve">0..*</w:t>
            </w:r>
          </w:p>
        </w:tc>
      </w:tr>
      <w:tr>
        <w:tc>
          <w:tcPr/>
          <w:p>
            <w:pPr>
              <w:pStyle w:val="Compact"/>
              <w:jc w:val="left"/>
            </w:pPr>
            <w:r>
              <w:rPr>
                <w:b/>
                <w:bCs/>
              </w:rPr>
              <w:t xml:space="preserve">Geburtsdatum</w:t>
            </w:r>
            <w:r>
              <w:t xml:space="preserve"> </w:t>
            </w:r>
            <w:r>
              <w:t xml:space="preserve">(</w:t>
            </w:r>
            <w:hyperlink r:id="rId114">
              <w:r>
                <w:rPr>
                  <w:rStyle w:val="Hyperlink"/>
                </w:rPr>
                <w:t xml:space="preserve">schema:birthDate</w:t>
              </w:r>
            </w:hyperlink>
            <w:r>
              <w:t xml:space="preserve">):</w:t>
            </w:r>
            <w:r>
              <w:t xml:space="preserve"> </w:t>
            </w:r>
            <w:r>
              <w:t xml:space="preserve">Eine Person sollte ein gültiges Geburtsdatum haben.</w:t>
            </w:r>
          </w:p>
        </w:tc>
        <w:tc>
          <w:tcPr/>
          <w:p>
            <w:pPr>
              <w:pStyle w:val="Compact"/>
              <w:numPr>
                <w:ilvl w:val="0"/>
                <w:numId w:val="1022"/>
              </w:numPr>
              <w:jc w:val="left"/>
            </w:pPr>
            <w:r>
              <w:t xml:space="preserve">Typ: Datum</w:t>
            </w:r>
            <w:r>
              <w:t xml:space="preserve"> </w:t>
            </w:r>
            <w:r>
              <w:t xml:space="preserve">(</w:t>
            </w:r>
            <w:hyperlink r:id="rId115">
              <w:r>
                <w:rPr>
                  <w:rStyle w:val="Hyperlink"/>
                </w:rPr>
                <w:t xml:space="preserve">xsd:date</w:t>
              </w:r>
            </w:hyperlink>
            <w:r>
              <w:t xml:space="preserve">)</w:t>
            </w:r>
          </w:p>
          <w:p>
            <w:pPr>
              <w:pStyle w:val="Compact"/>
              <w:numPr>
                <w:ilvl w:val="0"/>
                <w:numId w:val="1022"/>
              </w:numPr>
              <w:jc w:val="left"/>
            </w:pPr>
            <w:r>
              <w:t xml:space="preserve">Wertebereich: ≥ 1900-01-01, ≤ 2025-12-31</w:t>
            </w:r>
          </w:p>
          <w:p>
            <w:pPr>
              <w:pStyle w:val="Compact"/>
              <w:numPr>
                <w:ilvl w:val="0"/>
                <w:numId w:val="1022"/>
              </w:numPr>
              <w:jc w:val="left"/>
            </w:pPr>
            <w:r>
              <w:t xml:space="preserve">Schweregrad: Warnung</w:t>
            </w:r>
          </w:p>
        </w:tc>
        <w:tc>
          <w:tcPr/>
          <w:p>
            <w:pPr>
              <w:pStyle w:val="Compact"/>
              <w:jc w:val="right"/>
            </w:pPr>
            <w:r>
              <w:t xml:space="preserve">0..*</w:t>
            </w:r>
          </w:p>
        </w:tc>
      </w:tr>
      <w:tr>
        <w:tc>
          <w:tcPr/>
          <w:p>
            <w:pPr>
              <w:pStyle w:val="Compact"/>
              <w:jc w:val="left"/>
            </w:pPr>
            <w:r>
              <w:rPr>
                <w:b/>
                <w:bCs/>
              </w:rPr>
              <w:t xml:space="preserve">Adresse</w:t>
            </w:r>
            <w:r>
              <w:t xml:space="preserve"> </w:t>
            </w:r>
            <w:r>
              <w:t xml:space="preserve">(</w:t>
            </w:r>
            <w:hyperlink r:id="rId116">
              <w:r>
                <w:rPr>
                  <w:rStyle w:val="Hyperlink"/>
                </w:rPr>
                <w:t xml:space="preserve">schema:address</w:t>
              </w:r>
            </w:hyperlink>
            <w:r>
              <w:t xml:space="preserve">)</w:t>
            </w:r>
          </w:p>
        </w:tc>
        <w:tc>
          <w:tcPr/>
          <w:p>
            <w:pPr>
              <w:pStyle w:val="Compact"/>
              <w:numPr>
                <w:ilvl w:val="0"/>
                <w:numId w:val="1023"/>
              </w:numPr>
              <w:jc w:val="left"/>
            </w:pPr>
            <w:r>
              <w:t xml:space="preserve">Typ:</w:t>
            </w:r>
            <w:r>
              <w:t xml:space="preserve"> </w:t>
            </w:r>
            <w:hyperlink w:anchor="sec-nodeshape-postaladdressshape">
              <w:r>
                <w:rPr>
                  <w:rStyle w:val="Hyperlink"/>
                </w:rPr>
                <w:t xml:space="preserve">Postadresse</w:t>
              </w:r>
            </w:hyperlink>
          </w:p>
        </w:tc>
        <w:tc>
          <w:tcPr/>
          <w:p>
            <w:pPr>
              <w:pStyle w:val="Compact"/>
              <w:jc w:val="right"/>
            </w:pPr>
            <w:r>
              <w:t xml:space="preserve">0..*</w:t>
            </w:r>
          </w:p>
        </w:tc>
      </w:tr>
      <w:tr>
        <w:tc>
          <w:tcPr/>
          <w:p>
            <w:pPr>
              <w:pStyle w:val="Compact"/>
              <w:jc w:val="left"/>
            </w:pPr>
            <w:r>
              <w:rPr>
                <w:b/>
                <w:bCs/>
              </w:rPr>
              <w:t xml:space="preserve">Arbeitet für</w:t>
            </w:r>
            <w:r>
              <w:t xml:space="preserve"> </w:t>
            </w:r>
            <w:r>
              <w:t xml:space="preserve">(</w:t>
            </w:r>
            <w:hyperlink r:id="rId117">
              <w:r>
                <w:rPr>
                  <w:rStyle w:val="Hyperlink"/>
                </w:rPr>
                <w:t xml:space="preserve">schema:worksFor</w:t>
              </w:r>
            </w:hyperlink>
            <w:r>
              <w:t xml:space="preserve">): Ein</w:t>
            </w:r>
            <w:r>
              <w:t xml:space="preserve"> </w:t>
            </w:r>
            <w:r>
              <w:t xml:space="preserve">Mitarbeiter kann einer anderen Person unterstellt</w:t>
            </w:r>
            <w:r>
              <w:t xml:space="preserve"> </w:t>
            </w:r>
            <w:r>
              <w:t xml:space="preserve">sein.</w:t>
            </w:r>
          </w:p>
        </w:tc>
        <w:tc>
          <w:tcPr/>
          <w:p>
            <w:pPr>
              <w:pStyle w:val="Compact"/>
              <w:numPr>
                <w:ilvl w:val="0"/>
                <w:numId w:val="1024"/>
              </w:numPr>
              <w:jc w:val="left"/>
            </w:pPr>
            <w:r>
              <w:t xml:space="preserve">Typ:</w:t>
            </w:r>
            <w:r>
              <w:t xml:space="preserve"> </w:t>
            </w:r>
            <w:hyperlink w:anchor="sec-nodeshape-personshape">
              <w:r>
                <w:rPr>
                  <w:rStyle w:val="Hyperlink"/>
                </w:rPr>
                <w:t xml:space="preserve">Person</w:t>
              </w:r>
            </w:hyperlink>
            <w:r>
              <w:t xml:space="preserve"> </w:t>
            </w:r>
            <w:r>
              <w:t xml:space="preserve">oder</w:t>
            </w:r>
            <w:r>
              <w:t xml:space="preserve"> </w:t>
            </w:r>
            <w:hyperlink r:id="rId118">
              <w:r>
                <w:rPr>
                  <w:rStyle w:val="Hyperlink"/>
                </w:rPr>
                <w:t xml:space="preserve">schema:Organization</w:t>
              </w:r>
            </w:hyperlink>
          </w:p>
        </w:tc>
        <w:tc>
          <w:tcPr/>
          <w:p>
            <w:pPr>
              <w:pStyle w:val="Compact"/>
              <w:jc w:val="right"/>
            </w:pPr>
            <w:r>
              <w:t xml:space="preserve">0..*</w:t>
            </w:r>
          </w:p>
        </w:tc>
      </w:tr>
      <w:tr>
        <w:tc>
          <w:tcPr/>
          <w:p>
            <w:pPr>
              <w:pStyle w:val="Compact"/>
              <w:jc w:val="left"/>
            </w:pPr>
            <w:r>
              <w:rPr>
                <w:b/>
                <w:bCs/>
              </w:rPr>
              <w:t xml:space="preserve">Berufsbezeichnung</w:t>
            </w:r>
            <w:r>
              <w:t xml:space="preserve"> </w:t>
            </w:r>
            <w:r>
              <w:t xml:space="preserve">(</w:t>
            </w:r>
            <w:hyperlink r:id="rId119">
              <w:r>
                <w:rPr>
                  <w:rStyle w:val="Hyperlink"/>
                </w:rPr>
                <w:t xml:space="preserve">schema:jobTitle</w:t>
              </w:r>
            </w:hyperlink>
            <w:r>
              <w:t xml:space="preserve">)</w:t>
            </w:r>
          </w:p>
        </w:tc>
        <w:tc>
          <w:tcPr/>
          <w:p>
            <w:pPr>
              <w:pStyle w:val="Compact"/>
              <w:numPr>
                <w:ilvl w:val="0"/>
                <w:numId w:val="1025"/>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25"/>
              </w:numPr>
              <w:jc w:val="left"/>
            </w:pPr>
            <w:r>
              <w:t xml:space="preserve">Länge: 2–100 Zeichen</w:t>
            </w:r>
          </w:p>
        </w:tc>
        <w:tc>
          <w:tcPr/>
          <w:p>
            <w:pPr>
              <w:pStyle w:val="Compact"/>
              <w:jc w:val="right"/>
            </w:pPr>
            <w:r>
              <w:t xml:space="preserve">0..1</w:t>
            </w:r>
          </w:p>
        </w:tc>
      </w:tr>
      <w:tr>
        <w:tc>
          <w:tcPr/>
          <w:p>
            <w:pPr>
              <w:pStyle w:val="Compact"/>
              <w:jc w:val="left"/>
            </w:pPr>
            <w:r>
              <w:rPr>
                <w:b/>
                <w:bCs/>
              </w:rPr>
              <w:t xml:space="preserve">Kennt</w:t>
            </w:r>
            <w:r>
              <w:t xml:space="preserve"> </w:t>
            </w:r>
            <w:r>
              <w:t xml:space="preserve">(</w:t>
            </w:r>
            <w:hyperlink r:id="rId120">
              <w:r>
                <w:rPr>
                  <w:rStyle w:val="Hyperlink"/>
                </w:rPr>
                <w:t xml:space="preserve">schema:knows</w:t>
              </w:r>
            </w:hyperlink>
            <w:r>
              <w:t xml:space="preserve">)</w:t>
            </w:r>
          </w:p>
        </w:tc>
        <w:tc>
          <w:tcPr/>
          <w:p>
            <w:pPr>
              <w:pStyle w:val="Compact"/>
              <w:numPr>
                <w:ilvl w:val="0"/>
                <w:numId w:val="1026"/>
              </w:numPr>
              <w:jc w:val="left"/>
            </w:pPr>
            <w:r>
              <w:t xml:space="preserve">Typ:</w:t>
            </w:r>
            <w:r>
              <w:t xml:space="preserve"> </w:t>
            </w:r>
            <w:hyperlink w:anchor="sec-nodeshape-personshape">
              <w:r>
                <w:rPr>
                  <w:rStyle w:val="Hyperlink"/>
                </w:rPr>
                <w:t xml:space="preserve">Person</w:t>
              </w:r>
            </w:hyperlink>
          </w:p>
        </w:tc>
        <w:tc>
          <w:tcPr/>
          <w:p>
            <w:pPr>
              <w:pStyle w:val="Compact"/>
              <w:jc w:val="right"/>
            </w:pPr>
            <w:r>
              <w:t xml:space="preserve">0..*</w:t>
            </w:r>
          </w:p>
        </w:tc>
      </w:tr>
    </w:tbl>
    <w:bookmarkEnd w:id="121"/>
    <w:bookmarkStart w:id="123" w:name="sec-nodeshape-personshape-rules"/>
    <w:p>
      <w:pPr>
        <w:pStyle w:val="berschrift3"/>
      </w:pPr>
      <w:r>
        <w:t xml:space="preserve">3.5.3 Regeln (SPARQL)</w:t>
      </w:r>
    </w:p>
    <w:bookmarkStart w:id="122" w:name="sec-nodeshape-personshape-rule-1"/>
    <w:p>
      <w:pPr>
        <w:pStyle w:val="berschrift4"/>
      </w:pPr>
      <w:r>
        <w:t xml:space="preserve">3.5.3.1 Keine Selbstunterstellung</w:t>
      </w:r>
    </w:p>
    <w:p>
      <w:pPr>
        <w:pStyle w:val="FirstParagraph"/>
      </w:pPr>
      <w:r>
        <w:t xml:space="preserve">Ein Mitarbeiter kann nicht sich selbst unterstellt sein.</w:t>
      </w:r>
    </w:p>
    <w:p>
      <w:pPr>
        <w:pStyle w:val="SourceCode"/>
      </w:pPr>
      <w:r>
        <w:rPr>
          <w:rStyle w:val="VerbatimChar"/>
        </w:rPr>
        <w:t xml:space="preserve">SELECT $this</w:t>
      </w:r>
      <w:r>
        <w:br/>
      </w:r>
      <w:r>
        <w:rPr>
          <w:rStyle w:val="VerbatimChar"/>
        </w:rPr>
        <w:t xml:space="preserve">WHERE {</w:t>
      </w:r>
      <w:r>
        <w:br/>
      </w:r>
      <w:r>
        <w:rPr>
          <w:rStyle w:val="VerbatimChar"/>
        </w:rPr>
        <w:t xml:space="preserve">    $this schema:worksFor $this .</w:t>
      </w:r>
      <w:r>
        <w:br/>
      </w:r>
      <w:r>
        <w:rPr>
          <w:rStyle w:val="VerbatimChar"/>
        </w:rPr>
        <w:t xml:space="preserve">}</w:t>
      </w:r>
    </w:p>
    <w:bookmarkEnd w:id="122"/>
    <w:bookmarkEnd w:id="123"/>
    <w:bookmarkEnd w:id="124"/>
    <w:bookmarkStart w:id="138" w:name="sec-nodeshape-postaladdressshape"/>
    <w:p>
      <w:pPr>
        <w:pStyle w:val="berschrift2"/>
      </w:pPr>
      <w:r>
        <w:t xml:space="preserve">3.6 Postadresse</w:t>
      </w:r>
    </w:p>
    <w:p>
      <w:pPr>
        <w:pStyle w:val="FirstParagraph"/>
      </w:pPr>
      <w:r>
        <w:t xml:space="preserve">Die Postadresse einer Person.</w:t>
      </w:r>
    </w:p>
    <w:p>
      <w:pPr>
        <w:pStyle w:val="Textkrper"/>
      </w:pPr>
      <w:r>
        <w:t xml:space="preserve">Adressen folgen dem Aufbau von schema.org und nicht dem Schweizer Adressstandard eCH-0010, da der Datensatz überwiegend ausländische Adressen enthält. Postleitzahlen werden deshalb nur auf ein plausibles Format geprüft, nicht gegen ein Verzeichnis.</w:t>
      </w:r>
    </w:p>
    <w:bookmarkStart w:id="128" w:name="Xf875252aad1b3a425685d2837dfb16e5026bccf"/>
    <w:p>
      <w:pPr>
        <w:pStyle w:val="berschrift3"/>
      </w:pPr>
      <w:r>
        <w:t xml:space="preserve">3.6.1 Übersicht</w:t>
      </w:r>
    </w:p>
    <w:p>
      <w:pPr>
        <w:pStyle w:val="DefinitionTerm"/>
      </w:pPr>
      <w:r>
        <w:t xml:space="preserve">Shape</w:t>
      </w:r>
    </w:p>
    <w:p>
      <w:pPr>
        <w:pStyle w:val="Definition"/>
      </w:pPr>
      <w:hyperlink r:id="rId125">
        <w:r>
          <w:rPr>
            <w:rStyle w:val="Hyperlink"/>
          </w:rPr>
          <w:t xml:space="preserve">:PostalAddressShape</w:t>
        </w:r>
      </w:hyperlink>
    </w:p>
    <w:p>
      <w:pPr>
        <w:pStyle w:val="DefinitionTerm"/>
      </w:pPr>
      <w:r>
        <w:t xml:space="preserve">Zielklasse</w:t>
      </w:r>
    </w:p>
    <w:p>
      <w:pPr>
        <w:pStyle w:val="Definition"/>
      </w:pPr>
      <w:hyperlink r:id="rId126">
        <w:r>
          <w:rPr>
            <w:rStyle w:val="Hyperlink"/>
          </w:rPr>
          <w:t xml:space="preserve">schema:PostalAddress</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67 Instanzen mit je 6 bis 8 Tripeln (im Mittel 7.5)</w:t>
      </w:r>
    </w:p>
    <w:p>
      <w:pPr>
        <w:pStyle w:val="DefinitionTerm"/>
      </w:pPr>
      <w:r>
        <w:t xml:space="preserve">Datenzugriff</w:t>
      </w:r>
    </w:p>
    <w:p>
      <w:pPr>
        <w:pStyle w:val="Definition"/>
      </w:pPr>
      <w:hyperlink r:id="rId127">
        <w:r>
          <w:rPr>
            <w:rStyle w:val="Hyperlink"/>
          </w:rPr>
          <w:t xml:space="preserve">SPARQL-Dienst</w:t>
        </w:r>
      </w:hyperlink>
    </w:p>
    <w:bookmarkEnd w:id="128"/>
    <w:bookmarkStart w:id="137" w:name="X94841f346bc9e44ac9d6b39aeccedc95e7957c8"/>
    <w:p>
      <w:pPr>
        <w:pStyle w:val="berschrift3"/>
      </w:pPr>
      <w:r>
        <w:t xml:space="preserve">3.6.2 Eigenschaften</w:t>
      </w:r>
    </w:p>
    <w:tbl>
      <w:tblPr>
        <w:tblStyle w:val="Table"/>
        <w:tblW w:type="pct" w:w="4965"/>
        <w:tblLayout w:type="fixed"/>
        <w:tblLook w:firstRow="1" w:lastRow="0" w:firstColumn="0" w:lastColumn="0" w:noHBand="0" w:noVBand="0" w:val="0020"/>
      </w:tblPr>
      <w:tblGrid>
        <w:gridCol w:w="3651"/>
        <w:gridCol w:w="3370"/>
        <w:gridCol w:w="842"/>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Strasse und Hausnummer</w:t>
            </w:r>
            <w:r>
              <w:t xml:space="preserve"> </w:t>
            </w:r>
            <w:r>
              <w:t xml:space="preserve">(</w:t>
            </w:r>
            <w:hyperlink r:id="rId129">
              <w:r>
                <w:rPr>
                  <w:rStyle w:val="Hyperlink"/>
                </w:rPr>
                <w:t xml:space="preserve">schema:streetAddress</w:t>
              </w:r>
            </w:hyperlink>
            <w:r>
              <w:t xml:space="preserve">)</w:t>
            </w:r>
          </w:p>
        </w:tc>
        <w:tc>
          <w:tcPr/>
          <w:p>
            <w:pPr>
              <w:pStyle w:val="Compact"/>
              <w:numPr>
                <w:ilvl w:val="0"/>
                <w:numId w:val="1027"/>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27"/>
              </w:numPr>
              <w:jc w:val="left"/>
            </w:pPr>
            <w:r>
              <w:t xml:space="preserve">Länge: 3–100 Zeichen</w:t>
            </w:r>
          </w:p>
          <w:p>
            <w:pPr>
              <w:pStyle w:val="Compact"/>
              <w:numPr>
                <w:ilvl w:val="0"/>
                <w:numId w:val="1027"/>
              </w:numPr>
              <w:jc w:val="left"/>
            </w:pPr>
            <w:r>
              <w:t xml:space="preserve">Beispiele: Schwarzenburgstrasse 165</w:t>
            </w:r>
          </w:p>
        </w:tc>
        <w:tc>
          <w:tcPr/>
          <w:p>
            <w:pPr>
              <w:pStyle w:val="Compact"/>
              <w:jc w:val="right"/>
            </w:pPr>
            <w:r>
              <w:t xml:space="preserve">1..1</w:t>
            </w:r>
          </w:p>
        </w:tc>
      </w:tr>
      <w:tr>
        <w:tc>
          <w:tcPr/>
          <w:p>
            <w:pPr>
              <w:pStyle w:val="Compact"/>
              <w:jc w:val="left"/>
            </w:pPr>
            <w:r>
              <w:rPr>
                <w:b/>
                <w:bCs/>
              </w:rPr>
              <w:t xml:space="preserve">Postleitzahl</w:t>
            </w:r>
            <w:r>
              <w:t xml:space="preserve"> </w:t>
            </w:r>
            <w:r>
              <w:t xml:space="preserve">(</w:t>
            </w:r>
            <w:hyperlink r:id="rId130">
              <w:r>
                <w:rPr>
                  <w:rStyle w:val="Hyperlink"/>
                </w:rPr>
                <w:t xml:space="preserve">schema:postalCode</w:t>
              </w:r>
            </w:hyperlink>
            <w:r>
              <w:t xml:space="preserve">):</w:t>
            </w:r>
            <w:r>
              <w:t xml:space="preserve"> </w:t>
            </w:r>
            <w:r>
              <w:t xml:space="preserve">Buchstaben, Ziffern, Leerzeichen und Bindestriche, zwei bis</w:t>
            </w:r>
            <w:r>
              <w:t xml:space="preserve"> </w:t>
            </w:r>
            <w:r>
              <w:t xml:space="preserve">zehn Zeichen.</w:t>
            </w:r>
          </w:p>
        </w:tc>
        <w:tc>
          <w:tcPr/>
          <w:p>
            <w:pPr>
              <w:pStyle w:val="Compact"/>
              <w:numPr>
                <w:ilvl w:val="0"/>
                <w:numId w:val="1028"/>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28"/>
              </w:numPr>
              <w:jc w:val="left"/>
            </w:pPr>
            <w:r>
              <w:t xml:space="preserve">Muster:</w:t>
            </w:r>
            <w:r>
              <w:t xml:space="preserve"> </w:t>
            </w:r>
            <w:r>
              <w:rPr>
                <w:rStyle w:val="VerbatimChar"/>
              </w:rPr>
              <w:t xml:space="preserve">^[A-Za-z0-9][A-Za-z0-9 -]{1,9}$</w:t>
            </w:r>
          </w:p>
          <w:p>
            <w:pPr>
              <w:pStyle w:val="Compact"/>
              <w:numPr>
                <w:ilvl w:val="0"/>
                <w:numId w:val="1028"/>
              </w:numPr>
              <w:jc w:val="left"/>
            </w:pPr>
            <w:r>
              <w:t xml:space="preserve">Schweregrad: Warnung</w:t>
            </w:r>
          </w:p>
        </w:tc>
        <w:tc>
          <w:tcPr/>
          <w:p>
            <w:pPr>
              <w:pStyle w:val="Compact"/>
              <w:jc w:val="right"/>
            </w:pPr>
            <w:r>
              <w:t xml:space="preserve">0..1</w:t>
            </w:r>
          </w:p>
        </w:tc>
      </w:tr>
      <w:tr>
        <w:tc>
          <w:tcPr/>
          <w:p>
            <w:pPr>
              <w:pStyle w:val="Compact"/>
              <w:jc w:val="left"/>
            </w:pPr>
            <w:r>
              <w:rPr>
                <w:b/>
                <w:bCs/>
              </w:rPr>
              <w:t xml:space="preserve">Ort</w:t>
            </w:r>
            <w:r>
              <w:t xml:space="preserve"> </w:t>
            </w:r>
            <w:r>
              <w:t xml:space="preserve">(</w:t>
            </w:r>
            <w:hyperlink r:id="rId131">
              <w:r>
                <w:rPr>
                  <w:rStyle w:val="Hyperlink"/>
                </w:rPr>
                <w:t xml:space="preserve">schema:addressLocality</w:t>
              </w:r>
            </w:hyperlink>
            <w:r>
              <w:t xml:space="preserve">):</w:t>
            </w:r>
            <w:r>
              <w:t xml:space="preserve"> </w:t>
            </w:r>
            <w:r>
              <w:t xml:space="preserve">Jede Adresse braucht genau einen Ort.</w:t>
            </w:r>
          </w:p>
        </w:tc>
        <w:tc>
          <w:tcPr/>
          <w:p>
            <w:pPr>
              <w:pStyle w:val="Compact"/>
              <w:numPr>
                <w:ilvl w:val="0"/>
                <w:numId w:val="1029"/>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29"/>
              </w:numPr>
              <w:jc w:val="left"/>
            </w:pPr>
            <w:r>
              <w:t xml:space="preserve">Länge: ≤ 100 Zeichen</w:t>
            </w:r>
          </w:p>
        </w:tc>
        <w:tc>
          <w:tcPr/>
          <w:p>
            <w:pPr>
              <w:pStyle w:val="Compact"/>
              <w:jc w:val="right"/>
            </w:pPr>
            <w:r>
              <w:t xml:space="preserve">1..1</w:t>
            </w:r>
          </w:p>
        </w:tc>
      </w:tr>
      <w:tr>
        <w:tc>
          <w:tcPr/>
          <w:p>
            <w:pPr>
              <w:pStyle w:val="Compact"/>
              <w:jc w:val="left"/>
            </w:pPr>
            <w:r>
              <w:rPr>
                <w:b/>
                <w:bCs/>
              </w:rPr>
              <w:t xml:space="preserve">Region</w:t>
            </w:r>
            <w:r>
              <w:t xml:space="preserve"> </w:t>
            </w:r>
            <w:r>
              <w:t xml:space="preserve">(</w:t>
            </w:r>
            <w:hyperlink r:id="rId132">
              <w:r>
                <w:rPr>
                  <w:rStyle w:val="Hyperlink"/>
                </w:rPr>
                <w:t xml:space="preserve">schema:addressRegion</w:t>
              </w:r>
            </w:hyperlink>
            <w:r>
              <w:t xml:space="preserve">):</w:t>
            </w:r>
            <w:r>
              <w:t xml:space="preserve"> </w:t>
            </w:r>
            <w:r>
              <w:t xml:space="preserve">Kanton, Bundesstaat oder Provinz, sofern im Land üblich.</w:t>
            </w:r>
          </w:p>
        </w:tc>
        <w:tc>
          <w:tcPr/>
          <w:p>
            <w:pPr>
              <w:pStyle w:val="Compact"/>
              <w:numPr>
                <w:ilvl w:val="0"/>
                <w:numId w:val="1030"/>
              </w:numPr>
              <w:jc w:val="left"/>
            </w:pPr>
            <w:r>
              <w:t xml:space="preserve">Typ: Zeichenkette</w:t>
            </w:r>
            <w:r>
              <w:t xml:space="preserve"> </w:t>
            </w:r>
            <w:r>
              <w:t xml:space="preserve">(</w:t>
            </w:r>
            <w:hyperlink r:id="rId64">
              <w:r>
                <w:rPr>
                  <w:rStyle w:val="Hyperlink"/>
                </w:rPr>
                <w:t xml:space="preserve">xsd:string</w:t>
              </w:r>
            </w:hyperlink>
            <w:r>
              <w:t xml:space="preserve">)</w:t>
            </w:r>
          </w:p>
          <w:p>
            <w:pPr>
              <w:pStyle w:val="Compact"/>
              <w:numPr>
                <w:ilvl w:val="0"/>
                <w:numId w:val="1030"/>
              </w:numPr>
              <w:jc w:val="left"/>
            </w:pPr>
            <w:r>
              <w:t xml:space="preserve">Länge: ≤ 100 Zeichen</w:t>
            </w:r>
          </w:p>
        </w:tc>
        <w:tc>
          <w:tcPr/>
          <w:p>
            <w:pPr>
              <w:pStyle w:val="Compact"/>
              <w:jc w:val="right"/>
            </w:pPr>
            <w:r>
              <w:t xml:space="preserve">0..1</w:t>
            </w:r>
          </w:p>
        </w:tc>
      </w:tr>
      <w:tr>
        <w:tc>
          <w:tcPr/>
          <w:p>
            <w:pPr>
              <w:pStyle w:val="Compact"/>
              <w:jc w:val="left"/>
            </w:pPr>
            <w:r>
              <w:rPr>
                <w:b/>
                <w:bCs/>
              </w:rPr>
              <w:t xml:space="preserve">Land</w:t>
            </w:r>
            <w:r>
              <w:t xml:space="preserve"> </w:t>
            </w:r>
            <w:r>
              <w:t xml:space="preserve">(</w:t>
            </w:r>
            <w:hyperlink r:id="rId133">
              <w:r>
                <w:rPr>
                  <w:rStyle w:val="Hyperlink"/>
                </w:rPr>
                <w:t xml:space="preserve">schema:addressCountry</w:t>
              </w:r>
            </w:hyperlink>
            <w:r>
              <w:t xml:space="preserve">):</w:t>
            </w:r>
            <w:r>
              <w:t xml:space="preserve"> </w:t>
            </w:r>
            <w:r>
              <w:t xml:space="preserve">Land als IRI aus dem Länderverzeichnis des Bundesarchivs auf</w:t>
            </w:r>
            <w:r>
              <w:t xml:space="preserve"> </w:t>
            </w:r>
            <w:r>
              <w:t xml:space="preserve">LINDAS (ISO 3166-1 alpha-3).</w:t>
            </w:r>
          </w:p>
        </w:tc>
        <w:tc>
          <w:tcPr/>
          <w:p>
            <w:pPr>
              <w:pStyle w:val="Compact"/>
              <w:numPr>
                <w:ilvl w:val="0"/>
                <w:numId w:val="1031"/>
              </w:numPr>
              <w:jc w:val="left"/>
            </w:pPr>
            <w:r>
              <w:t xml:space="preserve">Muster:</w:t>
            </w:r>
            <w:r>
              <w:t xml:space="preserve"> </w:t>
            </w:r>
            <w:r>
              <w:rPr>
                <w:rStyle w:val="VerbatimChar"/>
              </w:rPr>
              <w:t xml:space="preserve">^https://ld\.admin\.ch/country/[A-Z]{3}$</w:t>
            </w:r>
          </w:p>
          <w:p>
            <w:pPr>
              <w:pStyle w:val="Compact"/>
              <w:numPr>
                <w:ilvl w:val="0"/>
                <w:numId w:val="1031"/>
              </w:numPr>
              <w:jc w:val="left"/>
            </w:pPr>
            <w:r>
              <w:t xml:space="preserve">Beispiele:</w:t>
            </w:r>
            <w:r>
              <w:t xml:space="preserve"> </w:t>
            </w:r>
            <w:hyperlink r:id="rId134">
              <w:r>
                <w:rPr>
                  <w:rStyle w:val="Hyperlink"/>
                </w:rPr>
                <w:t xml:space="preserve">country:CHE</w:t>
              </w:r>
            </w:hyperlink>
            <w:r>
              <w:t xml:space="preserve">,</w:t>
            </w:r>
            <w:r>
              <w:t xml:space="preserve"> </w:t>
            </w:r>
            <w:hyperlink r:id="rId135">
              <w:r>
                <w:rPr>
                  <w:rStyle w:val="Hyperlink"/>
                </w:rPr>
                <w:t xml:space="preserve">country:FRA</w:t>
              </w:r>
            </w:hyperlink>
            <w:r>
              <w:t xml:space="preserve">,</w:t>
            </w:r>
            <w:r>
              <w:t xml:space="preserve"> </w:t>
            </w:r>
            <w:hyperlink r:id="rId136">
              <w:r>
                <w:rPr>
                  <w:rStyle w:val="Hyperlink"/>
                </w:rPr>
                <w:t xml:space="preserve">country:ITA</w:t>
              </w:r>
            </w:hyperlink>
          </w:p>
        </w:tc>
        <w:tc>
          <w:tcPr/>
          <w:p>
            <w:pPr>
              <w:pStyle w:val="Compact"/>
              <w:jc w:val="right"/>
            </w:pPr>
            <w:r>
              <w:t xml:space="preserve">1..1</w:t>
            </w:r>
          </w:p>
        </w:tc>
      </w:tr>
    </w:tbl>
    <w:bookmarkEnd w:id="137"/>
    <w:bookmarkEnd w:id="138"/>
    <w:bookmarkStart w:id="147" w:name="sec-nodeshape-quantitativevalueshape"/>
    <w:p>
      <w:pPr>
        <w:pStyle w:val="berschrift2"/>
      </w:pPr>
      <w:r>
        <w:t xml:space="preserve">3.7 Quantitativer Wert</w:t>
      </w:r>
    </w:p>
    <w:p>
      <w:pPr>
        <w:pStyle w:val="FirstParagraph"/>
      </w:pPr>
      <w:r>
        <w:t xml:space="preserve">Ein numerischer Wert mit einer dazugehörigen Einheit.</w:t>
      </w:r>
    </w:p>
    <w:p>
      <w:pPr>
        <w:pStyle w:val="Textkrper"/>
      </w:pPr>
      <w:r>
        <w:t xml:space="preserve">Quantitative Werte werden nie als blosse Zahl erfasst, sondern immer zusammen mit einer Einheit aus der Codeliste Einheiten (IRIs des QUDT-Vokabulars). So bleibt eindeutig, ob eine Dauer in Millisekunden oder eine Dateigrösse in Bytes gemeint ist. Negative Werte sind in diesem Datensatz nicht vorgesehen.</w:t>
      </w:r>
    </w:p>
    <w:bookmarkStart w:id="142" w:name="X78f593afbb200587db35193dab5ef366499966a"/>
    <w:p>
      <w:pPr>
        <w:pStyle w:val="berschrift3"/>
      </w:pPr>
      <w:r>
        <w:t xml:space="preserve">3.7.1 Übersicht</w:t>
      </w:r>
    </w:p>
    <w:p>
      <w:pPr>
        <w:pStyle w:val="DefinitionTerm"/>
      </w:pPr>
      <w:r>
        <w:t xml:space="preserve">Shape</w:t>
      </w:r>
    </w:p>
    <w:p>
      <w:pPr>
        <w:pStyle w:val="Definition"/>
      </w:pPr>
      <w:hyperlink r:id="rId139">
        <w:r>
          <w:rPr>
            <w:rStyle w:val="Hyperlink"/>
          </w:rPr>
          <w:t xml:space="preserve">:QuantitativeValueShape</w:t>
        </w:r>
      </w:hyperlink>
    </w:p>
    <w:p>
      <w:pPr>
        <w:pStyle w:val="DefinitionTerm"/>
      </w:pPr>
      <w:r>
        <w:t xml:space="preserve">Zielklasse</w:t>
      </w:r>
    </w:p>
    <w:p>
      <w:pPr>
        <w:pStyle w:val="Definition"/>
      </w:pPr>
      <w:hyperlink r:id="rId140">
        <w:r>
          <w:rPr>
            <w:rStyle w:val="Hyperlink"/>
          </w:rPr>
          <w:t xml:space="preserve">schema:QuantitativeValue</w:t>
        </w:r>
      </w:hyperlink>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15401 Instanzen mit je 3 Tripeln</w:t>
      </w:r>
    </w:p>
    <w:p>
      <w:pPr>
        <w:pStyle w:val="DefinitionTerm"/>
      </w:pPr>
      <w:r>
        <w:t xml:space="preserve">Datenzugriff</w:t>
      </w:r>
    </w:p>
    <w:p>
      <w:pPr>
        <w:pStyle w:val="Definition"/>
      </w:pPr>
      <w:hyperlink r:id="rId141">
        <w:r>
          <w:rPr>
            <w:rStyle w:val="Hyperlink"/>
          </w:rPr>
          <w:t xml:space="preserve">SPARQL-Dienst</w:t>
        </w:r>
      </w:hyperlink>
    </w:p>
    <w:bookmarkEnd w:id="142"/>
    <w:bookmarkStart w:id="146" w:name="X2e1f3b536eb29ac285cf6217bf2fada750b5fc0"/>
    <w:p>
      <w:pPr>
        <w:pStyle w:val="berschrift3"/>
      </w:pPr>
      <w:r>
        <w:t xml:space="preserve">3.7.2 Eigenschaften</w:t>
      </w:r>
    </w:p>
    <w:tbl>
      <w:tblPr>
        <w:tblStyle w:val="Table"/>
        <w:tblW w:type="pct" w:w="4961"/>
        <w:tblLayout w:type="fixed"/>
        <w:tblLook w:firstRow="1" w:lastRow="0" w:firstColumn="0" w:lastColumn="0" w:noHBand="0" w:noVBand="0" w:val="0020"/>
      </w:tblPr>
      <w:tblGrid>
        <w:gridCol w:w="3131"/>
        <w:gridCol w:w="3806"/>
        <w:gridCol w:w="920"/>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Wert</w:t>
            </w:r>
            <w:r>
              <w:t xml:space="preserve"> </w:t>
            </w:r>
            <w:r>
              <w:t xml:space="preserve">(</w:t>
            </w:r>
            <w:hyperlink r:id="rId97">
              <w:r>
                <w:rPr>
                  <w:rStyle w:val="Hyperlink"/>
                </w:rPr>
                <w:t xml:space="preserve">schema:value</w:t>
              </w:r>
            </w:hyperlink>
            <w:r>
              <w:t xml:space="preserve">): Ein</w:t>
            </w:r>
            <w:r>
              <w:t xml:space="preserve"> </w:t>
            </w:r>
            <w:r>
              <w:t xml:space="preserve">quantitativer Wert muss genau einen numerischen</w:t>
            </w:r>
            <w:r>
              <w:t xml:space="preserve"> </w:t>
            </w:r>
            <w:r>
              <w:t xml:space="preserve">Wert haben.</w:t>
            </w:r>
          </w:p>
        </w:tc>
        <w:tc>
          <w:tcPr/>
          <w:p>
            <w:pPr>
              <w:pStyle w:val="Compact"/>
              <w:numPr>
                <w:ilvl w:val="0"/>
                <w:numId w:val="1032"/>
              </w:numPr>
              <w:jc w:val="left"/>
            </w:pPr>
            <w:r>
              <w:t xml:space="preserve">Typ: Dezimalzahl</w:t>
            </w:r>
            <w:r>
              <w:t xml:space="preserve"> </w:t>
            </w:r>
            <w:r>
              <w:t xml:space="preserve">(</w:t>
            </w:r>
            <w:hyperlink r:id="rId143">
              <w:r>
                <w:rPr>
                  <w:rStyle w:val="Hyperlink"/>
                </w:rPr>
                <w:t xml:space="preserve">xsd:decimal</w:t>
              </w:r>
            </w:hyperlink>
            <w:r>
              <w:t xml:space="preserve">)</w:t>
            </w:r>
            <w:r>
              <w:t xml:space="preserve"> </w:t>
            </w:r>
            <w:r>
              <w:t xml:space="preserve">oder Ganzzahl</w:t>
            </w:r>
            <w:r>
              <w:t xml:space="preserve"> </w:t>
            </w:r>
            <w:r>
              <w:t xml:space="preserve">(</w:t>
            </w:r>
            <w:hyperlink r:id="rId144">
              <w:r>
                <w:rPr>
                  <w:rStyle w:val="Hyperlink"/>
                </w:rPr>
                <w:t xml:space="preserve">xsd:integer</w:t>
              </w:r>
            </w:hyperlink>
            <w:r>
              <w:t xml:space="preserve">)</w:t>
            </w:r>
          </w:p>
          <w:p>
            <w:pPr>
              <w:pStyle w:val="Compact"/>
              <w:numPr>
                <w:ilvl w:val="0"/>
                <w:numId w:val="1032"/>
              </w:numPr>
              <w:jc w:val="left"/>
            </w:pPr>
            <w:r>
              <w:t xml:space="preserve">Wertebereich: ≥ 0</w:t>
            </w:r>
          </w:p>
        </w:tc>
        <w:tc>
          <w:tcPr/>
          <w:p>
            <w:pPr>
              <w:pStyle w:val="Compact"/>
              <w:jc w:val="right"/>
            </w:pPr>
            <w:r>
              <w:t xml:space="preserve">1..1</w:t>
            </w:r>
          </w:p>
        </w:tc>
      </w:tr>
      <w:tr>
        <w:tc>
          <w:tcPr/>
          <w:p>
            <w:pPr>
              <w:pStyle w:val="Compact"/>
              <w:jc w:val="left"/>
            </w:pPr>
            <w:r>
              <w:rPr>
                <w:b/>
                <w:bCs/>
              </w:rPr>
              <w:t xml:space="preserve">Einheitencode</w:t>
            </w:r>
            <w:r>
              <w:t xml:space="preserve"> </w:t>
            </w:r>
            <w:r>
              <w:t xml:space="preserve">(</w:t>
            </w:r>
            <w:hyperlink r:id="rId95">
              <w:r>
                <w:rPr>
                  <w:rStyle w:val="Hyperlink"/>
                </w:rPr>
                <w:t xml:space="preserve">schema:unitCode</w:t>
              </w:r>
            </w:hyperlink>
            <w:r>
              <w:t xml:space="preserve">):</w:t>
            </w:r>
            <w:r>
              <w:t xml:space="preserve"> </w:t>
            </w:r>
            <w:r>
              <w:t xml:space="preserve">Die Einheit als Code der Codeliste Einheiten</w:t>
            </w:r>
            <w:r>
              <w:t xml:space="preserve"> </w:t>
            </w:r>
            <w:r>
              <w:t xml:space="preserve">(IRI des QUDT-Vokabulars).</w:t>
            </w:r>
          </w:p>
        </w:tc>
        <w:tc>
          <w:tcPr/>
          <w:p>
            <w:pPr>
              <w:pStyle w:val="Compact"/>
              <w:numPr>
                <w:ilvl w:val="0"/>
                <w:numId w:val="1033"/>
              </w:numPr>
              <w:jc w:val="left"/>
            </w:pPr>
            <w:r>
              <w:t xml:space="preserve">Typ:</w:t>
            </w:r>
            <w:r>
              <w:t xml:space="preserve"> </w:t>
            </w:r>
            <w:hyperlink r:id="rId88">
              <w:r>
                <w:rPr>
                  <w:rStyle w:val="Hyperlink"/>
                </w:rPr>
                <w:t xml:space="preserve">schema:CategoryCode</w:t>
              </w:r>
            </w:hyperlink>
            <w:r>
              <w:t xml:space="preserve">,</w:t>
            </w:r>
            <w:r>
              <w:t xml:space="preserve"> </w:t>
            </w:r>
            <w:r>
              <w:t xml:space="preserve">siehe Codeliste</w:t>
            </w:r>
            <w:r>
              <w:t xml:space="preserve"> </w:t>
            </w:r>
            <w:hyperlink w:anchor="sec-codelist-units">
              <w:r>
                <w:rPr>
                  <w:rStyle w:val="Hyperlink"/>
                </w:rPr>
                <w:t xml:space="preserve">Einheiten</w:t>
              </w:r>
            </w:hyperlink>
          </w:p>
          <w:p>
            <w:pPr>
              <w:pStyle w:val="Compact"/>
              <w:numPr>
                <w:ilvl w:val="0"/>
                <w:numId w:val="1033"/>
              </w:numPr>
              <w:jc w:val="left"/>
            </w:pPr>
            <w:r>
              <w:t xml:space="preserve">Beispiele:</w:t>
            </w:r>
            <w:r>
              <w:t xml:space="preserve"> </w:t>
            </w:r>
            <w:hyperlink r:id="rId145">
              <w:r>
                <w:rPr>
                  <w:rStyle w:val="Hyperlink"/>
                </w:rPr>
                <w:t xml:space="preserve">currency:USD</w:t>
              </w:r>
            </w:hyperlink>
            <w:r>
              <w:t xml:space="preserve">,</w:t>
            </w:r>
            <w:r>
              <w:t xml:space="preserve"> </w:t>
            </w:r>
            <w:hyperlink r:id="rId96">
              <w:r>
                <w:rPr>
                  <w:rStyle w:val="Hyperlink"/>
                </w:rPr>
                <w:t xml:space="preserve">unit:MilliSEC</w:t>
              </w:r>
            </w:hyperlink>
          </w:p>
        </w:tc>
        <w:tc>
          <w:tcPr/>
          <w:p>
            <w:pPr>
              <w:pStyle w:val="Compact"/>
              <w:jc w:val="right"/>
            </w:pPr>
            <w:r>
              <w:t xml:space="preserve">1..1</w:t>
            </w:r>
          </w:p>
        </w:tc>
      </w:tr>
    </w:tbl>
    <w:bookmarkEnd w:id="146"/>
    <w:bookmarkEnd w:id="147"/>
    <w:bookmarkStart w:id="161" w:name="sec-nodeshape-invoiceshape"/>
    <w:p>
      <w:pPr>
        <w:pStyle w:val="berschrift2"/>
      </w:pPr>
      <w:r>
        <w:t xml:space="preserve">3.8 Rechnung</w:t>
      </w:r>
    </w:p>
    <w:p>
      <w:pPr>
        <w:pStyle w:val="FirstParagraph"/>
      </w:pPr>
      <w:r>
        <w:t xml:space="preserve">Ein Kaufbeleg im Chinook-Datensatz. Eine Rechnung fasst die Positionen eines Kaufs zusammen. Der Rechnungsbetrag wird nicht nur als Wert erfasst, sondern auch gegen die Summe der Positionen geprüft; Abweichungen von mehr als fünf Rappen gelten als Fehler. Rechnungen vor dem Jahr 2000 stammen aus einem Altsystem und sind in diesem Datensatz nicht zulässig.</w:t>
      </w:r>
    </w:p>
    <w:bookmarkStart w:id="151" w:name="sec-nodeshape-invoiceshape-overview"/>
    <w:p>
      <w:pPr>
        <w:pStyle w:val="berschrift3"/>
      </w:pPr>
      <w:r>
        <w:t xml:space="preserve">3.8.1 Übersicht</w:t>
      </w:r>
    </w:p>
    <w:p>
      <w:pPr>
        <w:pStyle w:val="DefinitionTerm"/>
      </w:pPr>
      <w:r>
        <w:t xml:space="preserve">Shape</w:t>
      </w:r>
    </w:p>
    <w:p>
      <w:pPr>
        <w:pStyle w:val="Definition"/>
      </w:pPr>
      <w:hyperlink r:id="rId148">
        <w:r>
          <w:rPr>
            <w:rStyle w:val="Hyperlink"/>
          </w:rPr>
          <w:t xml:space="preserve">:InvoiceShape</w:t>
        </w:r>
      </w:hyperlink>
    </w:p>
    <w:p>
      <w:pPr>
        <w:pStyle w:val="DefinitionTerm"/>
      </w:pPr>
      <w:r>
        <w:t xml:space="preserve">Zielklasse</w:t>
      </w:r>
    </w:p>
    <w:p>
      <w:pPr>
        <w:pStyle w:val="Definition"/>
      </w:pPr>
      <w:hyperlink r:id="rId149">
        <w:r>
          <w:rPr>
            <w:rStyle w:val="Hyperlink"/>
          </w:rPr>
          <w:t xml:space="preserve">schema:Invoice</w:t>
        </w:r>
      </w:hyperlink>
    </w:p>
    <w:p>
      <w:pPr>
        <w:pStyle w:val="DefinitionTerm"/>
      </w:pPr>
      <w:r>
        <w:t xml:space="preserve">Geschlossen</w:t>
      </w:r>
    </w:p>
    <w:p>
      <w:pPr>
        <w:pStyle w:val="Definition"/>
      </w:pPr>
      <w:r>
        <w:t xml:space="preserve">Nein (weitere Eigenschaften zulässig)</w:t>
      </w:r>
    </w:p>
    <w:p>
      <w:pPr>
        <w:pStyle w:val="DefinitionTerm"/>
      </w:pPr>
      <w:r>
        <w:t xml:space="preserve">Kennzahlen</w:t>
      </w:r>
    </w:p>
    <w:p>
      <w:pPr>
        <w:pStyle w:val="Definition"/>
      </w:pPr>
      <w:r>
        <w:t xml:space="preserve">412 Instanzen mit je 8 bis 21 Tripeln (im Mittel 12.4)</w:t>
      </w:r>
    </w:p>
    <w:p>
      <w:pPr>
        <w:pStyle w:val="DefinitionTerm"/>
      </w:pPr>
      <w:r>
        <w:t xml:space="preserve">Datenzugriff</w:t>
      </w:r>
    </w:p>
    <w:p>
      <w:pPr>
        <w:pStyle w:val="Definition"/>
      </w:pPr>
      <w:hyperlink r:id="rId150">
        <w:r>
          <w:rPr>
            <w:rStyle w:val="Hyperlink"/>
          </w:rPr>
          <w:t xml:space="preserve">SPARQL-Dienst</w:t>
        </w:r>
      </w:hyperlink>
    </w:p>
    <w:bookmarkEnd w:id="151"/>
    <w:bookmarkStart w:id="157" w:name="sec-nodeshape-invoiceshape-properties"/>
    <w:p>
      <w:pPr>
        <w:pStyle w:val="berschrift3"/>
      </w:pPr>
      <w:r>
        <w:t xml:space="preserve">3.8.2 Eigenschaften</w:t>
      </w:r>
    </w:p>
    <w:tbl>
      <w:tblPr>
        <w:tblStyle w:val="Table"/>
        <w:tblW w:type="pct" w:w="4964"/>
        <w:tblLayout w:type="fixed"/>
        <w:tblLook w:firstRow="1" w:lastRow="0" w:firstColumn="0" w:lastColumn="0" w:noHBand="0" w:noVBand="0" w:val="0020"/>
      </w:tblPr>
      <w:tblGrid>
        <w:gridCol w:w="3730"/>
        <w:gridCol w:w="3271"/>
        <w:gridCol w:w="860"/>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Kunde</w:t>
            </w:r>
            <w:r>
              <w:t xml:space="preserve"> </w:t>
            </w:r>
            <w:r>
              <w:t xml:space="preserve">(</w:t>
            </w:r>
            <w:hyperlink r:id="rId152">
              <w:r>
                <w:rPr>
                  <w:rStyle w:val="Hyperlink"/>
                </w:rPr>
                <w:t xml:space="preserve">schema:customer</w:t>
              </w:r>
            </w:hyperlink>
            <w:r>
              <w:t xml:space="preserve">):</w:t>
            </w:r>
            <w:r>
              <w:t xml:space="preserve"> </w:t>
            </w:r>
            <w:r>
              <w:t xml:space="preserve">Eine Rechnung muss genau einem Kunden zugeordnet sein.</w:t>
            </w:r>
          </w:p>
        </w:tc>
        <w:tc>
          <w:tcPr/>
          <w:p>
            <w:pPr>
              <w:pStyle w:val="Compact"/>
              <w:numPr>
                <w:ilvl w:val="0"/>
                <w:numId w:val="1034"/>
              </w:numPr>
              <w:jc w:val="left"/>
            </w:pPr>
            <w:r>
              <w:t xml:space="preserve">Typ:</w:t>
            </w:r>
            <w:r>
              <w:t xml:space="preserve"> </w:t>
            </w:r>
            <w:hyperlink w:anchor="sec-nodeshape-personshape">
              <w:r>
                <w:rPr>
                  <w:rStyle w:val="Hyperlink"/>
                </w:rPr>
                <w:t xml:space="preserve">Person</w:t>
              </w:r>
            </w:hyperlink>
          </w:p>
        </w:tc>
        <w:tc>
          <w:tcPr/>
          <w:p>
            <w:pPr>
              <w:pStyle w:val="Compact"/>
              <w:jc w:val="right"/>
            </w:pPr>
            <w:r>
              <w:t xml:space="preserve">1..1</w:t>
            </w:r>
          </w:p>
        </w:tc>
      </w:tr>
      <w:tr>
        <w:tc>
          <w:tcPr/>
          <w:p>
            <w:pPr>
              <w:pStyle w:val="Compact"/>
              <w:jc w:val="left"/>
            </w:pPr>
            <w:r>
              <w:rPr>
                <w:b/>
                <w:bCs/>
              </w:rPr>
              <w:t xml:space="preserve">Fälliger Gesamtbetrag</w:t>
            </w:r>
            <w:r>
              <w:t xml:space="preserve"> </w:t>
            </w:r>
            <w:r>
              <w:t xml:space="preserve">(</w:t>
            </w:r>
            <w:hyperlink r:id="rId153">
              <w:r>
                <w:rPr>
                  <w:rStyle w:val="Hyperlink"/>
                </w:rPr>
                <w:t xml:space="preserve">schema:totalPaymentDue</w:t>
              </w:r>
            </w:hyperlink>
            <w:r>
              <w:t xml:space="preserve">):</w:t>
            </w:r>
            <w:r>
              <w:t xml:space="preserve"> </w:t>
            </w:r>
            <w:r>
              <w:t xml:space="preserve">Eine Rechnung muss einen fälligen Gesamtbetrag als</w:t>
            </w:r>
            <w:r>
              <w:t xml:space="preserve"> </w:t>
            </w:r>
            <w:r>
              <w:t xml:space="preserve">schema:QuantitativeValue definieren.</w:t>
            </w:r>
          </w:p>
        </w:tc>
        <w:tc>
          <w:tcPr/>
          <w:p>
            <w:pPr>
              <w:pStyle w:val="Compact"/>
              <w:numPr>
                <w:ilvl w:val="0"/>
                <w:numId w:val="1035"/>
              </w:numPr>
              <w:jc w:val="left"/>
            </w:pPr>
            <w:r>
              <w:t xml:space="preserve">Typ:</w:t>
            </w:r>
            <w:r>
              <w:t xml:space="preserve"> </w:t>
            </w:r>
            <w:hyperlink w:anchor="sec-nodeshape-quantitativevalueshape">
              <w:r>
                <w:rPr>
                  <w:rStyle w:val="Hyperlink"/>
                </w:rPr>
                <w:t xml:space="preserve">Quantitativer</w:t>
              </w:r>
              <w:r>
                <w:rPr>
                  <w:rStyle w:val="Hyperlink"/>
                </w:rPr>
                <w:t xml:space="preserve"> </w:t>
              </w:r>
              <w:r>
                <w:rPr>
                  <w:rStyle w:val="Hyperlink"/>
                </w:rPr>
                <w:t xml:space="preserve">Wert</w:t>
              </w:r>
            </w:hyperlink>
            <w:r>
              <w:t xml:space="preserve"> </w:t>
            </w:r>
            <w:r>
              <w:t xml:space="preserve">mit</w:t>
            </w:r>
            <w:r>
              <w:t xml:space="preserve"> </w:t>
            </w:r>
            <w:r>
              <w:t xml:space="preserve">folgenden Einschränkungen:</w:t>
            </w:r>
          </w:p>
          <w:p>
            <w:pPr>
              <w:pStyle w:val="Compact"/>
              <w:numPr>
                <w:ilvl w:val="1"/>
                <w:numId w:val="1036"/>
              </w:numPr>
              <w:jc w:val="left"/>
            </w:pPr>
            <w:r>
              <w:t xml:space="preserve">Einheitencode</w:t>
            </w:r>
            <w:r>
              <w:t xml:space="preserve"> </w:t>
            </w:r>
            <w:r>
              <w:t xml:space="preserve">(</w:t>
            </w:r>
            <w:hyperlink r:id="rId95">
              <w:r>
                <w:rPr>
                  <w:rStyle w:val="Hyperlink"/>
                </w:rPr>
                <w:t xml:space="preserve">schema:unitCode</w:t>
              </w:r>
            </w:hyperlink>
            <w:r>
              <w:t xml:space="preserve">):</w:t>
            </w:r>
            <w:r>
              <w:t xml:space="preserve"> </w:t>
            </w:r>
            <w:r>
              <w:t xml:space="preserve">Pflichtwert</w:t>
            </w:r>
            <w:r>
              <w:t xml:space="preserve"> </w:t>
            </w:r>
            <w:hyperlink r:id="rId145">
              <w:r>
                <w:rPr>
                  <w:rStyle w:val="Hyperlink"/>
                </w:rPr>
                <w:t xml:space="preserve">currency:USD</w:t>
              </w:r>
            </w:hyperlink>
          </w:p>
        </w:tc>
        <w:tc>
          <w:tcPr/>
          <w:p>
            <w:pPr>
              <w:pStyle w:val="Compact"/>
              <w:jc w:val="right"/>
            </w:pPr>
            <w:r>
              <w:t xml:space="preserve">1..1</w:t>
            </w:r>
          </w:p>
        </w:tc>
      </w:tr>
      <w:tr>
        <w:tc>
          <w:tcPr/>
          <w:p>
            <w:pPr>
              <w:pStyle w:val="Compact"/>
              <w:jc w:val="left"/>
            </w:pPr>
            <w:r>
              <w:rPr>
                <w:b/>
                <w:bCs/>
              </w:rPr>
              <w:t xml:space="preserve">Enthält</w:t>
            </w:r>
            <w:r>
              <w:t xml:space="preserve"> </w:t>
            </w:r>
            <w:r>
              <w:t xml:space="preserve">(</w:t>
            </w:r>
            <w:hyperlink r:id="rId154">
              <w:r>
                <w:rPr>
                  <w:rStyle w:val="Hyperlink"/>
                </w:rPr>
                <w:t xml:space="preserve">schema:hasPart</w:t>
              </w:r>
            </w:hyperlink>
            <w:r>
              <w:t xml:space="preserve">):</w:t>
            </w:r>
            <w:r>
              <w:t xml:space="preserve"> </w:t>
            </w:r>
            <w:r>
              <w:t xml:space="preserve">Eine Rechnung muss mindestens eine Position (OrderItem)</w:t>
            </w:r>
            <w:r>
              <w:t xml:space="preserve"> </w:t>
            </w:r>
            <w:r>
              <w:t xml:space="preserve">enthalten.</w:t>
            </w:r>
          </w:p>
        </w:tc>
        <w:tc>
          <w:tcPr/>
          <w:p>
            <w:pPr>
              <w:pStyle w:val="Compact"/>
              <w:numPr>
                <w:ilvl w:val="0"/>
                <w:numId w:val="1037"/>
              </w:numPr>
              <w:jc w:val="left"/>
            </w:pPr>
            <w:r>
              <w:t xml:space="preserve">Typ:</w:t>
            </w:r>
            <w:r>
              <w:t xml:space="preserve"> </w:t>
            </w:r>
            <w:hyperlink r:id="rId155">
              <w:r>
                <w:rPr>
                  <w:rStyle w:val="Hyperlink"/>
                </w:rPr>
                <w:t xml:space="preserve">schema:OrderItem</w:t>
              </w:r>
            </w:hyperlink>
          </w:p>
        </w:tc>
        <w:tc>
          <w:tcPr/>
          <w:p>
            <w:pPr>
              <w:pStyle w:val="Compact"/>
              <w:jc w:val="right"/>
            </w:pPr>
            <w:r>
              <w:t xml:space="preserve">1..*</w:t>
            </w:r>
          </w:p>
        </w:tc>
      </w:tr>
      <w:tr>
        <w:tc>
          <w:tcPr/>
          <w:p>
            <w:pPr>
              <w:pStyle w:val="Compact"/>
              <w:jc w:val="left"/>
            </w:pPr>
            <w:r>
              <w:rPr>
                <w:b/>
                <w:bCs/>
              </w:rPr>
              <w:t xml:space="preserve">Erstellungsdatum</w:t>
            </w:r>
            <w:r>
              <w:t xml:space="preserve"> </w:t>
            </w:r>
            <w:r>
              <w:t xml:space="preserve">(</w:t>
            </w:r>
            <w:hyperlink r:id="rId156">
              <w:r>
                <w:rPr>
                  <w:rStyle w:val="Hyperlink"/>
                </w:rPr>
                <w:t xml:space="preserve">schema:dateCreated</w:t>
              </w:r>
            </w:hyperlink>
            <w:r>
              <w:t xml:space="preserve">)</w:t>
            </w:r>
          </w:p>
        </w:tc>
        <w:tc>
          <w:tcPr/>
          <w:p>
            <w:pPr>
              <w:pStyle w:val="Compact"/>
              <w:numPr>
                <w:ilvl w:val="0"/>
                <w:numId w:val="1038"/>
              </w:numPr>
              <w:jc w:val="left"/>
            </w:pPr>
            <w:r>
              <w:t xml:space="preserve">Typ: Datum</w:t>
            </w:r>
            <w:r>
              <w:t xml:space="preserve"> </w:t>
            </w:r>
            <w:r>
              <w:t xml:space="preserve">(</w:t>
            </w:r>
            <w:hyperlink r:id="rId115">
              <w:r>
                <w:rPr>
                  <w:rStyle w:val="Hyperlink"/>
                </w:rPr>
                <w:t xml:space="preserve">xsd:date</w:t>
              </w:r>
            </w:hyperlink>
            <w:r>
              <w:t xml:space="preserve">)</w:t>
            </w:r>
          </w:p>
          <w:p>
            <w:pPr>
              <w:pStyle w:val="Compact"/>
              <w:numPr>
                <w:ilvl w:val="0"/>
                <w:numId w:val="1038"/>
              </w:numPr>
              <w:jc w:val="left"/>
            </w:pPr>
            <w:r>
              <w:t xml:space="preserve">Wertebereich: ≥ 2000-01-01</w:t>
            </w:r>
          </w:p>
          <w:p>
            <w:pPr>
              <w:pStyle w:val="Compact"/>
              <w:numPr>
                <w:ilvl w:val="0"/>
                <w:numId w:val="1038"/>
              </w:numPr>
              <w:jc w:val="left"/>
            </w:pPr>
            <w:r>
              <w:t xml:space="preserve">Beispiele: 2001-01-01, 2024-05-21</w:t>
            </w:r>
          </w:p>
        </w:tc>
        <w:tc>
          <w:tcPr/>
          <w:p>
            <w:pPr>
              <w:pStyle w:val="Compact"/>
              <w:jc w:val="right"/>
            </w:pPr>
            <w:r>
              <w:t xml:space="preserve">0..*</w:t>
            </w:r>
          </w:p>
        </w:tc>
      </w:tr>
    </w:tbl>
    <w:bookmarkEnd w:id="157"/>
    <w:bookmarkStart w:id="160" w:name="sec-nodeshape-invoiceshape-rules"/>
    <w:p>
      <w:pPr>
        <w:pStyle w:val="berschrift3"/>
      </w:pPr>
      <w:r>
        <w:t xml:space="preserve">3.8.3 Regeln (SPARQL)</w:t>
      </w:r>
    </w:p>
    <w:bookmarkStart w:id="158" w:name="sec-nodeshape-invoiceshape-rule-1"/>
    <w:p>
      <w:pPr>
        <w:pStyle w:val="berschrift4"/>
      </w:pPr>
      <w:r>
        <w:t xml:space="preserve">3.8.3.1 Rechnungsdatum</w:t>
      </w:r>
    </w:p>
    <w:p>
      <w:pPr>
        <w:pStyle w:val="FirstParagraph"/>
      </w:pPr>
      <w:r>
        <w:t xml:space="preserve">Eine Rechnung darf nicht vor dem Jahr 2000 datiert sein.</w:t>
      </w:r>
    </w:p>
    <w:p>
      <w:pPr>
        <w:pStyle w:val="SourceCode"/>
      </w:pPr>
      <w:r>
        <w:rPr>
          <w:rStyle w:val="VerbatimChar"/>
        </w:rPr>
        <w:t xml:space="preserve">SELECT $this</w:t>
      </w:r>
      <w:r>
        <w:br/>
      </w:r>
      <w:r>
        <w:rPr>
          <w:rStyle w:val="VerbatimChar"/>
        </w:rPr>
        <w:t xml:space="preserve">WHERE {</w:t>
      </w:r>
      <w:r>
        <w:br/>
      </w:r>
      <w:r>
        <w:rPr>
          <w:rStyle w:val="VerbatimChar"/>
        </w:rPr>
        <w:t xml:space="preserve">    $this schema:dateCreated ?date .</w:t>
      </w:r>
      <w:r>
        <w:br/>
      </w:r>
      <w:r>
        <w:rPr>
          <w:rStyle w:val="VerbatimChar"/>
        </w:rPr>
        <w:t xml:space="preserve">    FILTER(?date &lt; "2000-01-01"^^xsd:date)</w:t>
      </w:r>
      <w:r>
        <w:br/>
      </w:r>
      <w:r>
        <w:rPr>
          <w:rStyle w:val="VerbatimChar"/>
        </w:rPr>
        <w:t xml:space="preserve">}</w:t>
      </w:r>
    </w:p>
    <w:bookmarkEnd w:id="158"/>
    <w:bookmarkStart w:id="159" w:name="sec-nodeshape-invoiceshape-rule-2"/>
    <w:p>
      <w:pPr>
        <w:pStyle w:val="berschrift4"/>
      </w:pPr>
      <w:r>
        <w:t xml:space="preserve">3.8.3.2 Rechnungssumme</w:t>
      </w:r>
    </w:p>
    <w:p>
      <w:pPr>
        <w:pStyle w:val="FirstParagraph"/>
      </w:pPr>
      <w:r>
        <w:t xml:space="preserve">Die Rechnungssumme muss exakt mit der Summe ihrer Positionen übereinstimmen (Toleranz 0.05).</w:t>
      </w:r>
    </w:p>
    <w:p>
      <w:pPr>
        <w:pStyle w:val="SourceCode"/>
      </w:pPr>
      <w:r>
        <w:rPr>
          <w:rStyle w:val="VerbatimChar"/>
        </w:rPr>
        <w:t xml:space="preserve">SELECT $this</w:t>
      </w:r>
      <w:r>
        <w:br/>
      </w:r>
      <w:r>
        <w:rPr>
          <w:rStyle w:val="VerbatimChar"/>
        </w:rPr>
        <w:t xml:space="preserve">WHERE {</w:t>
      </w:r>
      <w:r>
        <w:br/>
      </w:r>
      <w:r>
        <w:rPr>
          <w:rStyle w:val="VerbatimChar"/>
        </w:rPr>
        <w:t xml:space="preserve">    $this schema:totalPaymentDue/schema:value ?invoiceTotal .</w:t>
      </w:r>
      <w:r>
        <w:br/>
      </w:r>
      <w:r>
        <w:rPr>
          <w:rStyle w:val="VerbatimChar"/>
        </w:rPr>
        <w:t xml:space="preserve">    {</w:t>
      </w:r>
      <w:r>
        <w:br/>
      </w:r>
      <w:r>
        <w:rPr>
          <w:rStyle w:val="VerbatimChar"/>
        </w:rPr>
        <w:t xml:space="preserve">        SELECT $this (SUM(?price * ?qty) AS ?calculatedTotal)</w:t>
      </w:r>
      <w:r>
        <w:br/>
      </w:r>
      <w:r>
        <w:rPr>
          <w:rStyle w:val="VerbatimChar"/>
        </w:rPr>
        <w:t xml:space="preserve">        WHERE {</w:t>
      </w:r>
      <w:r>
        <w:br/>
      </w:r>
      <w:r>
        <w:rPr>
          <w:rStyle w:val="VerbatimChar"/>
        </w:rPr>
        <w:t xml:space="preserve">            $this schema:hasPart ?line .</w:t>
      </w:r>
      <w:r>
        <w:br/>
      </w:r>
      <w:r>
        <w:rPr>
          <w:rStyle w:val="VerbatimChar"/>
        </w:rPr>
        <w:t xml:space="preserve">            ?line schema:price/schema:value ?price .</w:t>
      </w:r>
      <w:r>
        <w:br/>
      </w:r>
      <w:r>
        <w:rPr>
          <w:rStyle w:val="VerbatimChar"/>
        </w:rPr>
        <w:t xml:space="preserve">            ?line schema:orderQuantity/schema:value ?qty .</w:t>
      </w:r>
      <w:r>
        <w:br/>
      </w:r>
      <w:r>
        <w:rPr>
          <w:rStyle w:val="VerbatimChar"/>
        </w:rPr>
        <w:t xml:space="preserve">        }</w:t>
      </w:r>
      <w:r>
        <w:br/>
      </w:r>
      <w:r>
        <w:rPr>
          <w:rStyle w:val="VerbatimChar"/>
        </w:rPr>
        <w:t xml:space="preserve">        GROUP BY $this</w:t>
      </w:r>
      <w:r>
        <w:br/>
      </w:r>
      <w:r>
        <w:rPr>
          <w:rStyle w:val="VerbatimChar"/>
        </w:rPr>
        <w:t xml:space="preserve">    }</w:t>
      </w:r>
      <w:r>
        <w:br/>
      </w:r>
      <w:r>
        <w:rPr>
          <w:rStyle w:val="VerbatimChar"/>
        </w:rPr>
        <w:t xml:space="preserve">    FILTER(ABS(?invoiceTotal - ?calculatedTotal) &gt; 0.05)</w:t>
      </w:r>
      <w:r>
        <w:br/>
      </w:r>
      <w:r>
        <w:rPr>
          <w:rStyle w:val="VerbatimChar"/>
        </w:rPr>
        <w:t xml:space="preserve">}</w:t>
      </w:r>
    </w:p>
    <w:bookmarkEnd w:id="159"/>
    <w:bookmarkEnd w:id="160"/>
    <w:bookmarkEnd w:id="161"/>
    <w:bookmarkEnd w:id="162"/>
    <w:bookmarkStart w:id="168" w:name="sec-codelists"/>
    <w:p>
      <w:pPr>
        <w:pStyle w:val="berschrift1"/>
      </w:pPr>
      <w:r>
        <w:t xml:space="preserve">4. Codelisten</w:t>
      </w:r>
    </w:p>
    <w:p>
      <w:pPr>
        <w:pStyle w:val="FirstParagraph"/>
      </w:pPr>
      <w:r>
        <w:t xml:space="preserve">Die folgenden Codelisten legen die zulässigen Werte der entsprechenden Eigenschaften des Datenmodells fest (</w:t>
      </w:r>
      <w:hyperlink w:anchor="sec-data-model">
        <w:r>
          <w:rPr>
            <w:rStyle w:val="Hyperlink"/>
          </w:rPr>
          <w:t xml:space="preserve">Kapitel 3</w:t>
        </w:r>
      </w:hyperlink>
      <w:r>
        <w:t xml:space="preserve">). Jede Codeliste ist als</w:t>
      </w:r>
      <w:r>
        <w:t xml:space="preserve"> </w:t>
      </w:r>
      <w:r>
        <w:rPr>
          <w:rStyle w:val="VerbatimChar"/>
        </w:rPr>
        <w:t xml:space="preserve">schema:CategoryCodeSet</w:t>
      </w:r>
      <w:r>
        <w:t xml:space="preserve"> </w:t>
      </w:r>
      <w:r>
        <w:t xml:space="preserve">und jeder Wert als</w:t>
      </w:r>
      <w:r>
        <w:t xml:space="preserve"> </w:t>
      </w:r>
      <w:r>
        <w:rPr>
          <w:rStyle w:val="VerbatimChar"/>
        </w:rPr>
        <w:t xml:space="preserve">schema:CategoryCode</w:t>
      </w:r>
      <w:r>
        <w:t xml:space="preserve"> </w:t>
      </w:r>
      <w:r>
        <w:t xml:space="preserve">auf LINDAS publiziert.</w:t>
      </w:r>
    </w:p>
    <w:bookmarkStart w:id="165" w:name="sec-codelist-units"/>
    <w:p>
      <w:pPr>
        <w:pStyle w:val="berschrift2"/>
      </w:pPr>
      <w:r>
        <w:t xml:space="preserve">4.1 Einheiten</w:t>
      </w:r>
    </w:p>
    <w:p>
      <w:pPr>
        <w:pStyle w:val="FirstParagraph"/>
      </w:pPr>
      <w:r>
        <w:t xml:space="preserve">Die Einheiten der quantitativen Werte des Datensatzes: Dauer in Millisekunden, Dateigrösse in Byte, Stückzahl und Preise in US-Dollar. Die Codes sind IRIs des QUDT-Vokabulars, die Codewerte die UN/CEFACT Common Codes bzw. der ISO-4217-Währungscode.</w:t>
      </w:r>
    </w:p>
    <w:tbl>
      <w:tblPr>
        <w:tblStyle w:val="Table"/>
        <w:tblW w:type="pct" w:w="5000"/>
        <w:tblLayout w:type="fixed"/>
        <w:tblLook w:firstRow="0" w:lastRow="0" w:firstColumn="0" w:lastColumn="0" w:noHBand="0" w:noVBand="0" w:val="0000"/>
      </w:tblPr>
      <w:tblGrid>
        <w:gridCol w:w="7920"/>
      </w:tblGrid>
      <w:tr>
        <w:tc>
          <w:tcPr/>
          <w:bookmarkStart w:id="164" w:name="tbl-codelist-units"/>
          <w:p>
            <w:pPr>
              <w:jc w:val="center"/>
            </w:pPr>
            <w:pPr>
              <w:jc w:val="left"/>
              <w:spacing w:before="200"/>
              <w:pStyle w:val="ImageCaption"/>
            </w:pPr>
            <w:r>
              <w:t xml:space="preserve">Tabelle 3: Werte der Codeliste Einheiten.</w:t>
            </w:r>
          </w:p>
          <w:tbl>
            <w:tblPr>
              <w:tblStyle w:val="Table"/>
              <w:tblW w:type="pct" w:w="5000"/>
              <w:tblLayout w:type="fixed"/>
              <w:tblLook w:firstRow="1" w:lastRow="0" w:firstColumn="0" w:lastColumn="0" w:noHBand="0" w:noVBand="0" w:val="0020"/>
            </w:tblPr>
            <w:tblGrid>
              <w:gridCol w:w="1425"/>
              <w:gridCol w:w="792"/>
              <w:gridCol w:w="2376"/>
              <w:gridCol w:w="3326"/>
            </w:tblGrid>
            <w:tr>
              <w:trPr>
                <w:tblHeader w:val="on"/>
              </w:trPr>
              <w:tc>
                <w:tcPr/>
                <w:p>
                  <w:pPr>
                    <w:pStyle w:val="Compact"/>
                    <w:jc w:val="left"/>
                    <w:jc w:val="center"/>
                  </w:pPr>
                  <w:r>
                    <w:t xml:space="preserve">IRI</w:t>
                  </w:r>
                </w:p>
              </w:tc>
              <w:tc>
                <w:tcPr/>
                <w:p>
                  <w:pPr>
                    <w:pStyle w:val="Compact"/>
                    <w:jc w:val="left"/>
                    <w:jc w:val="center"/>
                  </w:pPr>
                  <w:r>
                    <w:t xml:space="preserve">Code</w:t>
                  </w:r>
                </w:p>
              </w:tc>
              <w:tc>
                <w:tcPr/>
                <w:p>
                  <w:pPr>
                    <w:pStyle w:val="Compact"/>
                    <w:jc w:val="left"/>
                    <w:jc w:val="center"/>
                  </w:pPr>
                  <w:r>
                    <w:t xml:space="preserve">Name</w:t>
                  </w:r>
                </w:p>
              </w:tc>
              <w:tc>
                <w:tcPr/>
                <w:p>
                  <w:pPr>
                    <w:pStyle w:val="Compact"/>
                    <w:jc w:val="left"/>
                    <w:jc w:val="center"/>
                  </w:pPr>
                  <w:r>
                    <w:t xml:space="preserve">Beschreibung</w:t>
                  </w:r>
                </w:p>
              </w:tc>
            </w:tr>
            <w:tr>
              <w:tc>
                <w:tcPr/>
                <w:p>
                  <w:pPr>
                    <w:pStyle w:val="Compact"/>
                    <w:jc w:val="left"/>
                    <w:jc w:val="center"/>
                  </w:pPr>
                  <w:hyperlink r:id="rId99">
                    <w:r>
                      <w:rPr>
                        <w:rStyle w:val="Hyperlink"/>
                      </w:rPr>
                      <w:t xml:space="preserve">unit:BYTE</w:t>
                    </w:r>
                  </w:hyperlink>
                </w:p>
              </w:tc>
              <w:tc>
                <w:tcPr/>
                <w:p>
                  <w:pPr>
                    <w:pStyle w:val="Compact"/>
                    <w:jc w:val="left"/>
                    <w:jc w:val="center"/>
                  </w:pPr>
                  <w:r>
                    <w:rPr>
                      <w:rStyle w:val="VerbatimChar"/>
                    </w:rPr>
                    <w:t xml:space="preserve">AD</w:t>
                  </w:r>
                </w:p>
              </w:tc>
              <w:tc>
                <w:tcPr/>
                <w:p>
                  <w:pPr>
                    <w:pStyle w:val="Compact"/>
                    <w:jc w:val="left"/>
                    <w:jc w:val="center"/>
                  </w:pPr>
                  <w:r>
                    <w:t xml:space="preserve">Byte (B)</w:t>
                  </w:r>
                </w:p>
              </w:tc>
              <w:tc>
                <w:tcPr/>
                <w:p>
                  <w:pPr>
                    <w:pStyle w:val="Compact"/>
                    <w:jc w:val="left"/>
                    <w:jc w:val="center"/>
                  </w:pPr>
                  <w:r>
                    <w:t xml:space="preserve">Acht Bit; Einheit der Dateigrösse der Titel.</w:t>
                  </w:r>
                </w:p>
              </w:tc>
            </w:tr>
            <w:tr>
              <w:tc>
                <w:tcPr/>
                <w:p>
                  <w:pPr>
                    <w:pStyle w:val="Compact"/>
                    <w:jc w:val="left"/>
                    <w:jc w:val="center"/>
                  </w:pPr>
                  <w:hyperlink r:id="rId96">
                    <w:r>
                      <w:rPr>
                        <w:rStyle w:val="Hyperlink"/>
                      </w:rPr>
                      <w:t xml:space="preserve">unit:MilliSEC</w:t>
                    </w:r>
                  </w:hyperlink>
                </w:p>
              </w:tc>
              <w:tc>
                <w:tcPr/>
                <w:p>
                  <w:pPr>
                    <w:pStyle w:val="Compact"/>
                    <w:jc w:val="left"/>
                    <w:jc w:val="center"/>
                  </w:pPr>
                  <w:r>
                    <w:rPr>
                      <w:rStyle w:val="VerbatimChar"/>
                    </w:rPr>
                    <w:t xml:space="preserve">C26</w:t>
                  </w:r>
                </w:p>
              </w:tc>
              <w:tc>
                <w:tcPr/>
                <w:p>
                  <w:pPr>
                    <w:pStyle w:val="Compact"/>
                    <w:jc w:val="left"/>
                    <w:jc w:val="center"/>
                  </w:pPr>
                  <w:r>
                    <w:t xml:space="preserve">Millisekunde (ms)</w:t>
                  </w:r>
                </w:p>
              </w:tc>
              <w:tc>
                <w:tcPr/>
                <w:p>
                  <w:pPr>
                    <w:pStyle w:val="Compact"/>
                    <w:jc w:val="left"/>
                    <w:jc w:val="center"/>
                  </w:pPr>
                  <w:r>
                    <w:t xml:space="preserve">Tausendstel einer Sekunde; Einheit der Dauer der</w:t>
                  </w:r>
                  <w:r>
                    <w:t xml:space="preserve"> </w:t>
                  </w:r>
                  <w:r>
                    <w:t xml:space="preserve">Titel.</w:t>
                  </w:r>
                </w:p>
              </w:tc>
            </w:tr>
            <w:tr>
              <w:tc>
                <w:tcPr/>
                <w:p>
                  <w:pPr>
                    <w:pStyle w:val="Compact"/>
                    <w:jc w:val="left"/>
                    <w:jc w:val="center"/>
                  </w:pPr>
                  <w:hyperlink r:id="rId163">
                    <w:r>
                      <w:rPr>
                        <w:rStyle w:val="Hyperlink"/>
                      </w:rPr>
                      <w:t xml:space="preserve">unit:NUM</w:t>
                    </w:r>
                  </w:hyperlink>
                </w:p>
              </w:tc>
              <w:tc>
                <w:tcPr/>
                <w:p>
                  <w:pPr>
                    <w:pStyle w:val="Compact"/>
                    <w:jc w:val="left"/>
                    <w:jc w:val="center"/>
                  </w:pPr>
                  <w:r>
                    <w:rPr>
                      <w:rStyle w:val="VerbatimChar"/>
                    </w:rPr>
                    <w:t xml:space="preserve">EA</w:t>
                  </w:r>
                </w:p>
              </w:tc>
              <w:tc>
                <w:tcPr/>
                <w:p>
                  <w:pPr>
                    <w:pStyle w:val="Compact"/>
                    <w:jc w:val="left"/>
                    <w:jc w:val="center"/>
                  </w:pPr>
                  <w:r>
                    <w:t xml:space="preserve">Stück (#)</w:t>
                  </w:r>
                </w:p>
              </w:tc>
              <w:tc>
                <w:tcPr/>
                <w:p>
                  <w:pPr>
                    <w:pStyle w:val="Compact"/>
                    <w:jc w:val="left"/>
                    <w:jc w:val="center"/>
                  </w:pPr>
                  <w:r>
                    <w:t xml:space="preserve">Zähleinheit für Stückzahlen, etwa die bestellte</w:t>
                  </w:r>
                  <w:r>
                    <w:t xml:space="preserve"> </w:t>
                  </w:r>
                  <w:r>
                    <w:t xml:space="preserve">Menge einer Rechnungsposition.</w:t>
                  </w:r>
                </w:p>
              </w:tc>
            </w:tr>
            <w:tr>
              <w:tc>
                <w:tcPr/>
                <w:p>
                  <w:pPr>
                    <w:pStyle w:val="Compact"/>
                    <w:jc w:val="left"/>
                    <w:jc w:val="center"/>
                  </w:pPr>
                  <w:hyperlink r:id="rId145">
                    <w:r>
                      <w:rPr>
                        <w:rStyle w:val="Hyperlink"/>
                      </w:rPr>
                      <w:t xml:space="preserve">currency:USD</w:t>
                    </w:r>
                  </w:hyperlink>
                </w:p>
              </w:tc>
              <w:tc>
                <w:tcPr/>
                <w:p>
                  <w:pPr>
                    <w:pStyle w:val="Compact"/>
                    <w:jc w:val="left"/>
                    <w:jc w:val="center"/>
                  </w:pPr>
                  <w:r>
                    <w:rPr>
                      <w:rStyle w:val="VerbatimChar"/>
                    </w:rPr>
                    <w:t xml:space="preserve">USD</w:t>
                  </w:r>
                </w:p>
              </w:tc>
              <w:tc>
                <w:tcPr/>
                <w:p>
                  <w:pPr>
                    <w:pStyle w:val="Compact"/>
                    <w:jc w:val="left"/>
                    <w:jc w:val="center"/>
                  </w:pPr>
                  <w:r>
                    <w:t xml:space="preserve">US-Dollar ($)</w:t>
                  </w:r>
                </w:p>
              </w:tc>
              <w:tc>
                <w:tcPr/>
                <w:p>
                  <w:pPr>
                    <w:pStyle w:val="Compact"/>
                    <w:jc w:val="left"/>
                    <w:jc w:val="center"/>
                  </w:pPr>
                  <w:r>
                    <w:t xml:space="preserve">Währung der Vereinigten Staaten (ISO 4217: USD);</w:t>
                  </w:r>
                  <w:r>
                    <w:t xml:space="preserve"> </w:t>
                  </w:r>
                  <w:r>
                    <w:t xml:space="preserve">Einheit der Preise und Rechnungsbeträge.</w:t>
                  </w:r>
                </w:p>
              </w:tc>
            </w:tr>
          </w:tbl>
          <w:bookmarkEnd w:id="164"/>
          <w:p/>
        </w:tc>
      </w:tr>
    </w:tbl>
    <w:bookmarkEnd w:id="165"/>
    <w:bookmarkStart w:id="167" w:name="sec-codelist-mediatypes"/>
    <w:p>
      <w:pPr>
        <w:pStyle w:val="berschrift2"/>
      </w:pPr>
      <w:r>
        <w:t xml:space="preserve">4.2 Medientypen</w:t>
      </w:r>
    </w:p>
    <w:p>
      <w:pPr>
        <w:pStyle w:val="FirstParagraph"/>
      </w:pPr>
      <w:r>
        <w:t xml:space="preserve">Die Dateiformate der Titel des Chinook-Datensatzes. Die Codewerte sind die Kennungen der Tabelle MediaType der Chinook-Datenbank.</w:t>
      </w:r>
    </w:p>
    <w:tbl>
      <w:tblPr>
        <w:tblStyle w:val="Table"/>
        <w:tblW w:type="pct" w:w="5000"/>
        <w:tblLayout w:type="fixed"/>
        <w:tblLook w:firstRow="0" w:lastRow="0" w:firstColumn="0" w:lastColumn="0" w:noHBand="0" w:noVBand="0" w:val="0000"/>
      </w:tblPr>
      <w:tblGrid>
        <w:gridCol w:w="7920"/>
      </w:tblGrid>
      <w:tr>
        <w:tc>
          <w:tcPr/>
          <w:bookmarkStart w:id="166" w:name="tbl-codelist-mediatypes"/>
          <w:p>
            <w:pPr>
              <w:jc w:val="center"/>
            </w:pPr>
            <w:pPr>
              <w:jc w:val="left"/>
              <w:spacing w:before="200"/>
              <w:pStyle w:val="ImageCaption"/>
            </w:pPr>
            <w:r>
              <w:t xml:space="preserve">Tabelle 4: Werte der Codeliste Medientypen.</w:t>
            </w:r>
          </w:p>
          <w:tbl>
            <w:tblPr>
              <w:tblStyle w:val="Table"/>
              <w:tblW w:type="pct" w:w="5000"/>
              <w:tblLayout w:type="fixed"/>
              <w:tblLook w:firstRow="1" w:lastRow="0" w:firstColumn="0" w:lastColumn="0" w:noHBand="0" w:noVBand="0" w:val="0020"/>
            </w:tblPr>
            <w:tblGrid>
              <w:gridCol w:w="1425"/>
              <w:gridCol w:w="792"/>
              <w:gridCol w:w="2376"/>
              <w:gridCol w:w="3326"/>
            </w:tblGrid>
            <w:tr>
              <w:trPr>
                <w:tblHeader w:val="on"/>
              </w:trPr>
              <w:tc>
                <w:tcPr/>
                <w:p>
                  <w:pPr>
                    <w:pStyle w:val="Compact"/>
                    <w:jc w:val="left"/>
                    <w:jc w:val="center"/>
                  </w:pPr>
                  <w:r>
                    <w:t xml:space="preserve">IRI</w:t>
                  </w:r>
                </w:p>
              </w:tc>
              <w:tc>
                <w:tcPr/>
                <w:p>
                  <w:pPr>
                    <w:pStyle w:val="Compact"/>
                    <w:jc w:val="left"/>
                    <w:jc w:val="center"/>
                  </w:pPr>
                  <w:r>
                    <w:t xml:space="preserve">Code</w:t>
                  </w:r>
                </w:p>
              </w:tc>
              <w:tc>
                <w:tcPr/>
                <w:p>
                  <w:pPr>
                    <w:pStyle w:val="Compact"/>
                    <w:jc w:val="left"/>
                    <w:jc w:val="center"/>
                  </w:pPr>
                  <w:r>
                    <w:t xml:space="preserve">Name</w:t>
                  </w:r>
                </w:p>
              </w:tc>
              <w:tc>
                <w:tcPr/>
                <w:p>
                  <w:pPr>
                    <w:pStyle w:val="Compact"/>
                    <w:jc w:val="left"/>
                    <w:jc w:val="center"/>
                  </w:pPr>
                  <w:r>
                    <w:t xml:space="preserve">Beschreibung</w:t>
                  </w:r>
                </w:p>
              </w:tc>
            </w:tr>
            <w:tr>
              <w:tc>
                <w:tcPr/>
                <w:p>
                  <w:pPr>
                    <w:pStyle w:val="Compact"/>
                    <w:jc w:val="left"/>
                    <w:jc w:val="center"/>
                  </w:pPr>
                  <w:hyperlink r:id="rId89">
                    <w:r>
                      <w:rPr>
                        <w:rStyle w:val="Hyperlink"/>
                      </w:rPr>
                      <w:t xml:space="preserve">media:1</w:t>
                    </w:r>
                  </w:hyperlink>
                </w:p>
              </w:tc>
              <w:tc>
                <w:tcPr/>
                <w:p>
                  <w:pPr>
                    <w:pStyle w:val="Compact"/>
                    <w:jc w:val="left"/>
                    <w:jc w:val="center"/>
                  </w:pPr>
                  <w:r>
                    <w:rPr>
                      <w:rStyle w:val="VerbatimChar"/>
                    </w:rPr>
                    <w:t xml:space="preserve">1</w:t>
                  </w:r>
                </w:p>
              </w:tc>
              <w:tc>
                <w:tcPr/>
                <w:p>
                  <w:pPr>
                    <w:pStyle w:val="Compact"/>
                    <w:jc w:val="left"/>
                    <w:jc w:val="center"/>
                  </w:pPr>
                  <w:r>
                    <w:t xml:space="preserve">MPEG-Audiodatei (MP3)</w:t>
                  </w:r>
                </w:p>
              </w:tc>
              <w:tc>
                <w:tcPr/>
                <w:p>
                  <w:pPr>
                    <w:pStyle w:val="Compact"/>
                    <w:jc w:val="left"/>
                    <w:jc w:val="center"/>
                  </w:pPr>
                  <w:r>
                    <w:t xml:space="preserve">Audiodatei im Format MPEG-1 Audio Layer III</w:t>
                  </w:r>
                  <w:r>
                    <w:t xml:space="preserve"> </w:t>
                  </w:r>
                  <w:r>
                    <w:t xml:space="preserve">(MP3), ohne Kopierschutz.</w:t>
                  </w:r>
                </w:p>
              </w:tc>
            </w:tr>
            <w:tr>
              <w:tc>
                <w:tcPr/>
                <w:p>
                  <w:pPr>
                    <w:pStyle w:val="Compact"/>
                    <w:jc w:val="left"/>
                    <w:jc w:val="center"/>
                  </w:pPr>
                  <w:hyperlink r:id="rId90">
                    <w:r>
                      <w:rPr>
                        <w:rStyle w:val="Hyperlink"/>
                      </w:rPr>
                      <w:t xml:space="preserve">media:2</w:t>
                    </w:r>
                  </w:hyperlink>
                </w:p>
              </w:tc>
              <w:tc>
                <w:tcPr/>
                <w:p>
                  <w:pPr>
                    <w:pStyle w:val="Compact"/>
                    <w:jc w:val="left"/>
                    <w:jc w:val="center"/>
                  </w:pPr>
                  <w:r>
                    <w:rPr>
                      <w:rStyle w:val="VerbatimChar"/>
                    </w:rPr>
                    <w:t xml:space="preserve">2</w:t>
                  </w:r>
                </w:p>
              </w:tc>
              <w:tc>
                <w:tcPr/>
                <w:p>
                  <w:pPr>
                    <w:pStyle w:val="Compact"/>
                    <w:jc w:val="left"/>
                    <w:jc w:val="center"/>
                  </w:pPr>
                  <w:r>
                    <w:t xml:space="preserve">Geschützte AAC-Audiodatei</w:t>
                  </w:r>
                  <w:r>
                    <w:t xml:space="preserve"> </w:t>
                  </w:r>
                  <w:r>
                    <w:t xml:space="preserve">(M4P)</w:t>
                  </w:r>
                </w:p>
              </w:tc>
              <w:tc>
                <w:tcPr/>
                <w:p>
                  <w:pPr>
                    <w:pStyle w:val="Compact"/>
                    <w:jc w:val="left"/>
                    <w:jc w:val="center"/>
                  </w:pPr>
                  <w:r>
                    <w:t xml:space="preserve">AAC-Audiodatei mit Kopierschutz (DRM), wie sie</w:t>
                  </w:r>
                  <w:r>
                    <w:t xml:space="preserve"> </w:t>
                  </w:r>
                  <w:r>
                    <w:t xml:space="preserve">der iTunes Store bis 2009 verkaufte.</w:t>
                  </w:r>
                </w:p>
              </w:tc>
            </w:tr>
            <w:tr>
              <w:tc>
                <w:tcPr/>
                <w:p>
                  <w:pPr>
                    <w:pStyle w:val="Compact"/>
                    <w:jc w:val="left"/>
                    <w:jc w:val="center"/>
                  </w:pPr>
                  <w:hyperlink r:id="rId91">
                    <w:r>
                      <w:rPr>
                        <w:rStyle w:val="Hyperlink"/>
                      </w:rPr>
                      <w:t xml:space="preserve">media:3</w:t>
                    </w:r>
                  </w:hyperlink>
                </w:p>
              </w:tc>
              <w:tc>
                <w:tcPr/>
                <w:p>
                  <w:pPr>
                    <w:pStyle w:val="Compact"/>
                    <w:jc w:val="left"/>
                    <w:jc w:val="center"/>
                  </w:pPr>
                  <w:r>
                    <w:rPr>
                      <w:rStyle w:val="VerbatimChar"/>
                    </w:rPr>
                    <w:t xml:space="preserve">3</w:t>
                  </w:r>
                </w:p>
              </w:tc>
              <w:tc>
                <w:tcPr/>
                <w:p>
                  <w:pPr>
                    <w:pStyle w:val="Compact"/>
                    <w:jc w:val="left"/>
                    <w:jc w:val="center"/>
                  </w:pPr>
                  <w:r>
                    <w:t xml:space="preserve">Geschützte MPEG-4-Videodatei</w:t>
                  </w:r>
                  <w:r>
                    <w:t xml:space="preserve"> </w:t>
                  </w:r>
                  <w:r>
                    <w:t xml:space="preserve">(M4V)</w:t>
                  </w:r>
                </w:p>
              </w:tc>
              <w:tc>
                <w:tcPr/>
                <w:p>
                  <w:pPr>
                    <w:pStyle w:val="Compact"/>
                    <w:jc w:val="left"/>
                    <w:jc w:val="center"/>
                  </w:pPr>
                  <w:r>
                    <w:t xml:space="preserve">MPEG-4-Videodatei mit Kopierschutz (DRM), etwa</w:t>
                  </w:r>
                  <w:r>
                    <w:t xml:space="preserve"> </w:t>
                  </w:r>
                  <w:r>
                    <w:t xml:space="preserve">gekaufte Filme und Serien.</w:t>
                  </w:r>
                </w:p>
              </w:tc>
            </w:tr>
            <w:tr>
              <w:tc>
                <w:tcPr/>
                <w:p>
                  <w:pPr>
                    <w:pStyle w:val="Compact"/>
                    <w:jc w:val="left"/>
                    <w:jc w:val="center"/>
                  </w:pPr>
                  <w:hyperlink r:id="rId92">
                    <w:r>
                      <w:rPr>
                        <w:rStyle w:val="Hyperlink"/>
                      </w:rPr>
                      <w:t xml:space="preserve">media:4</w:t>
                    </w:r>
                  </w:hyperlink>
                </w:p>
              </w:tc>
              <w:tc>
                <w:tcPr/>
                <w:p>
                  <w:pPr>
                    <w:pStyle w:val="Compact"/>
                    <w:jc w:val="left"/>
                    <w:jc w:val="center"/>
                  </w:pPr>
                  <w:r>
                    <w:rPr>
                      <w:rStyle w:val="VerbatimChar"/>
                    </w:rPr>
                    <w:t xml:space="preserve">4</w:t>
                  </w:r>
                </w:p>
              </w:tc>
              <w:tc>
                <w:tcPr/>
                <w:p>
                  <w:pPr>
                    <w:pStyle w:val="Compact"/>
                    <w:jc w:val="left"/>
                    <w:jc w:val="center"/>
                  </w:pPr>
                  <w:r>
                    <w:t xml:space="preserve">Gekaufte AAC-Audiodatei</w:t>
                  </w:r>
                  <w:r>
                    <w:t xml:space="preserve"> </w:t>
                  </w:r>
                  <w:r>
                    <w:t xml:space="preserve">(iTunes Plus)</w:t>
                  </w:r>
                </w:p>
              </w:tc>
              <w:tc>
                <w:tcPr/>
                <w:p>
                  <w:pPr>
                    <w:pStyle w:val="Compact"/>
                    <w:jc w:val="left"/>
                    <w:jc w:val="center"/>
                  </w:pPr>
                  <w:r>
                    <w:t xml:space="preserve">Im iTunes Store gekaufte AAC-Audiodatei ohne</w:t>
                  </w:r>
                  <w:r>
                    <w:t xml:space="preserve"> </w:t>
                  </w:r>
                  <w:r>
                    <w:t xml:space="preserve">Kopierschutz (iTunes Plus).</w:t>
                  </w:r>
                </w:p>
              </w:tc>
            </w:tr>
            <w:tr>
              <w:tc>
                <w:tcPr/>
                <w:p>
                  <w:pPr>
                    <w:pStyle w:val="Compact"/>
                    <w:jc w:val="left"/>
                    <w:jc w:val="center"/>
                  </w:pPr>
                  <w:hyperlink r:id="rId93">
                    <w:r>
                      <w:rPr>
                        <w:rStyle w:val="Hyperlink"/>
                      </w:rPr>
                      <w:t xml:space="preserve">media:5</w:t>
                    </w:r>
                  </w:hyperlink>
                </w:p>
              </w:tc>
              <w:tc>
                <w:tcPr/>
                <w:p>
                  <w:pPr>
                    <w:pStyle w:val="Compact"/>
                    <w:jc w:val="left"/>
                    <w:jc w:val="center"/>
                  </w:pPr>
                  <w:r>
                    <w:rPr>
                      <w:rStyle w:val="VerbatimChar"/>
                    </w:rPr>
                    <w:t xml:space="preserve">5</w:t>
                  </w:r>
                </w:p>
              </w:tc>
              <w:tc>
                <w:tcPr/>
                <w:p>
                  <w:pPr>
                    <w:pStyle w:val="Compact"/>
                    <w:jc w:val="left"/>
                    <w:jc w:val="center"/>
                  </w:pPr>
                  <w:r>
                    <w:t xml:space="preserve">AAC-Audiodatei (M4A)</w:t>
                  </w:r>
                </w:p>
              </w:tc>
              <w:tc>
                <w:tcPr/>
                <w:p>
                  <w:pPr>
                    <w:pStyle w:val="Compact"/>
                    <w:jc w:val="left"/>
                    <w:jc w:val="center"/>
                  </w:pPr>
                  <w:r>
                    <w:t xml:space="preserve">AAC-Audiodatei ohne Kopierschutz, etwa von einer</w:t>
                  </w:r>
                  <w:r>
                    <w:t xml:space="preserve"> </w:t>
                  </w:r>
                  <w:r>
                    <w:t xml:space="preserve">CD importiert.</w:t>
                  </w:r>
                </w:p>
              </w:tc>
            </w:tr>
          </w:tbl>
          <w:bookmarkEnd w:id="166"/>
          <w:p/>
        </w:tc>
      </w:tr>
    </w:tbl>
    <w:bookmarkEnd w:id="167"/>
    <w:bookmarkEnd w:id="168"/>
    <w:bookmarkStart w:id="170" w:name="sec-data-retrieval"/>
    <w:p>
      <w:pPr>
        <w:pStyle w:val="berschrift1"/>
      </w:pPr>
      <w:r>
        <w:t xml:space="preserve">5. Datenbezug</w:t>
      </w:r>
    </w:p>
    <w:p>
      <w:pPr>
        <w:pStyle w:val="FirstParagraph"/>
      </w:pPr>
      <w:r>
        <w:t xml:space="preserve">Die diesem Dokument zugrundeliegenden Master- und Referenzdaten sind als</w:t>
      </w:r>
      <w:r>
        <w:t xml:space="preserve"> </w:t>
      </w:r>
      <w:r>
        <w:rPr>
          <w:i/>
          <w:iCs/>
        </w:rPr>
        <w:t xml:space="preserve">Linked Data</w:t>
      </w:r>
      <w:r>
        <w:t xml:space="preserve"> </w:t>
      </w:r>
      <w:r>
        <w:t xml:space="preserve">verfügbar.</w:t>
      </w:r>
    </w:p>
    <w:p>
      <w:pPr>
        <w:pStyle w:val="Textkrper"/>
      </w:pPr>
      <w:r>
        <w:t xml:space="preserve">Die technologische Basis dafür bildet das Resource Description Framework</w:t>
      </w:r>
      <w:r>
        <w:t xml:space="preserve"> </w:t>
      </w:r>
      <w:r>
        <w:t xml:space="preserve">[RDF,</w:t>
      </w:r>
      <w:r>
        <w:t xml:space="preserve"> </w:t>
      </w:r>
      <w:hyperlink w:anchor="ref-cyganiak2014rdf11">
        <w:r>
          <w:rPr>
            <w:rStyle w:val="Hyperlink"/>
          </w:rPr>
          <w:t xml:space="preserve">RDF</w:t>
        </w:r>
      </w:hyperlink>
      <w:r>
        <w:t xml:space="preserve">]</w:t>
      </w:r>
      <w:r>
        <w:t xml:space="preserve">, ein zentraler Standard des World Wide Web Consortiums (W3C) zur Modellierung von Datenstrukturen im Web.</w:t>
      </w:r>
      <w:r>
        <w:t xml:space="preserve"> </w:t>
      </w:r>
      <w:r>
        <w:t xml:space="preserve">In RDF werden Informationen nicht in klassischen Tabellen, sondern als vernetzte Graphen abgebildet.</w:t>
      </w:r>
      <w:r>
        <w:t xml:space="preserve"> </w:t>
      </w:r>
      <w:r>
        <w:t xml:space="preserve">Jede Aussage besteht dabei aus einem sogenannten Triple (Subjekt, Prädikat, Objekt).</w:t>
      </w:r>
      <w:r>
        <w:t xml:space="preserve"> </w:t>
      </w:r>
      <w:r>
        <w:t xml:space="preserve">Diese Struktur ermöglicht eine maschinenlesbare, interoperable und systemübergreifend eindeutige Beschreibung von Ressourcen und deren Relationen zueinander.</w:t>
      </w:r>
    </w:p>
    <w:p>
      <w:pPr>
        <w:pStyle w:val="Textkrper"/>
      </w:pPr>
      <w:r>
        <w:t xml:space="preserve">Für die Speicherung und Publikation dieser RDF-Daten wird</w:t>
      </w:r>
      <w:r>
        <w:t xml:space="preserve"> </w:t>
      </w:r>
      <w:hyperlink r:id="rId169">
        <w:r>
          <w:rPr>
            <w:rStyle w:val="Hyperlink"/>
          </w:rPr>
          <w:t xml:space="preserve">LINDAS</w:t>
        </w:r>
      </w:hyperlink>
      <w:r>
        <w:t xml:space="preserve"> </w:t>
      </w:r>
      <w:r>
        <w:t xml:space="preserve">(Linked Data Service) genutzt, der offizielle Linked-Data-Dienst der Schweizer Bundesverwaltung.</w:t>
      </w:r>
      <w:r>
        <w:t xml:space="preserve"> </w:t>
      </w:r>
      <w:r>
        <w:t xml:space="preserve">LINDAS fungiert als sogenannter</w:t>
      </w:r>
      <w:r>
        <w:t xml:space="preserve"> </w:t>
      </w:r>
      <w:r>
        <w:rPr>
          <w:i/>
          <w:iCs/>
        </w:rPr>
        <w:t xml:space="preserve">Triple Store</w:t>
      </w:r>
      <w:r>
        <w:t xml:space="preserve">, einer spezialisierte Graphdatenbank, die für das effiziente Speichern und Abfragen von RDF-Triples optimiert ist und die Daten öffentlich über eine genormte Schnittstelle bereitstellt.</w:t>
      </w:r>
    </w:p>
    <w:p>
      <w:pPr>
        <w:pStyle w:val="Textkrper"/>
      </w:pPr>
      <w:r>
        <w:t xml:space="preserve">Das folgende Kapitel gibt eine minimale Anleitung, wie die Daten von LINDAS abgefragt und bezogen werden können.</w:t>
      </w:r>
    </w:p>
    <w:p>
      <w:pPr>
        <w:pStyle w:val="SourceCode"/>
      </w:pPr>
      <w:r>
        <w:rPr>
          <w:rStyle w:val="VerbatimChar"/>
        </w:rPr>
        <w:t xml:space="preserve">BASE &lt;https://agriculture.ld.admin.ch/eCH-1234/2/&gt;</w:t>
      </w:r>
      <w:r>
        <w:br/>
      </w:r>
      <w:r>
        <w:rPr>
          <w:rStyle w:val="VerbatimChar"/>
        </w:rPr>
        <w:t xml:space="preserve">PREFIX schema: &lt;http://schema.org/&gt;</w:t>
      </w:r>
      <w:r>
        <w:br/>
      </w:r>
      <w:r>
        <w:rPr>
          <w:rStyle w:val="VerbatimChar"/>
        </w:rPr>
        <w:t xml:space="preserve">SELECT *</w:t>
      </w:r>
      <w:r>
        <w:br/>
      </w:r>
      <w:r>
        <w:rPr>
          <w:rStyle w:val="VerbatimChar"/>
        </w:rPr>
        <w:t xml:space="preserve">WHERE {</w:t>
      </w:r>
      <w:r>
        <w:br/>
      </w:r>
      <w:r>
        <w:rPr>
          <w:rStyle w:val="VerbatimChar"/>
        </w:rPr>
        <w:t xml:space="preserve">    ?genre a &lt;Genre&gt; ;</w:t>
      </w:r>
      <w:r>
        <w:br/>
      </w:r>
      <w:r>
        <w:rPr>
          <w:rStyle w:val="VerbatimChar"/>
        </w:rPr>
        <w:t xml:space="preserve">        schema:name ?name .</w:t>
      </w:r>
      <w:r>
        <w:br/>
      </w:r>
      <w:r>
        <w:rPr>
          <w:rStyle w:val="VerbatimChar"/>
        </w:rPr>
        <w:t xml:space="preserve">}</w:t>
      </w:r>
      <w:r>
        <w:br/>
      </w:r>
      <w:r>
        <w:rPr>
          <w:rStyle w:val="VerbatimChar"/>
        </w:rPr>
        <w:t xml:space="preserve">LIMIT 10</w:t>
      </w:r>
    </w:p>
    <w:p>
      <w:pPr>
        <w:pStyle w:val="FirstParagraph"/>
      </w:pPr>
      <w:r>
        <w:t xml:space="preserve">Die zugrundeliegenden Daten selbst werden auf GitHub als Turtle-Files gepflegt.</w:t>
      </w:r>
    </w:p>
    <w:p>
      <w:pPr>
        <w:pStyle w:val="SourceCode"/>
      </w:pPr>
      <w:r>
        <w:rPr>
          <w:rStyle w:val="VerbatimChar"/>
        </w:rPr>
        <w:t xml:space="preserve">@base &lt;https://agriculture.ld.admin.ch/eCH-1234/2/&gt; .</w:t>
      </w:r>
      <w:r>
        <w:br/>
      </w:r>
      <w:r>
        <w:rPr>
          <w:rStyle w:val="VerbatimChar"/>
        </w:rPr>
        <w:t xml:space="preserve">@prefix genre: &lt;https://agriculture.ld.admin.ch/eCH-1234/2/genre/&gt; .</w:t>
      </w:r>
      <w:r>
        <w:br/>
      </w:r>
      <w:r>
        <w:rPr>
          <w:rStyle w:val="VerbatimChar"/>
        </w:rPr>
        <w:t xml:space="preserve">@prefix schema: &lt;http://schema.org/&gt; .</w:t>
      </w:r>
      <w:r>
        <w:br/>
      </w:r>
      <w:r>
        <w:br/>
      </w:r>
      <w:r>
        <w:rPr>
          <w:rStyle w:val="VerbatimChar"/>
        </w:rPr>
        <w:t xml:space="preserve">genre:1 a &lt;Genre&gt; ;</w:t>
      </w:r>
      <w:r>
        <w:br/>
      </w:r>
      <w:r>
        <w:rPr>
          <w:rStyle w:val="VerbatimChar"/>
        </w:rPr>
        <w:t xml:space="preserve">    schema:name "Rock" .</w:t>
      </w:r>
      <w:r>
        <w:br/>
      </w:r>
      <w:r>
        <w:br/>
      </w:r>
      <w:r>
        <w:rPr>
          <w:rStyle w:val="VerbatimChar"/>
        </w:rPr>
        <w:t xml:space="preserve">genre:2 a &lt;Genre&gt; ;</w:t>
      </w:r>
      <w:r>
        <w:br/>
      </w:r>
      <w:r>
        <w:rPr>
          <w:rStyle w:val="VerbatimChar"/>
        </w:rPr>
        <w:t xml:space="preserve">    schema:name "Jazz" .</w:t>
      </w:r>
      <w:r>
        <w:br/>
      </w:r>
      <w:r>
        <w:br/>
      </w:r>
      <w:r>
        <w:rPr>
          <w:rStyle w:val="VerbatimChar"/>
        </w:rPr>
        <w:t xml:space="preserve">genre:3 a &lt;Genre&gt; ;</w:t>
      </w:r>
      <w:r>
        <w:br/>
      </w:r>
      <w:r>
        <w:rPr>
          <w:rStyle w:val="VerbatimChar"/>
        </w:rPr>
        <w:t xml:space="preserve">    schema:name "Metal" ;</w:t>
      </w:r>
      <w:r>
        <w:br/>
      </w:r>
      <w:r>
        <w:rPr>
          <w:rStyle w:val="VerbatimChar"/>
        </w:rPr>
        <w:t xml:space="preserve">    schema:partOf genre:1 .</w:t>
      </w:r>
    </w:p>
    <w:bookmarkEnd w:id="170"/>
    <w:bookmarkStart w:id="171" w:name="sec-safety-consideration"/>
    <w:p>
      <w:pPr>
        <w:pStyle w:val="berschrift1"/>
      </w:pPr>
      <w:r>
        <w:t xml:space="preserve">6. Sicherheitsaspekte</w:t>
      </w:r>
    </w:p>
    <w:p>
      <w:pPr>
        <w:pStyle w:val="FirstParagraph"/>
      </w:pPr>
      <w:r>
        <w:t xml:space="preserve">Informationen zu den ausdrücklich massgeblichen rechtlichen Grundlagen oder ein Hinweis darauf, dass bei der Umsetzung die entsprechenden rechtlichen Grundlagen zu beachten sind.</w:t>
      </w:r>
    </w:p>
    <w:bookmarkEnd w:id="171"/>
    <w:bookmarkStart w:id="172" w:name="sec-disclaimer"/>
    <w:p>
      <w:pPr>
        <w:pStyle w:val="berschrift1"/>
      </w:pPr>
      <w:r>
        <w:t xml:space="preserve">7. Haftungsausschluss</w:t>
      </w:r>
    </w:p>
    <w:p>
      <w:pPr>
        <w:pStyle w:val="FirstParagraph"/>
      </w:pPr>
      <w:r>
        <w:t xml:space="preserve">eCH-Standards, die der Verein eCH dem Anwender kostenlos zur Verfügung stellt oder die auf eCH verweisen, haben nur den Status von Empfehlungen. Der Verein eCH haftet in keinem Fall für Entscheidungen oder Massnahmen, die der Anwender auf der Grundlage dieser Dokumente trifft bzw. ergreift. Der Anwender ist dafür verantwortlich, die Dokumente vor ihrer Verwendung selbst zu überprüfen und gegebenenfalls fachlichen Rat einzuholen. eCH-Standards können und sollen die technische, organisatorische oder rechtliche Beratung im Einzelfall nicht ersetzen.</w:t>
      </w:r>
    </w:p>
    <w:p>
      <w:pPr>
        <w:pStyle w:val="Textkrper"/>
      </w:pPr>
      <w:r>
        <w:t xml:space="preserve">Dokumente, Verfahren, Methoden, Produkte und Standards, auf die in eCH-Standards verwiesen wird, sind möglicherweise durch Marken-, Urheber- oder Patentrechte geschützt. Es liegt in der ausschliesslichen Verantwortung des Anwenders, die erforderlichen Lizenzen von den berechtigten Personen und/oder Organisationen einzuholen.</w:t>
      </w:r>
    </w:p>
    <w:p>
      <w:pPr>
        <w:pStyle w:val="Textkrper"/>
      </w:pPr>
      <w:r>
        <w:t xml:space="preserve">Obwohl der Verein eCH bei der Erstellung der eCH-Standards mit angemessener Sorgfalt vorgegangen ist, kann er keine Gewährleistung oder Garantie dafür übernehmen, dass die bereitgestellten Informationen und Dokumente aktuell, vollständig, richtig oder fehlerfrei sind. eCH behält sich das Recht vor, die Inhalte der eCH-Standards jederzeit und ohne vorherige Ankündigung zu ändern.</w:t>
      </w:r>
    </w:p>
    <w:p>
      <w:pPr>
        <w:pStyle w:val="Textkrper"/>
      </w:pPr>
      <w:r>
        <w:t xml:space="preserve">Jede Haftung für Schäden, die durch die Nutzung der eCH-Standards durch den Anwender entstehen, wird im gesetzlich zulässigen Rahmen ausgeschlossen.</w:t>
      </w:r>
    </w:p>
    <w:bookmarkEnd w:id="172"/>
    <w:bookmarkStart w:id="173" w:name="sec-copyrights"/>
    <w:p>
      <w:pPr>
        <w:pStyle w:val="berschrift1"/>
      </w:pPr>
      <w:r>
        <w:t xml:space="preserve">8. Urheberrechte</w:t>
      </w:r>
    </w:p>
    <w:p>
      <w:pPr>
        <w:pStyle w:val="FirstParagraph"/>
      </w:pPr>
      <w:r>
        <w:t xml:space="preserve">Personen, die eCH-Standards erarbeiten, bleiben Inhaber ihrer geistigen Eigentumsrechte. Diese Personen verpflichten sich jedoch, ihre geistigen Eigentumsrechte oder andere Rechte an geistigen Eigentumsrechten Dritter, soweit möglich, den jeweiligen Fachgruppen und dem Verein eCH kostenlos und zur uneingeschränkten Nutzung und Weiterentwicklung im Rahmen des Vereinszwecks zur Verfügung zu stellen.</w:t>
      </w:r>
    </w:p>
    <w:p>
      <w:pPr>
        <w:pStyle w:val="Textkrper"/>
      </w:pPr>
      <w:r>
        <w:t xml:space="preserve">Die von den Fachgruppen erarbeiteten Standards dürfen unter Nennung des jeweiligen Autors von eCH kostenlos und in uneingeschränktem Umfang genutzt, verbreitet und weiterentwickelt werden.</w:t>
      </w:r>
    </w:p>
    <w:p>
      <w:pPr>
        <w:pStyle w:val="Textkrper"/>
      </w:pPr>
      <w:r>
        <w:t xml:space="preserve">eCH-Standards sind vollständig dokumentiert und frei von lizenz- und/oder patentrechtlichen Einschränkungen. Die dazugehörige Dokumentation kann kostenlos angefordert werden.</w:t>
      </w:r>
      <w:r>
        <w:t xml:space="preserve"> </w:t>
      </w:r>
      <w:r>
        <w:t xml:space="preserve">Diese Bestimmungen gelten jedoch nur für die von eCH erarbeiteten Standards, nicht aber für Standards oder Produkte Dritter, die auf eCH-Standards verweisen. Die Standards enthalten die entsprechenden Hinweise auf Rechte Dritter.</w:t>
      </w:r>
    </w:p>
    <w:bookmarkEnd w:id="173"/>
    <w:bookmarkStart w:id="203" w:name="sec-appendix-a"/>
    <w:p>
      <w:pPr>
        <w:pStyle w:val="berschrift1"/>
      </w:pPr>
      <w:r>
        <w:t xml:space="preserve">Anhang A – Referenzen</w:t>
      </w:r>
    </w:p>
    <w:bookmarkStart w:id="202" w:name="refs"/>
    <w:bookmarkStart w:id="175" w:name="ref-berners2023semantic"/>
    <w:p>
      <w:pPr>
        <w:pStyle w:val="Bibliography"/>
      </w:pPr>
      <w:r>
        <w:t xml:space="preserve">[Berners-Lee 2023]</w:t>
      </w:r>
      <w:r>
        <w:t xml:space="preserve"> </w:t>
      </w:r>
      <w:r>
        <w:t xml:space="preserve">	</w:t>
      </w:r>
      <w:r>
        <w:t xml:space="preserve">Berners-Lee, Tim ; Hendler, James ; Lassila, Ora:</w:t>
      </w:r>
      <w:r>
        <w:t xml:space="preserve"> </w:t>
      </w:r>
      <w:hyperlink r:id="rId174">
        <w:r>
          <w:rPr>
            <w:rStyle w:val="Hyperlink"/>
          </w:rPr>
          <w:t xml:space="preserve">The Semantic Web: A new form of Web content that is meaningful to computers will unleash a revolution of new possibilities</w:t>
        </w:r>
      </w:hyperlink>
      <w:r>
        <w:t xml:space="preserve">. In:</w:t>
      </w:r>
      <w:r>
        <w:t xml:space="preserve"> </w:t>
      </w:r>
      <w:r>
        <w:rPr>
          <w:i/>
          <w:iCs/>
        </w:rPr>
        <w:t xml:space="preserve">Linking the World’s Information: Essays on Tim Berners-Lee’s Invention of the World Wide Web</w:t>
      </w:r>
      <w:r>
        <w:t xml:space="preserve"> : Association for Computing Machinery, 2023, S. 91–103</w:t>
      </w:r>
    </w:p>
    <w:bookmarkEnd w:id="175"/>
    <w:bookmarkStart w:id="177" w:name="ref-DCAT"/>
    <w:p>
      <w:pPr>
        <w:pStyle w:val="Bibliography"/>
      </w:pPr>
      <w:r>
        <w:t xml:space="preserve">[DCAT]</w:t>
      </w:r>
      <w:r>
        <w:t xml:space="preserve"> </w:t>
      </w:r>
      <w:r>
        <w:t xml:space="preserve">	</w:t>
      </w:r>
      <w:r>
        <w:t xml:space="preserve">Albertoni, Riccardo ; Browning, David ; Cox, Simon ; Gonzalez Beltran, Alejandra ; Perego, Andrea ; Winstanley, Peter:</w:t>
      </w:r>
      <w:r>
        <w:t xml:space="preserve"> </w:t>
      </w:r>
      <w:hyperlink r:id="rId176">
        <w:r>
          <w:rPr>
            <w:rStyle w:val="Hyperlink"/>
            <w:i/>
            <w:iCs/>
          </w:rPr>
          <w:t xml:space="preserve">Data Catalog Vocabulary (DCAT) – Version 3</w:t>
        </w:r>
      </w:hyperlink>
      <w:r>
        <w:t xml:space="preserve"> </w:t>
      </w:r>
      <w:r>
        <w:t xml:space="preserve">(W3C Recommendation) : World Wide Web Consortium (W3C), 2024</w:t>
      </w:r>
    </w:p>
    <w:bookmarkEnd w:id="177"/>
    <w:bookmarkStart w:id="179" w:name="ref-eCH-0003:11.1.0"/>
    <w:p>
      <w:pPr>
        <w:pStyle w:val="Bibliography"/>
      </w:pPr>
      <w:r>
        <w:t xml:space="preserve">[eCH-0003 11.1.0]</w:t>
      </w:r>
      <w:r>
        <w:t xml:space="preserve"> </w:t>
      </w:r>
      <w:r>
        <w:t xml:space="preserve">	</w:t>
      </w:r>
      <w:r>
        <w:t xml:space="preserve">Verein eCH:</w:t>
      </w:r>
      <w:r>
        <w:t xml:space="preserve"> </w:t>
      </w:r>
      <w:hyperlink r:id="rId178">
        <w:r>
          <w:rPr>
            <w:rStyle w:val="Hyperlink"/>
            <w:i/>
            <w:iCs/>
          </w:rPr>
          <w:t xml:space="preserve">eCH-0003 Leitfaden zur Genehmigung von Anträgen</w:t>
        </w:r>
      </w:hyperlink>
      <w:r>
        <w:t xml:space="preserve"> </w:t>
      </w:r>
      <w:r>
        <w:t xml:space="preserve">(eCH-Standard) : Verein eCH, 2022</w:t>
      </w:r>
    </w:p>
    <w:bookmarkEnd w:id="179"/>
    <w:bookmarkStart w:id="181" w:name="ref-eCH-0010:8.1.0"/>
    <w:p>
      <w:pPr>
        <w:pStyle w:val="Bibliography"/>
      </w:pPr>
      <w:r>
        <w:t xml:space="preserve">[eCH-0010 8.1.0]</w:t>
      </w:r>
      <w:r>
        <w:t xml:space="preserve"> </w:t>
      </w:r>
      <w:r>
        <w:t xml:space="preserve">	</w:t>
      </w:r>
      <w:r>
        <w:t xml:space="preserve">Verein eCH:</w:t>
      </w:r>
      <w:r>
        <w:t xml:space="preserve"> </w:t>
      </w:r>
      <w:hyperlink r:id="rId180">
        <w:r>
          <w:rPr>
            <w:rStyle w:val="Hyperlink"/>
            <w:i/>
            <w:iCs/>
          </w:rPr>
          <w:t xml:space="preserve">eCH-0010 Datenstandard Postadresse für natürliche Personen, Firmen, Organisationen und Behörden</w:t>
        </w:r>
      </w:hyperlink>
      <w:r>
        <w:t xml:space="preserve"> </w:t>
      </w:r>
      <w:r>
        <w:t xml:space="preserve">(eCH-Standard) : Verein eCH, 2021</w:t>
      </w:r>
    </w:p>
    <w:bookmarkEnd w:id="181"/>
    <w:bookmarkStart w:id="183" w:name="ref-eCH-0200:3.0.1"/>
    <w:p>
      <w:pPr>
        <w:pStyle w:val="Bibliography"/>
      </w:pPr>
      <w:r>
        <w:t xml:space="preserve">[eCH-0200 3.0.1]</w:t>
      </w:r>
      <w:r>
        <w:t xml:space="preserve"> </w:t>
      </w:r>
      <w:r>
        <w:t xml:space="preserve">	</w:t>
      </w:r>
      <w:r>
        <w:t xml:space="preserve">eCH-Fachgruppe Open Government Data</w:t>
      </w:r>
      <w:r>
        <w:t xml:space="preserve">:</w:t>
      </w:r>
      <w:r>
        <w:t xml:space="preserve"> </w:t>
      </w:r>
      <w:hyperlink r:id="rId182">
        <w:r>
          <w:rPr>
            <w:rStyle w:val="Hyperlink"/>
            <w:i/>
            <w:iCs/>
          </w:rPr>
          <w:t xml:space="preserve">eCH-0200 DCAT-Anwendungsprofil für Datenportale in der Schweiz (DCAT-AP CH)</w:t>
        </w:r>
      </w:hyperlink>
      <w:r>
        <w:t xml:space="preserve"> </w:t>
      </w:r>
      <w:r>
        <w:t xml:space="preserve">(eCH-Standard) : Verein eCH, 2025</w:t>
      </w:r>
    </w:p>
    <w:bookmarkEnd w:id="183"/>
    <w:bookmarkStart w:id="185" w:name="ref-eCH-0205:1.0"/>
    <w:p>
      <w:pPr>
        <w:pStyle w:val="Bibliography"/>
      </w:pPr>
      <w:r>
        <w:t xml:space="preserve">[eCH-0205 1.0]</w:t>
      </w:r>
      <w:r>
        <w:t xml:space="preserve"> </w:t>
      </w:r>
      <w:r>
        <w:t xml:space="preserve">	</w:t>
      </w:r>
      <w:r>
        <w:t xml:space="preserve">eCH-Fachgruppe Open Government Data</w:t>
      </w:r>
      <w:r>
        <w:t xml:space="preserve">:</w:t>
      </w:r>
      <w:r>
        <w:t xml:space="preserve"> </w:t>
      </w:r>
      <w:hyperlink r:id="rId184">
        <w:r>
          <w:rPr>
            <w:rStyle w:val="Hyperlink"/>
            <w:i/>
            <w:iCs/>
          </w:rPr>
          <w:t xml:space="preserve">eCH-0205 Linked Open Data</w:t>
        </w:r>
      </w:hyperlink>
      <w:r>
        <w:t xml:space="preserve"> </w:t>
      </w:r>
      <w:r>
        <w:t xml:space="preserve">(eCH-Hilfsmittel) : Verein eCH, 2018</w:t>
      </w:r>
    </w:p>
    <w:bookmarkEnd w:id="185"/>
    <w:bookmarkStart w:id="187" w:name="ref-eCH-0265:1.0.0"/>
    <w:p>
      <w:pPr>
        <w:pStyle w:val="Bibliography"/>
      </w:pPr>
      <w:r>
        <w:t xml:space="preserve">[eCH-0265 1.0.0]</w:t>
      </w:r>
      <w:r>
        <w:t xml:space="preserve"> </w:t>
      </w:r>
      <w:r>
        <w:t xml:space="preserve">	</w:t>
      </w:r>
      <w:r>
        <w:t xml:space="preserve">eCH-Fachgruppe AgriFood</w:t>
      </w:r>
      <w:r>
        <w:t xml:space="preserve">:</w:t>
      </w:r>
      <w:r>
        <w:t xml:space="preserve"> </w:t>
      </w:r>
      <w:hyperlink r:id="rId186">
        <w:r>
          <w:rPr>
            <w:rStyle w:val="Hyperlink"/>
            <w:i/>
            <w:iCs/>
          </w:rPr>
          <w:t xml:space="preserve">eCH-0265 Datenstandard Agrardaten – Flächen und Kulturen</w:t>
        </w:r>
      </w:hyperlink>
      <w:r>
        <w:t xml:space="preserve"> </w:t>
      </w:r>
      <w:r>
        <w:t xml:space="preserve">(eCH-Standard) : Verein eCH, 2024</w:t>
      </w:r>
    </w:p>
    <w:bookmarkEnd w:id="187"/>
    <w:bookmarkStart w:id="189" w:name="ref-JSON-LD"/>
    <w:p>
      <w:pPr>
        <w:pStyle w:val="Bibliography"/>
      </w:pPr>
      <w:r>
        <w:t xml:space="preserve">[JSON-LD]</w:t>
      </w:r>
      <w:r>
        <w:t xml:space="preserve"> </w:t>
      </w:r>
      <w:r>
        <w:t xml:space="preserve">	</w:t>
      </w:r>
      <w:r>
        <w:t xml:space="preserve">Sporny, Manu ; Longley, Dave ; Kellogg, Gregg ; Lanthaler, Markus ; Champin, Pierre-Antoine ; Lindström, Niklas:</w:t>
      </w:r>
      <w:r>
        <w:t xml:space="preserve"> </w:t>
      </w:r>
      <w:hyperlink r:id="rId188">
        <w:r>
          <w:rPr>
            <w:rStyle w:val="Hyperlink"/>
            <w:i/>
            <w:iCs/>
          </w:rPr>
          <w:t xml:space="preserve">JSON-LD 1.1 – A JSON-based Serialization for Linked Data</w:t>
        </w:r>
      </w:hyperlink>
      <w:r>
        <w:t xml:space="preserve"> </w:t>
      </w:r>
      <w:r>
        <w:t xml:space="preserve">(W3C Recommendation) : World Wide Web Consortium (W3C), 2020</w:t>
      </w:r>
    </w:p>
    <w:bookmarkEnd w:id="189"/>
    <w:bookmarkStart w:id="191" w:name="ref-OWL2"/>
    <w:p>
      <w:pPr>
        <w:pStyle w:val="Bibliography"/>
      </w:pPr>
      <w:r>
        <w:t xml:space="preserve">[OWL 2]</w:t>
      </w:r>
      <w:r>
        <w:t xml:space="preserve"> </w:t>
      </w:r>
      <w:r>
        <w:t xml:space="preserve">	</w:t>
      </w:r>
      <w:r>
        <w:t xml:space="preserve">W3C OWL Working Group:</w:t>
      </w:r>
      <w:r>
        <w:t xml:space="preserve"> </w:t>
      </w:r>
      <w:hyperlink r:id="rId190">
        <w:r>
          <w:rPr>
            <w:rStyle w:val="Hyperlink"/>
            <w:i/>
            <w:iCs/>
          </w:rPr>
          <w:t xml:space="preserve">OWL 2 Web Ontology Language Document Overview (Second Edition)</w:t>
        </w:r>
      </w:hyperlink>
      <w:r>
        <w:t xml:space="preserve"> </w:t>
      </w:r>
      <w:r>
        <w:t xml:space="preserve">(W3C Recommendation) : World Wide Web Consortium (W3C), 2012</w:t>
      </w:r>
    </w:p>
    <w:bookmarkEnd w:id="191"/>
    <w:bookmarkStart w:id="193" w:name="ref-cyganiak2014rdf11"/>
    <w:p>
      <w:pPr>
        <w:pStyle w:val="Bibliography"/>
      </w:pPr>
      <w:r>
        <w:t xml:space="preserve">[RDF]</w:t>
      </w:r>
      <w:r>
        <w:t xml:space="preserve"> </w:t>
      </w:r>
      <w:r>
        <w:t xml:space="preserve">	</w:t>
      </w:r>
      <w:r>
        <w:t xml:space="preserve">Cyganiak, Richard ; Wood, David ; Lanthaler, Markus:</w:t>
      </w:r>
      <w:r>
        <w:t xml:space="preserve"> </w:t>
      </w:r>
      <w:hyperlink r:id="rId192">
        <w:r>
          <w:rPr>
            <w:rStyle w:val="Hyperlink"/>
            <w:i/>
            <w:iCs/>
          </w:rPr>
          <w:t xml:space="preserve">RDF 1.1 Concepts and Abstract Syntax</w:t>
        </w:r>
      </w:hyperlink>
      <w:r>
        <w:t xml:space="preserve"> </w:t>
      </w:r>
      <w:r>
        <w:t xml:space="preserve">(W3C Recommendation) : World Wide Web Consortium (W3C), 2014</w:t>
      </w:r>
    </w:p>
    <w:bookmarkEnd w:id="193"/>
    <w:bookmarkStart w:id="195" w:name="ref-SHACL"/>
    <w:p>
      <w:pPr>
        <w:pStyle w:val="Bibliography"/>
      </w:pPr>
      <w:r>
        <w:t xml:space="preserve">[SHACL]</w:t>
      </w:r>
      <w:r>
        <w:t xml:space="preserve"> </w:t>
      </w:r>
      <w:r>
        <w:t xml:space="preserve">	</w:t>
      </w:r>
      <w:r>
        <w:t xml:space="preserve">Knublauch, Holger ; Kontokostas, Dimitris:</w:t>
      </w:r>
      <w:r>
        <w:t xml:space="preserve"> </w:t>
      </w:r>
      <w:hyperlink r:id="rId194">
        <w:r>
          <w:rPr>
            <w:rStyle w:val="Hyperlink"/>
            <w:i/>
            <w:iCs/>
          </w:rPr>
          <w:t xml:space="preserve">Shapes Constraint Language (SHACL)</w:t>
        </w:r>
      </w:hyperlink>
      <w:r>
        <w:t xml:space="preserve"> </w:t>
      </w:r>
      <w:r>
        <w:t xml:space="preserve">(W3C Recommendation) : World Wide Web Consortium (W3C), 2017</w:t>
      </w:r>
    </w:p>
    <w:bookmarkEnd w:id="195"/>
    <w:bookmarkStart w:id="197" w:name="ref-SKOS"/>
    <w:p>
      <w:pPr>
        <w:pStyle w:val="Bibliography"/>
      </w:pPr>
      <w:r>
        <w:t xml:space="preserve">[SKOS]</w:t>
      </w:r>
      <w:r>
        <w:t xml:space="preserve"> </w:t>
      </w:r>
      <w:r>
        <w:t xml:space="preserve">	</w:t>
      </w:r>
      <w:r>
        <w:t xml:space="preserve">Miles, Alistair ; Bechhofer, Sean:</w:t>
      </w:r>
      <w:r>
        <w:t xml:space="preserve"> </w:t>
      </w:r>
      <w:hyperlink r:id="rId196">
        <w:r>
          <w:rPr>
            <w:rStyle w:val="Hyperlink"/>
            <w:i/>
            <w:iCs/>
          </w:rPr>
          <w:t xml:space="preserve">SKOS Simple Knowledge Organization System Reference</w:t>
        </w:r>
      </w:hyperlink>
      <w:r>
        <w:t xml:space="preserve"> </w:t>
      </w:r>
      <w:r>
        <w:t xml:space="preserve">(W3C Recommendation) : World Wide Web Consortium (W3C), 2009</w:t>
      </w:r>
    </w:p>
    <w:bookmarkEnd w:id="197"/>
    <w:bookmarkStart w:id="199" w:name="ref-SPARQL"/>
    <w:p>
      <w:pPr>
        <w:pStyle w:val="Bibliography"/>
      </w:pPr>
      <w:r>
        <w:t xml:space="preserve">[SPARQL]</w:t>
      </w:r>
      <w:r>
        <w:t xml:space="preserve"> </w:t>
      </w:r>
      <w:r>
        <w:t xml:space="preserve">	</w:t>
      </w:r>
      <w:r>
        <w:t xml:space="preserve">Harris, Steve ; Seaborne, Andy:</w:t>
      </w:r>
      <w:r>
        <w:t xml:space="preserve"> </w:t>
      </w:r>
      <w:hyperlink r:id="rId198">
        <w:r>
          <w:rPr>
            <w:rStyle w:val="Hyperlink"/>
            <w:i/>
            <w:iCs/>
          </w:rPr>
          <w:t xml:space="preserve">SPARQL 1.1 Query Language</w:t>
        </w:r>
      </w:hyperlink>
      <w:r>
        <w:t xml:space="preserve"> </w:t>
      </w:r>
      <w:r>
        <w:t xml:space="preserve">(W3C Recommendation) : World Wide Web Consortium (W3C), 2013</w:t>
      </w:r>
    </w:p>
    <w:bookmarkEnd w:id="199"/>
    <w:bookmarkStart w:id="201" w:name="ref-Turtle"/>
    <w:p>
      <w:pPr>
        <w:pStyle w:val="Bibliography"/>
      </w:pPr>
      <w:r>
        <w:t xml:space="preserve">[Turtle]</w:t>
      </w:r>
      <w:r>
        <w:t xml:space="preserve"> </w:t>
      </w:r>
      <w:r>
        <w:t xml:space="preserve">	</w:t>
      </w:r>
      <w:r>
        <w:t xml:space="preserve">Beckett, David ; Berners-Lee, Tim ; Prud’hommeaux, Eric ; Carothers, Gavin:</w:t>
      </w:r>
      <w:r>
        <w:t xml:space="preserve"> </w:t>
      </w:r>
      <w:hyperlink r:id="rId200">
        <w:r>
          <w:rPr>
            <w:rStyle w:val="Hyperlink"/>
            <w:i/>
            <w:iCs/>
          </w:rPr>
          <w:t xml:space="preserve">RDF 1.1 Turtle – Terse RDF Triple Language</w:t>
        </w:r>
      </w:hyperlink>
      <w:r>
        <w:t xml:space="preserve"> </w:t>
      </w:r>
      <w:r>
        <w:t xml:space="preserve">(W3C Recommendation) : World Wide Web Consortium (W3C), 2014</w:t>
      </w:r>
    </w:p>
    <w:bookmarkEnd w:id="201"/>
    <w:bookmarkEnd w:id="202"/>
    <w:bookmarkEnd w:id="203"/>
    <w:bookmarkStart w:id="204" w:name="sec-appendix-b"/>
    <w:p>
      <w:pPr>
        <w:pStyle w:val="berschrift1"/>
      </w:pPr>
      <w:r>
        <w:t xml:space="preserve">Anhang B – Mitwirkung und Prüfung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Organisation</w:t>
            </w:r>
          </w:p>
        </w:tc>
      </w:tr>
      <w:tr>
        <w:tc>
          <w:tcPr/>
          <w:p>
            <w:pPr>
              <w:pStyle w:val="Compact"/>
              <w:jc w:val="left"/>
            </w:pPr>
            <w:r>
              <w:t xml:space="preserve">Damian Oswald</w:t>
            </w:r>
          </w:p>
        </w:tc>
        <w:tc>
          <w:tcPr/>
          <w:p>
            <w:pPr>
              <w:pStyle w:val="Compact"/>
              <w:jc w:val="left"/>
            </w:pPr>
            <w:r>
              <w:t xml:space="preserve">Bundesamt für Landwirtschaft</w:t>
            </w:r>
          </w:p>
        </w:tc>
      </w:tr>
      <w:tr>
        <w:tc>
          <w:tcPr/>
          <w:p>
            <w:pPr>
              <w:pStyle w:val="Compact"/>
              <w:jc w:val="left"/>
            </w:pPr>
            <w:r>
              <w:t xml:space="preserve">Michael Schüpbach</w:t>
            </w:r>
          </w:p>
        </w:tc>
        <w:tc>
          <w:tcPr/>
          <w:p>
            <w:pPr>
              <w:pStyle w:val="Compact"/>
              <w:jc w:val="left"/>
            </w:pPr>
            <w:r>
              <w:t xml:space="preserve">Bundesamt für Landwirtschaft</w:t>
            </w:r>
          </w:p>
        </w:tc>
      </w:tr>
      <w:tr>
        <w:tc>
          <w:tcPr/>
          <w:p>
            <w:pPr>
              <w:pStyle w:val="Compact"/>
              <w:jc w:val="left"/>
            </w:pPr>
            <w:r>
              <w:t xml:space="preserve">Lea Stauber</w:t>
            </w:r>
          </w:p>
        </w:tc>
        <w:tc>
          <w:tcPr/>
          <w:p>
            <w:pPr>
              <w:pStyle w:val="Compact"/>
              <w:jc w:val="left"/>
            </w:pPr>
            <w:r>
              <w:t xml:space="preserve">Bundesamt für Landwirtschaft</w:t>
            </w:r>
          </w:p>
        </w:tc>
      </w:tr>
    </w:tbl>
    <w:bookmarkEnd w:id="204"/>
    <w:bookmarkStart w:id="207" w:name="sec-appendix-c"/>
    <w:p>
      <w:pPr>
        <w:pStyle w:val="berschrift1"/>
      </w:pPr>
      <w:r>
        <w:t xml:space="preserve">Anhang C – Abkürzungen und Glossar</w:t>
      </w:r>
    </w:p>
    <w:p>
      <w:pPr>
        <w:pStyle w:val="FirstParagraph"/>
      </w:pPr>
      <w:r>
        <w:t xml:space="preserve">Dieses Glossar ist als SKOS-Glossar</w:t>
      </w:r>
      <w:r>
        <w:t xml:space="preserve"> </w:t>
      </w:r>
      <w:r>
        <w:t xml:space="preserve">[</w:t>
      </w:r>
      <w:hyperlink w:anchor="ref-SKOS">
        <w:r>
          <w:rPr>
            <w:rStyle w:val="Hyperlink"/>
          </w:rPr>
          <w:t xml:space="preserve">SKOS</w:t>
        </w:r>
      </w:hyperlink>
      <w:r>
        <w:t xml:space="preserve">]</w:t>
      </w:r>
      <w:r>
        <w:t xml:space="preserve"> </w:t>
      </w:r>
      <w:r>
        <w:t xml:space="preserve">auch maschinenlesbar verfügbar, auf</w:t>
      </w:r>
      <w:r>
        <w:t xml:space="preserve"> </w:t>
      </w:r>
      <w:hyperlink r:id="rId169">
        <w:r>
          <w:rPr>
            <w:rStyle w:val="Hyperlink"/>
          </w:rPr>
          <w:t xml:space="preserve">LINDAS</w:t>
        </w:r>
      </w:hyperlink>
      <w:r>
        <w:t xml:space="preserve"> </w:t>
      </w:r>
      <w:r>
        <w:t xml:space="preserve">und im</w:t>
      </w:r>
      <w:r>
        <w:t xml:space="preserve"> </w:t>
      </w:r>
      <w:hyperlink r:id="rId205">
        <w:r>
          <w:rPr>
            <w:rStyle w:val="Hyperlink"/>
          </w:rPr>
          <w:t xml:space="preserve">GitHub-Repository</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6" w:name="tbl-glossary"/>
          <w:p>
            <w:pPr>
              <w:jc w:val="center"/>
            </w:pPr>
            <w:pPr>
              <w:jc w:val="left"/>
              <w:spacing w:before="200"/>
              <w:pStyle w:val="ImageCaption"/>
            </w:pPr>
            <w:r>
              <w:t xml:space="preserve">Tabelle 5: Glossar des Standards eCH-1234</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Begriff</w:t>
                  </w:r>
                </w:p>
              </w:tc>
              <w:tc>
                <w:tcPr/>
                <w:p>
                  <w:pPr>
                    <w:pStyle w:val="Compact"/>
                    <w:jc w:val="left"/>
                    <w:jc w:val="center"/>
                  </w:pPr>
                  <w:r>
                    <w:t xml:space="preserve">Beschreibung</w:t>
                  </w:r>
                </w:p>
              </w:tc>
            </w:tr>
            <w:tr>
              <w:tc>
                <w:tcPr/>
                <w:p>
                  <w:pPr>
                    <w:pStyle w:val="Compact"/>
                    <w:jc w:val="left"/>
                    <w:jc w:val="center"/>
                  </w:pPr>
                  <w:r>
                    <w:rPr>
                      <w:b/>
                      <w:bCs/>
                    </w:rPr>
                    <w:t xml:space="preserve">Graph</w:t>
                  </w:r>
                  <w:r>
                    <w:t xml:space="preserve"> </w:t>
                  </w:r>
                  <w:r>
                    <w:t xml:space="preserve">(Named Graph)</w:t>
                  </w:r>
                </w:p>
              </w:tc>
              <w:tc>
                <w:tcPr/>
                <w:p>
                  <w:pPr>
                    <w:jc w:val="left"/>
                    <w:jc w:val="center"/>
                  </w:pPr>
                  <w:r>
                    <w:t xml:space="preserve">Eine Menge von Tripeln. Ein benannter Graph wird selbst durch</w:t>
                  </w:r>
                  <w:r>
                    <w:t xml:space="preserve"> </w:t>
                  </w:r>
                  <w:r>
                    <w:t xml:space="preserve">eine IRI identifiziert und erlaubt es, Daten in einem Triple</w:t>
                  </w:r>
                  <w:r>
                    <w:t xml:space="preserve"> </w:t>
                  </w:r>
                  <w:r>
                    <w:t xml:space="preserve">Store zu gruppieren.</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Inferenz</w:t>
                  </w:r>
                  <w:r>
                    <w:t xml:space="preserve"> </w:t>
                  </w:r>
                  <w:r>
                    <w:t xml:space="preserve">(Reasoning)</w:t>
                  </w:r>
                </w:p>
              </w:tc>
              <w:tc>
                <w:tcPr/>
                <w:p>
                  <w:pPr>
                    <w:pStyle w:val="Compact"/>
                    <w:jc w:val="left"/>
                    <w:jc w:val="center"/>
                  </w:pPr>
                  <w:r>
                    <w:t xml:space="preserve">Das automatische Ableiten neuer Aussagen aus den vorhandenen</w:t>
                  </w:r>
                  <w:r>
                    <w:t xml:space="preserve"> </w:t>
                  </w:r>
                  <w:r>
                    <w:t xml:space="preserve">Daten und den Axiomen einer Ontologie, zum Beispiel durch den</w:t>
                  </w:r>
                  <w:r>
                    <w:t xml:space="preserve"> </w:t>
                  </w:r>
                  <w:r>
                    <w:t xml:space="preserve">Reasoner HermiT.</w:t>
                  </w:r>
                </w:p>
              </w:tc>
            </w:tr>
            <w:tr>
              <w:tc>
                <w:tcPr/>
                <w:p>
                  <w:pPr>
                    <w:pStyle w:val="Compact"/>
                    <w:jc w:val="left"/>
                    <w:jc w:val="center"/>
                  </w:pPr>
                  <w:r>
                    <w:rPr>
                      <w:b/>
                      <w:bCs/>
                    </w:rPr>
                    <w:t xml:space="preserve">Internationalized Resource</w:t>
                  </w:r>
                  <w:r>
                    <w:rPr>
                      <w:b/>
                      <w:bCs/>
                    </w:rPr>
                    <w:t xml:space="preserve"> </w:t>
                  </w:r>
                  <w:r>
                    <w:rPr>
                      <w:b/>
                      <w:bCs/>
                    </w:rPr>
                    <w:t xml:space="preserve">Identifier</w:t>
                  </w:r>
                  <w:r>
                    <w:t xml:space="preserve"> </w:t>
                  </w:r>
                  <w:r>
                    <w:t xml:space="preserve">(IRI)</w:t>
                  </w:r>
                </w:p>
              </w:tc>
              <w:tc>
                <w:tcPr/>
                <w:p>
                  <w:pPr>
                    <w:jc w:val="left"/>
                    <w:jc w:val="center"/>
                  </w:pPr>
                  <w:r>
                    <w:t xml:space="preserve">Weltweit eindeutiger Bezeichner einer Ressource. In RDF werden</w:t>
                  </w:r>
                  <w:r>
                    <w:t xml:space="preserve"> </w:t>
                  </w:r>
                  <w:r>
                    <w:t xml:space="preserve">Subjekte, Prädikate und die meisten Objekte durch IRIs</w:t>
                  </w:r>
                  <w:r>
                    <w:t xml:space="preserve"> </w:t>
                  </w:r>
                  <w:r>
                    <w:t xml:space="preserve">identifiziert.</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JSON for Linking Data</w:t>
                  </w:r>
                  <w:r>
                    <w:t xml:space="preserve"> </w:t>
                  </w:r>
                  <w:r>
                    <w:t xml:space="preserve">(JSON-LD)</w:t>
                  </w:r>
                </w:p>
              </w:tc>
              <w:tc>
                <w:tcPr/>
                <w:p>
                  <w:pPr>
                    <w:jc w:val="left"/>
                    <w:jc w:val="center"/>
                  </w:pPr>
                  <w:r>
                    <w:t xml:space="preserve">Eine Serialisierung von RDF auf der Basis von JSON, die sich</w:t>
                  </w:r>
                  <w:r>
                    <w:t xml:space="preserve"> </w:t>
                  </w:r>
                  <w:r>
                    <w:t xml:space="preserve">besonders für Web-Schnittstellen eignet.</w:t>
                  </w:r>
                </w:p>
                <w:p>
                  <w:pPr>
                    <w:jc w:val="left"/>
                    <w:jc w:val="center"/>
                  </w:pPr>
                  <w:r>
                    <w:rPr>
                      <w:i/>
                      <w:iCs/>
                    </w:rPr>
                    <w:t xml:space="preserve">Oberbegriff</w:t>
                  </w:r>
                  <w:r>
                    <w:t xml:space="preserve">: Serialisierung</w:t>
                  </w:r>
                </w:p>
              </w:tc>
            </w:tr>
            <w:tr>
              <w:tc>
                <w:tcPr/>
                <w:p>
                  <w:pPr>
                    <w:pStyle w:val="Compact"/>
                    <w:jc w:val="left"/>
                    <w:jc w:val="center"/>
                  </w:pPr>
                  <w:r>
                    <w:rPr>
                      <w:b/>
                      <w:bCs/>
                    </w:rPr>
                    <w:t xml:space="preserve">Linked Data</w:t>
                  </w:r>
                  <w:r>
                    <w:t xml:space="preserve"> </w:t>
                  </w:r>
                  <w:r>
                    <w:t xml:space="preserve">(Verknüpfte</w:t>
                  </w:r>
                  <w:r>
                    <w:t xml:space="preserve"> </w:t>
                  </w:r>
                  <w:r>
                    <w:t xml:space="preserve">Daten)</w:t>
                  </w:r>
                </w:p>
              </w:tc>
              <w:tc>
                <w:tcPr/>
                <w:p>
                  <w:pPr>
                    <w:jc w:val="left"/>
                    <w:jc w:val="center"/>
                  </w:pPr>
                  <w:r>
                    <w:t xml:space="preserve">Daten, die nach den Prinzipien des Semantic Web mit IRIs</w:t>
                  </w:r>
                  <w:r>
                    <w:t xml:space="preserve"> </w:t>
                  </w:r>
                  <w:r>
                    <w:t xml:space="preserve">identifiziert, in RDF beschrieben und untereinander verknüpft</w:t>
                  </w:r>
                  <w:r>
                    <w:t xml:space="preserve"> </w:t>
                  </w:r>
                  <w:r>
                    <w:t xml:space="preserve">publiziert werden.</w:t>
                  </w:r>
                </w:p>
                <w:p>
                  <w:pPr>
                    <w:jc w:val="left"/>
                    <w:jc w:val="center"/>
                  </w:pPr>
                  <w:r>
                    <w:rPr>
                      <w:i/>
                      <w:iCs/>
                    </w:rPr>
                    <w:t xml:space="preserve">Verwandt</w:t>
                  </w:r>
                  <w:r>
                    <w:t xml:space="preserve">: Linked Data Service, Resource Description Framework</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Der offizielle Linked-Data-Dienst der Schweizer</w:t>
                  </w:r>
                  <w:r>
                    <w:t xml:space="preserve"> </w:t>
                  </w:r>
                  <w:r>
                    <w:t xml:space="preserve">Bundesverwaltung, der als Triple Store fungiert.</w:t>
                  </w:r>
                </w:p>
              </w:tc>
            </w:tr>
            <w:tr>
              <w:tc>
                <w:tcPr/>
                <w:p>
                  <w:pPr>
                    <w:pStyle w:val="Compact"/>
                    <w:jc w:val="left"/>
                    <w:jc w:val="center"/>
                  </w:pPr>
                  <w:r>
                    <w:rPr>
                      <w:b/>
                      <w:bCs/>
                    </w:rPr>
                    <w:t xml:space="preserve">Literal</w:t>
                  </w:r>
                </w:p>
              </w:tc>
              <w:tc>
                <w:tcPr/>
                <w:p>
                  <w:pPr>
                    <w:jc w:val="left"/>
                    <w:jc w:val="center"/>
                  </w:pPr>
                  <w:r>
                    <w:t xml:space="preserve">Ein konkreter Wert in RDF, etwa eine Zeichenkette, eine Zahl</w:t>
                  </w:r>
                  <w:r>
                    <w:t xml:space="preserve"> </w:t>
                  </w:r>
                  <w:r>
                    <w:t xml:space="preserve">oder ein Datum, optional mit Datentyp oder Sprachangabe.</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Namensraum</w:t>
                  </w:r>
                  <w:r>
                    <w:t xml:space="preserve"> </w:t>
                  </w:r>
                  <w:r>
                    <w:t xml:space="preserve">(Präfix)</w:t>
                  </w:r>
                </w:p>
              </w:tc>
              <w:tc>
                <w:tcPr/>
                <w:p>
                  <w:pPr>
                    <w:jc w:val="left"/>
                    <w:jc w:val="center"/>
                  </w:pPr>
                  <w:r>
                    <w:t xml:space="preserve">Gemeinsamer Anfang einer Gruppe von IRIs. In Turtle und SPARQL</w:t>
                  </w:r>
                  <w:r>
                    <w:t xml:space="preserve"> </w:t>
                  </w:r>
                  <w:r>
                    <w:t xml:space="preserve">wird ein Namensraum durch ein Präfix abgekürzt, zum Beispiel</w:t>
                  </w:r>
                  <w:r>
                    <w:t xml:space="preserve"> </w:t>
                  </w:r>
                  <w:r>
                    <w:rPr>
                      <w:rStyle w:val="VerbatimChar"/>
                    </w:rPr>
                    <w:t xml:space="preserve">schema:</w:t>
                  </w:r>
                  <w:r>
                    <w:t xml:space="preserve"> </w:t>
                  </w:r>
                  <w:r>
                    <w:t xml:space="preserve">für</w:t>
                  </w:r>
                  <w:r>
                    <w:t xml:space="preserve"> </w:t>
                  </w:r>
                  <w:r>
                    <w:rPr>
                      <w:rStyle w:val="VerbatimChar"/>
                    </w:rPr>
                    <w:t xml:space="preserve">http://schema.org/</w:t>
                  </w:r>
                  <w:r>
                    <w:t xml:space="preserve">.</w:t>
                  </w:r>
                </w:p>
                <w:p>
                  <w:pPr>
                    <w:jc w:val="left"/>
                    <w:jc w:val="center"/>
                  </w:pPr>
                  <w:r>
                    <w:rPr>
                      <w:i/>
                      <w:iCs/>
                    </w:rPr>
                    <w:t xml:space="preserve">Verwandt</w:t>
                  </w:r>
                  <w:r>
                    <w:t xml:space="preserve">: Internationalized Resource Identifier</w:t>
                  </w:r>
                </w:p>
              </w:tc>
            </w:tr>
            <w:tr>
              <w:tc>
                <w:tcPr/>
                <w:p>
                  <w:pPr>
                    <w:pStyle w:val="Compact"/>
                    <w:jc w:val="left"/>
                    <w:jc w:val="center"/>
                  </w:pPr>
                  <w:r>
                    <w:rPr>
                      <w:b/>
                      <w:bCs/>
                    </w:rPr>
                    <w:t xml:space="preserve">Ontologie</w:t>
                  </w:r>
                </w:p>
              </w:tc>
              <w:tc>
                <w:tcPr/>
                <w:p>
                  <w:pPr>
                    <w:jc w:val="left"/>
                    <w:jc w:val="center"/>
                  </w:pPr>
                  <w:r>
                    <w:t xml:space="preserve">Ein formales Modell eines Fachgebiets, das Klassen,</w:t>
                  </w:r>
                  <w:r>
                    <w:t xml:space="preserve"> </w:t>
                  </w:r>
                  <w:r>
                    <w:t xml:space="preserve">Eigenschaften und deren logische Beziehungen so beschreibt,</w:t>
                  </w:r>
                  <w:r>
                    <w:t xml:space="preserve"> </w:t>
                  </w:r>
                  <w:r>
                    <w:t xml:space="preserve">dass Maschinen daraus Schlüsse ziehen können.</w:t>
                  </w:r>
                </w:p>
                <w:p>
                  <w:pPr>
                    <w:jc w:val="left"/>
                    <w:jc w:val="center"/>
                  </w:pPr>
                  <w:r>
                    <w:rPr>
                      <w:i/>
                      <w:iCs/>
                    </w:rPr>
                    <w:t xml:space="preserve">Oberbegriff</w:t>
                  </w:r>
                  <w:r>
                    <w:t xml:space="preserve">: Vokabular</w:t>
                  </w:r>
                </w:p>
                <w:p>
                  <w:pPr>
                    <w:jc w:val="left"/>
                    <w:jc w:val="center"/>
                  </w:pPr>
                  <w:r>
                    <w:rPr>
                      <w:i/>
                      <w:iCs/>
                    </w:rPr>
                    <w:t xml:space="preserve">Verwandt</w:t>
                  </w:r>
                  <w:r>
                    <w:t xml:space="preserve">: Web Ontology Language</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Ein zentraler Standard des World Wide Web Consortiums (W3C) zur</w:t>
                  </w:r>
                  <w:r>
                    <w:t xml:space="preserve"> </w:t>
                  </w:r>
                  <w:r>
                    <w:t xml:space="preserve">Modellierung von Datenstrukturen im Web. Informationen werden</w:t>
                  </w:r>
                  <w:r>
                    <w:t xml:space="preserve"> </w:t>
                  </w:r>
                  <w:r>
                    <w:t xml:space="preserve">nicht in klassischen Tabellen, sondern als vernetzte Graphen</w:t>
                  </w:r>
                  <w:r>
                    <w:t xml:space="preserve"> </w:t>
                  </w:r>
                  <w:r>
                    <w:t xml:space="preserve">abgebildet.</w:t>
                  </w:r>
                </w:p>
              </w:tc>
            </w:tr>
            <w:tr>
              <w:tc>
                <w:tcPr/>
                <w:p>
                  <w:pPr>
                    <w:pStyle w:val="Compact"/>
                    <w:jc w:val="left"/>
                    <w:jc w:val="center"/>
                  </w:pPr>
                  <w:r>
                    <w:rPr>
                      <w:b/>
                      <w:bCs/>
                    </w:rPr>
                    <w:t xml:space="preserve">Serialisierung</w:t>
                  </w:r>
                </w:p>
              </w:tc>
              <w:tc>
                <w:tcPr/>
                <w:p>
                  <w:pPr>
                    <w:jc w:val="left"/>
                    <w:jc w:val="center"/>
                  </w:pPr>
                  <w:r>
                    <w:t xml:space="preserve">Textuelle Darstellung eines RDF-Graphen in einem definierten</w:t>
                  </w:r>
                  <w:r>
                    <w:t xml:space="preserve"> </w:t>
                  </w:r>
                  <w:r>
                    <w:t xml:space="preserve">Format, um ihn zu speichern oder auszutauschen.</w:t>
                  </w:r>
                </w:p>
                <w:p>
                  <w:pPr>
                    <w:jc w:val="left"/>
                    <w:jc w:val="center"/>
                  </w:pPr>
                  <w:r>
                    <w:rPr>
                      <w:i/>
                      <w:iCs/>
                    </w:rPr>
                    <w:t xml:space="preserve">Unterbegriff</w:t>
                  </w:r>
                  <w:r>
                    <w:t xml:space="preserve">: JSON for Linking Data, Terse RDF Triple</w:t>
                  </w:r>
                  <w:r>
                    <w:t xml:space="preserve"> </w:t>
                  </w:r>
                  <w:r>
                    <w:t xml:space="preserve">Language</w:t>
                  </w:r>
                </w:p>
              </w:tc>
            </w:tr>
            <w:tr>
              <w:tc>
                <w:tcPr/>
                <w:p>
                  <w:pPr>
                    <w:pStyle w:val="Compact"/>
                    <w:jc w:val="left"/>
                    <w:jc w:val="center"/>
                  </w:pPr>
                  <w:r>
                    <w:rPr>
                      <w:b/>
                      <w:bCs/>
                    </w:rPr>
                    <w:t xml:space="preserve">Shape</w:t>
                  </w:r>
                </w:p>
              </w:tc>
              <w:tc>
                <w:tcPr/>
                <w:p>
                  <w:pPr>
                    <w:jc w:val="left"/>
                    <w:jc w:val="center"/>
                  </w:pPr>
                  <w:r>
                    <w:t xml:space="preserve">Eine Menge von Bedingungen, die eine Klasse von Ressourcen oder</w:t>
                  </w:r>
                  <w:r>
                    <w:t xml:space="preserve"> </w:t>
                  </w:r>
                  <w:r>
                    <w:t xml:space="preserve">eine Eigenschaft erfüllen muss, etwa Pflichtfelder, Datentypen</w:t>
                  </w:r>
                  <w:r>
                    <w:t xml:space="preserve"> </w:t>
                  </w:r>
                  <w:r>
                    <w:t xml:space="preserve">und Kardinalitäten.</w:t>
                  </w:r>
                </w:p>
                <w:p>
                  <w:pPr>
                    <w:jc w:val="left"/>
                    <w:jc w:val="center"/>
                  </w:pPr>
                  <w:r>
                    <w:rPr>
                      <w:i/>
                      <w:iCs/>
                    </w:rPr>
                    <w:t xml:space="preserve">Oberbegriff</w:t>
                  </w:r>
                  <w:r>
                    <w:t xml:space="preserve">: Shapes Constraint Language</w:t>
                  </w:r>
                </w:p>
              </w:tc>
            </w:tr>
            <w:tr>
              <w:tc>
                <w:tcPr/>
                <w:p>
                  <w:pPr>
                    <w:pStyle w:val="Compact"/>
                    <w:jc w:val="left"/>
                    <w:jc w:val="center"/>
                  </w:pPr>
                  <w:r>
                    <w:rPr>
                      <w:b/>
                      <w:bCs/>
                    </w:rPr>
                    <w:t xml:space="preserve">Shapes Constraint Language</w:t>
                  </w:r>
                  <w:r>
                    <w:t xml:space="preserve"> </w:t>
                  </w:r>
                  <w:r>
                    <w:t xml:space="preserve">(SHACL)</w:t>
                  </w:r>
                </w:p>
              </w:tc>
              <w:tc>
                <w:tcPr/>
                <w:p>
                  <w:pPr>
                    <w:jc w:val="left"/>
                    <w:jc w:val="center"/>
                  </w:pPr>
                  <w:r>
                    <w:t xml:space="preserve">Die Sprache des W3C zur Beschreibung und Prüfung der Struktur</w:t>
                  </w:r>
                  <w:r>
                    <w:t xml:space="preserve"> </w:t>
                  </w:r>
                  <w:r>
                    <w:t xml:space="preserve">von RDF-Daten. Das Datenmodell dieses Standards ist in SHACL</w:t>
                  </w:r>
                  <w:r>
                    <w:t xml:space="preserve"> </w:t>
                  </w:r>
                  <w:r>
                    <w:t xml:space="preserve">formuliert.</w:t>
                  </w:r>
                </w:p>
                <w:p>
                  <w:pPr>
                    <w:jc w:val="left"/>
                    <w:jc w:val="center"/>
                  </w:pPr>
                  <w:r>
                    <w:rPr>
                      <w:i/>
                      <w:iCs/>
                    </w:rPr>
                    <w:t xml:space="preserve">Unterbegriff</w:t>
                  </w:r>
                  <w:r>
                    <w:t xml:space="preserve">: Shape</w:t>
                  </w:r>
                </w:p>
              </w:tc>
            </w:tr>
            <w:tr>
              <w:tc>
                <w:tcPr/>
                <w:p>
                  <w:pPr>
                    <w:pStyle w:val="Compact"/>
                    <w:jc w:val="left"/>
                    <w:jc w:val="center"/>
                  </w:pPr>
                  <w:r>
                    <w:rPr>
                      <w:b/>
                      <w:bCs/>
                    </w:rPr>
                    <w:t xml:space="preserve">Simple Knowledge Organization</w:t>
                  </w:r>
                  <w:r>
                    <w:rPr>
                      <w:b/>
                      <w:bCs/>
                    </w:rPr>
                    <w:t xml:space="preserve"> </w:t>
                  </w:r>
                  <w:r>
                    <w:rPr>
                      <w:b/>
                      <w:bCs/>
                    </w:rPr>
                    <w:t xml:space="preserve">System</w:t>
                  </w:r>
                  <w:r>
                    <w:t xml:space="preserve"> </w:t>
                  </w:r>
                  <w:r>
                    <w:t xml:space="preserve">(SKOS)</w:t>
                  </w:r>
                </w:p>
              </w:tc>
              <w:tc>
                <w:tcPr/>
                <w:p>
                  <w:pPr>
                    <w:jc w:val="left"/>
                    <w:jc w:val="center"/>
                  </w:pPr>
                  <w:r>
                    <w:t xml:space="preserve">Ein Vokabular des W3C für Thesauri, Klassifikationen und</w:t>
                  </w:r>
                  <w:r>
                    <w:t xml:space="preserve"> </w:t>
                  </w:r>
                  <w:r>
                    <w:t xml:space="preserve">Glossare. Dieses Glossar ist selbst in SKOS erfasst.</w:t>
                  </w:r>
                </w:p>
                <w:p>
                  <w:pPr>
                    <w:jc w:val="left"/>
                    <w:jc w:val="center"/>
                  </w:pPr>
                  <w:r>
                    <w:rPr>
                      <w:i/>
                      <w:iCs/>
                    </w:rPr>
                    <w:t xml:space="preserve">Verwandt</w:t>
                  </w:r>
                  <w:r>
                    <w:t xml:space="preserve">: Vokabular</w:t>
                  </w:r>
                </w:p>
              </w:tc>
            </w:tr>
            <w:tr>
              <w:tc>
                <w:tcPr/>
                <w:p>
                  <w:pPr>
                    <w:pStyle w:val="Compact"/>
                    <w:jc w:val="left"/>
                    <w:jc w:val="center"/>
                  </w:pPr>
                  <w:r>
                    <w:rPr>
                      <w:b/>
                      <w:bCs/>
                    </w:rPr>
                    <w:t xml:space="preserve">SPARQL Protocol and RDF Query</w:t>
                  </w:r>
                  <w:r>
                    <w:rPr>
                      <w:b/>
                      <w:bCs/>
                    </w:rPr>
                    <w:t xml:space="preserve"> </w:t>
                  </w:r>
                  <w:r>
                    <w:rPr>
                      <w:b/>
                      <w:bCs/>
                    </w:rPr>
                    <w:t xml:space="preserve">Language</w:t>
                  </w:r>
                  <w:r>
                    <w:t xml:space="preserve"> </w:t>
                  </w:r>
                  <w:r>
                    <w:t xml:space="preserve">(SPARQL)</w:t>
                  </w:r>
                </w:p>
              </w:tc>
              <w:tc>
                <w:tcPr/>
                <w:p>
                  <w:pPr>
                    <w:jc w:val="left"/>
                    <w:jc w:val="center"/>
                  </w:pPr>
                  <w:r>
                    <w:t xml:space="preserve">Die Abfragesprache des W3C für RDF-Daten. Mit SPARQL werden</w:t>
                  </w:r>
                  <w:r>
                    <w:t xml:space="preserve"> </w:t>
                  </w:r>
                  <w:r>
                    <w:t xml:space="preserve">Daten aus Graphen gelesen, verändert und zwischen Systemen</w:t>
                  </w:r>
                  <w:r>
                    <w:t xml:space="preserve"> </w:t>
                  </w:r>
                  <w:r>
                    <w:t xml:space="preserve">ausgetauscht.</w:t>
                  </w:r>
                </w:p>
                <w:p>
                  <w:pPr>
                    <w:jc w:val="left"/>
                    <w:jc w:val="center"/>
                  </w:pPr>
                  <w:r>
                    <w:rPr>
                      <w:i/>
                      <w:iCs/>
                    </w:rPr>
                    <w:t xml:space="preserve">Verwandt</w:t>
                  </w:r>
                  <w:r>
                    <w:t xml:space="preserve">: Resource Description Framework</w:t>
                  </w:r>
                </w:p>
              </w:tc>
            </w:tr>
            <w:tr>
              <w:tc>
                <w:tcPr/>
                <w:p>
                  <w:pPr>
                    <w:pStyle w:val="Compact"/>
                    <w:jc w:val="left"/>
                    <w:jc w:val="center"/>
                  </w:pPr>
                  <w:r>
                    <w:rPr>
                      <w:b/>
                      <w:bCs/>
                    </w:rPr>
                    <w:t xml:space="preserve">SPARQL-Endpunkt</w:t>
                  </w:r>
                </w:p>
              </w:tc>
              <w:tc>
                <w:tcPr/>
                <w:p>
                  <w:pPr>
                    <w:jc w:val="left"/>
                    <w:jc w:val="center"/>
                  </w:pPr>
                  <w:r>
                    <w:t xml:space="preserve">Eine Web-Schnittstelle, über die SPARQL-Abfragen an einen</w:t>
                  </w:r>
                  <w:r>
                    <w:t xml:space="preserve"> </w:t>
                  </w:r>
                  <w:r>
                    <w:t xml:space="preserve">Triple Store gesendet werden können.</w:t>
                  </w:r>
                </w:p>
                <w:p>
                  <w:pPr>
                    <w:jc w:val="left"/>
                    <w:jc w:val="center"/>
                  </w:pPr>
                  <w:r>
                    <w:rPr>
                      <w:i/>
                      <w:iCs/>
                    </w:rPr>
                    <w:t xml:space="preserve">Oberbegriff</w:t>
                  </w:r>
                  <w:r>
                    <w:t xml:space="preserve">: SPARQL Protocol and RDF Query Language</w:t>
                  </w:r>
                </w:p>
              </w:tc>
            </w:tr>
            <w:tr>
              <w:tc>
                <w:tcPr/>
                <w:p>
                  <w:pPr>
                    <w:pStyle w:val="Compact"/>
                    <w:jc w:val="left"/>
                    <w:jc w:val="center"/>
                  </w:pPr>
                  <w:r>
                    <w:rPr>
                      <w:b/>
                      <w:bCs/>
                    </w:rPr>
                    <w:t xml:space="preserve">Terse RDF Triple Language</w:t>
                  </w:r>
                  <w:r>
                    <w:t xml:space="preserve"> </w:t>
                  </w:r>
                  <w:r>
                    <w:t xml:space="preserve">(Turtle)</w:t>
                  </w:r>
                </w:p>
              </w:tc>
              <w:tc>
                <w:tcPr/>
                <w:p>
                  <w:pPr>
                    <w:jc w:val="left"/>
                    <w:jc w:val="center"/>
                  </w:pPr>
                  <w:r>
                    <w:t xml:space="preserve">Eine kompakte, gut lesbare Serialisierung für RDF. Alle</w:t>
                  </w:r>
                  <w:r>
                    <w:t xml:space="preserve"> </w:t>
                  </w:r>
                  <w:r>
                    <w:t xml:space="preserve">RDF-Dateien dieses Standards sind in Turtle verfasst.</w:t>
                  </w:r>
                </w:p>
                <w:p>
                  <w:pPr>
                    <w:jc w:val="left"/>
                    <w:jc w:val="center"/>
                  </w:pPr>
                  <w:r>
                    <w:rPr>
                      <w:i/>
                      <w:iCs/>
                    </w:rPr>
                    <w:t xml:space="preserve">Oberbegriff</w:t>
                  </w:r>
                  <w:r>
                    <w:t xml:space="preserve">: Serialisierung</w:t>
                  </w:r>
                </w:p>
              </w:tc>
            </w:tr>
            <w:tr>
              <w:tc>
                <w:tcPr/>
                <w:p>
                  <w:pPr>
                    <w:pStyle w:val="Compact"/>
                    <w:jc w:val="left"/>
                    <w:jc w:val="center"/>
                  </w:pPr>
                  <w:r>
                    <w:rPr>
                      <w:b/>
                      <w:bCs/>
                    </w:rPr>
                    <w:t xml:space="preserve">Tripel</w:t>
                  </w:r>
                </w:p>
              </w:tc>
              <w:tc>
                <w:tcPr/>
                <w:p>
                  <w:pPr>
                    <w:jc w:val="left"/>
                    <w:jc w:val="center"/>
                  </w:pPr>
                  <w:r>
                    <w:t xml:space="preserve">Die Grundstruktur einer Aussage in RDF, bestehend aus Subjekt,</w:t>
                  </w:r>
                  <w:r>
                    <w:t xml:space="preserve"> </w:t>
                  </w:r>
                  <w:r>
                    <w:t xml:space="preserve">Prädikat und Objekt.</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Triple Store</w:t>
                  </w:r>
                  <w:r>
                    <w:t xml:space="preserve"> </w:t>
                  </w:r>
                  <w:r>
                    <w:t xml:space="preserve">(Graphdatenbank)</w:t>
                  </w:r>
                </w:p>
              </w:tc>
              <w:tc>
                <w:tcPr/>
                <w:p>
                  <w:pPr>
                    <w:jc w:val="left"/>
                    <w:jc w:val="center"/>
                  </w:pPr>
                  <w:r>
                    <w:t xml:space="preserve">Eine Datenbank, die auf das Speichern und Abfragen von</w:t>
                  </w:r>
                  <w:r>
                    <w:t xml:space="preserve"> </w:t>
                  </w:r>
                  <w:r>
                    <w:t xml:space="preserve">RDF-Tripeln spezialisiert ist.</w:t>
                  </w:r>
                </w:p>
                <w:p>
                  <w:pPr>
                    <w:jc w:val="left"/>
                    <w:jc w:val="center"/>
                  </w:pPr>
                  <w:r>
                    <w:rPr>
                      <w:i/>
                      <w:iCs/>
                    </w:rPr>
                    <w:t xml:space="preserve">Verwandt</w:t>
                  </w:r>
                  <w:r>
                    <w:t xml:space="preserve">: Linked Data Service</w:t>
                  </w:r>
                </w:p>
              </w:tc>
            </w:tr>
            <w:tr>
              <w:tc>
                <w:tcPr/>
                <w:p>
                  <w:pPr>
                    <w:pStyle w:val="Compact"/>
                    <w:jc w:val="left"/>
                    <w:jc w:val="center"/>
                  </w:pPr>
                  <w:r>
                    <w:rPr>
                      <w:b/>
                      <w:bCs/>
                    </w:rPr>
                    <w:t xml:space="preserve">Vokabular</w:t>
                  </w:r>
                </w:p>
              </w:tc>
              <w:tc>
                <w:tcPr/>
                <w:p>
                  <w:pPr>
                    <w:jc w:val="left"/>
                    <w:jc w:val="center"/>
                  </w:pPr>
                  <w:r>
                    <w:t xml:space="preserve">Eine Sammlung von Klassen und Eigenschaften mit festgelegter</w:t>
                  </w:r>
                  <w:r>
                    <w:t xml:space="preserve"> </w:t>
                  </w:r>
                  <w:r>
                    <w:t xml:space="preserve">Bedeutung, die zur Beschreibung von Daten wiederverwendet wird,</w:t>
                  </w:r>
                  <w:r>
                    <w:t xml:space="preserve"> </w:t>
                  </w:r>
                  <w:r>
                    <w:t xml:space="preserve">zum Beispiel schema.org.</w:t>
                  </w:r>
                </w:p>
                <w:p>
                  <w:pPr>
                    <w:jc w:val="left"/>
                    <w:jc w:val="center"/>
                  </w:pPr>
                  <w:r>
                    <w:rPr>
                      <w:i/>
                      <w:iCs/>
                    </w:rPr>
                    <w:t xml:space="preserve">Unterbegriff</w:t>
                  </w:r>
                  <w:r>
                    <w:t xml:space="preserve">: Ontologie</w:t>
                  </w:r>
                </w:p>
              </w:tc>
            </w:tr>
            <w:tr>
              <w:tc>
                <w:tcPr/>
                <w:p>
                  <w:pPr>
                    <w:pStyle w:val="Compact"/>
                    <w:jc w:val="left"/>
                    <w:jc w:val="center"/>
                  </w:pPr>
                  <w:r>
                    <w:rPr>
                      <w:b/>
                      <w:bCs/>
                    </w:rPr>
                    <w:t xml:space="preserve">Web Ontology Language</w:t>
                  </w:r>
                  <w:r>
                    <w:t xml:space="preserve"> </w:t>
                  </w:r>
                  <w:r>
                    <w:t xml:space="preserve">(OWL)</w:t>
                  </w:r>
                </w:p>
              </w:tc>
              <w:tc>
                <w:tcPr/>
                <w:p>
                  <w:pPr>
                    <w:jc w:val="left"/>
                    <w:jc w:val="center"/>
                  </w:pPr>
                  <w:r>
                    <w:t xml:space="preserve">Die Sprache des W3C zur Formulierung von Ontologien. Sie</w:t>
                  </w:r>
                  <w:r>
                    <w:t xml:space="preserve"> </w:t>
                  </w:r>
                  <w:r>
                    <w:t xml:space="preserve">erlaubt es, Klassen und Eigenschaften mit logischen Axiomen zu</w:t>
                  </w:r>
                  <w:r>
                    <w:t xml:space="preserve"> </w:t>
                  </w:r>
                  <w:r>
                    <w:t xml:space="preserve">definieren.</w:t>
                  </w:r>
                </w:p>
                <w:p>
                  <w:pPr>
                    <w:jc w:val="left"/>
                    <w:jc w:val="center"/>
                  </w:pPr>
                  <w:r>
                    <w:rPr>
                      <w:i/>
                      <w:iCs/>
                    </w:rPr>
                    <w:t xml:space="preserve">Verwandt</w:t>
                  </w:r>
                  <w:r>
                    <w:t xml:space="preserve">: Inferenz</w:t>
                  </w:r>
                </w:p>
              </w:tc>
            </w:tr>
          </w:tbl>
          <w:bookmarkEnd w:id="206"/>
          <w:p/>
        </w:tc>
      </w:tr>
    </w:tbl>
    <w:bookmarkEnd w:id="207"/>
    <w:bookmarkStart w:id="209" w:name="sec-appendix-d"/>
    <w:p>
      <w:pPr>
        <w:pStyle w:val="berschrift1"/>
      </w:pPr>
      <w:r>
        <w:t xml:space="preserve">Anhang D – Änderungen gegenüber der Vorversion</w:t>
      </w:r>
    </w:p>
    <w:p>
      <w:pPr>
        <w:pStyle w:val="FirstParagraph"/>
      </w:pPr>
      <w:r>
        <w:t xml:space="preserve">Die wichtigsten Änderungen der Version 2.0.0 gegenüber der Vorversion 1.4.6:</w:t>
      </w:r>
    </w:p>
    <w:p>
      <w:pPr>
        <w:pStyle w:val="Compact"/>
        <w:numPr>
          <w:ilvl w:val="0"/>
          <w:numId w:val="1039"/>
        </w:numPr>
      </w:pPr>
      <w:r>
        <w:rPr>
          <w:b/>
          <w:bCs/>
        </w:rPr>
        <w:t xml:space="preserve">Dokumentvorlage:</w:t>
      </w:r>
      <w:r>
        <w:t xml:space="preserve"> </w:t>
      </w:r>
      <w:r>
        <w:t xml:space="preserve">Die PDF-Ausgabe folgt neu der eCH-Dokumentvorlage (Titelseite mit Metadatentabelle, Kopf- und Fusszeile, Inhaltsverzeichnis, Anhänge); die Website übernimmt denselben Stil in einer hellen und einer dunklen Variante.</w:t>
      </w:r>
    </w:p>
    <w:p>
      <w:pPr>
        <w:pStyle w:val="Compact"/>
        <w:numPr>
          <w:ilvl w:val="0"/>
          <w:numId w:val="1039"/>
        </w:numPr>
      </w:pPr>
      <w:r>
        <w:rPr>
          <w:b/>
          <w:bCs/>
        </w:rPr>
        <w:t xml:space="preserve">Metadaten:</w:t>
      </w:r>
      <w:r>
        <w:t xml:space="preserve"> </w:t>
      </w:r>
      <w:r>
        <w:t xml:space="preserve">Nummer, Kategorie, Reifegrad, Version, Status und weitere Angaben des Standards werden einmal zentral erfasst und automatisch in alle Sprachversionen, in die Titelseite, in die Fusszeile und in</w:t>
      </w:r>
      <w:r>
        <w:t xml:space="preserve"> </w:t>
      </w:r>
      <w:hyperlink w:anchor="sec-status">
        <w:r>
          <w:rPr>
            <w:rStyle w:val="Hyperlink"/>
          </w:rPr>
          <w:t xml:space="preserve">Kapitel 1.1</w:t>
        </w:r>
      </w:hyperlink>
      <w:r>
        <w:t xml:space="preserve"> </w:t>
      </w:r>
      <w:r>
        <w:t xml:space="preserve">übernommen.</w:t>
      </w:r>
    </w:p>
    <w:p>
      <w:pPr>
        <w:pStyle w:val="Compact"/>
        <w:numPr>
          <w:ilvl w:val="0"/>
          <w:numId w:val="1039"/>
        </w:numPr>
      </w:pPr>
      <w:r>
        <w:rPr>
          <w:b/>
          <w:bCs/>
        </w:rPr>
        <w:t xml:space="preserve">Verzeichnisse:</w:t>
      </w:r>
      <w:r>
        <w:t xml:space="preserve"> </w:t>
      </w:r>
      <w:r>
        <w:t xml:space="preserve">Abbildungs- und Tabellenverzeichnis (Anhang E und F) werden automatisch erzeugt und sind mit den Abbildungen und Tabellen verlinkt.</w:t>
      </w:r>
    </w:p>
    <w:p>
      <w:pPr>
        <w:pStyle w:val="Compact"/>
        <w:numPr>
          <w:ilvl w:val="0"/>
          <w:numId w:val="1039"/>
        </w:numPr>
      </w:pPr>
      <w:r>
        <w:rPr>
          <w:b/>
          <w:bCs/>
        </w:rPr>
        <w:t xml:space="preserve">Darstellung:</w:t>
      </w:r>
      <w:r>
        <w:t xml:space="preserve"> </w:t>
      </w:r>
      <w:r>
        <w:t xml:space="preserve">Einheitliche Gestaltung von Tabellen, Beschriftungen und Code in PDF und Website.</w:t>
      </w:r>
    </w:p>
    <w:p>
      <w:pPr>
        <w:pStyle w:val="FirstParagraph"/>
      </w:pPr>
      <w:r>
        <w:t xml:space="preserve">Eine vollständige Liste aller Änderungen je Version findet sich in den</w:t>
      </w:r>
      <w:r>
        <w:t xml:space="preserve"> </w:t>
      </w:r>
      <w:hyperlink r:id="rId208">
        <w:r>
          <w:rPr>
            <w:rStyle w:val="Hyperlink"/>
          </w:rPr>
          <w:t xml:space="preserve">Releases auf GitHub</w:t>
        </w:r>
      </w:hyperlink>
      <w:r>
        <w:t xml:space="preserve">.</w:t>
      </w:r>
    </w:p>
    <w:bookmarkEnd w:id="209"/>
    <w:bookmarkStart w:id="210" w:name="sec-appendix-e"/>
    <w:p>
      <w:pPr>
        <w:pStyle w:val="berschrift1"/>
      </w:pPr>
      <w:r>
        <w:t xml:space="preserve">Anhang E – Abbildungsverzeichnis</w:t>
      </w:r>
    </w:p>
    <w:bookmarkEnd w:id="210"/>
    <w:bookmarkStart w:id="211" w:name="sec-appendix-f"/>
    <w:p>
      <w:pPr>
        <w:pStyle w:val="berschrift1"/>
      </w:pPr>
      <w:r>
        <w:t xml:space="preserve">Anhang F – Tabellenverzeichnis</w:t>
      </w:r>
    </w:p>
    <w:bookmarkEnd w:id="211"/>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unotentext"/>
      </w:pPr>
      <w:r>
        <w:rPr>
          <w:rStyle w:val="FootnoteReference"/>
        </w:rPr>
        <w:footnoteRef/>
      </w:r>
      <w:r>
        <w:t xml:space="preserve"> </w:t>
      </w:r>
      <w:r>
        <w:t xml:space="preserve">Fussnoten erscheinen auf der Website am rechten Rand, im PDF am Seitenende.</w:t>
      </w:r>
    </w:p>
  </w:footnote>
  <w:footnote w:id="35">
    <w:p>
      <w:pPr>
        <w:pStyle w:val="Funotentext"/>
      </w:pPr>
      <w:r>
        <w:rPr>
          <w:rStyle w:val="FootnoteReference"/>
        </w:rPr>
        <w:footnoteRef/>
      </w:r>
      <w:r>
        <w:t xml:space="preserve"> </w:t>
      </w:r>
      <w:r>
        <w:t xml:space="preserve">Eine zweite Fussnote mit einem Link auf</w:t>
      </w:r>
      <w:r>
        <w:t xml:space="preserve"> </w:t>
      </w:r>
      <w:hyperlink r:id="rId36">
        <w:r>
          <w:rPr>
            <w:rStyle w:val="Hyperlink"/>
          </w:rPr>
          <w:t xml:space="preserve">ech.ch</w:t>
        </w:r>
      </w:hyperlink>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de"/>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8" Target="media/rId28.jpg" /><Relationship Type="http://schemas.openxmlformats.org/officeDocument/2006/relationships/image" Id="rId46" Target="media/rId46.png" /><Relationship Type="http://schemas.openxmlformats.org/officeDocument/2006/relationships/hyperlink" Id="rId145" Target="http://qudt.org/vocab/currency/USD" TargetMode="External" /><Relationship Type="http://schemas.openxmlformats.org/officeDocument/2006/relationships/hyperlink" Id="rId99" Target="http://qudt.org/vocab/unit/BYTE" TargetMode="External" /><Relationship Type="http://schemas.openxmlformats.org/officeDocument/2006/relationships/hyperlink" Id="rId96" Target="http://qudt.org/vocab/unit/MilliSEC" TargetMode="External" /><Relationship Type="http://schemas.openxmlformats.org/officeDocument/2006/relationships/hyperlink" Id="rId163" Target="http://qudt.org/vocab/unit/NUM" TargetMode="External" /><Relationship Type="http://schemas.openxmlformats.org/officeDocument/2006/relationships/hyperlink" Id="rId88" Target="http://schema.org/CategoryCode" TargetMode="External" /><Relationship Type="http://schemas.openxmlformats.org/officeDocument/2006/relationships/hyperlink" Id="rId149" Target="http://schema.org/Invoice" TargetMode="External" /><Relationship Type="http://schemas.openxmlformats.org/officeDocument/2006/relationships/hyperlink" Id="rId73" Target="http://schema.org/MusicAlbum" TargetMode="External" /><Relationship Type="http://schemas.openxmlformats.org/officeDocument/2006/relationships/hyperlink" Id="rId77" Target="http://schema.org/MusicGroup" TargetMode="External" /><Relationship Type="http://schemas.openxmlformats.org/officeDocument/2006/relationships/hyperlink" Id="rId81" Target="http://schema.org/MusicRecording" TargetMode="External" /><Relationship Type="http://schemas.openxmlformats.org/officeDocument/2006/relationships/hyperlink" Id="rId155" Target="http://schema.org/OrderItem" TargetMode="External" /><Relationship Type="http://schemas.openxmlformats.org/officeDocument/2006/relationships/hyperlink" Id="rId103" Target="http://schema.org/Organisation" TargetMode="External" /><Relationship Type="http://schemas.openxmlformats.org/officeDocument/2006/relationships/hyperlink" Id="rId118" Target="http://schema.org/Organization" TargetMode="External" /><Relationship Type="http://schemas.openxmlformats.org/officeDocument/2006/relationships/hyperlink" Id="rId108" Target="http://schema.org/Person" TargetMode="External" /><Relationship Type="http://schemas.openxmlformats.org/officeDocument/2006/relationships/hyperlink" Id="rId126" Target="http://schema.org/PostalAddress" TargetMode="External" /><Relationship Type="http://schemas.openxmlformats.org/officeDocument/2006/relationships/hyperlink" Id="rId140" Target="http://schema.org/QuantitativeValue" TargetMode="External" /><Relationship Type="http://schemas.openxmlformats.org/officeDocument/2006/relationships/hyperlink" Id="rId116" Target="http://schema.org/address" TargetMode="External" /><Relationship Type="http://schemas.openxmlformats.org/officeDocument/2006/relationships/hyperlink" Id="rId133" Target="http://schema.org/addressCountry" TargetMode="External" /><Relationship Type="http://schemas.openxmlformats.org/officeDocument/2006/relationships/hyperlink" Id="rId131" Target="http://schema.org/addressLocality" TargetMode="External" /><Relationship Type="http://schemas.openxmlformats.org/officeDocument/2006/relationships/hyperlink" Id="rId132" Target="http://schema.org/addressRegion" TargetMode="External" /><Relationship Type="http://schemas.openxmlformats.org/officeDocument/2006/relationships/hyperlink" Id="rId66" Target="http://schema.org/alternateName" TargetMode="External" /><Relationship Type="http://schemas.openxmlformats.org/officeDocument/2006/relationships/hyperlink" Id="rId85" Target="http://schema.org/author" TargetMode="External" /><Relationship Type="http://schemas.openxmlformats.org/officeDocument/2006/relationships/hyperlink" Id="rId114" Target="http://schema.org/birthDate" TargetMode="External" /><Relationship Type="http://schemas.openxmlformats.org/officeDocument/2006/relationships/hyperlink" Id="rId76" Target="http://schema.org/byArtist" TargetMode="External" /><Relationship Type="http://schemas.openxmlformats.org/officeDocument/2006/relationships/hyperlink" Id="rId98" Target="http://schema.org/contentSize" TargetMode="External" /><Relationship Type="http://schemas.openxmlformats.org/officeDocument/2006/relationships/hyperlink" Id="rId152" Target="http://schema.org/customer" TargetMode="External" /><Relationship Type="http://schemas.openxmlformats.org/officeDocument/2006/relationships/hyperlink" Id="rId156" Target="http://schema.org/dateCreated" TargetMode="External" /><Relationship Type="http://schemas.openxmlformats.org/officeDocument/2006/relationships/hyperlink" Id="rId94" Target="http://schema.org/duration" TargetMode="External" /><Relationship Type="http://schemas.openxmlformats.org/officeDocument/2006/relationships/hyperlink" Id="rId113" Target="http://schema.org/email" TargetMode="External" /><Relationship Type="http://schemas.openxmlformats.org/officeDocument/2006/relationships/hyperlink" Id="rId87" Target="http://schema.org/encodingFormat" TargetMode="External" /><Relationship Type="http://schemas.openxmlformats.org/officeDocument/2006/relationships/hyperlink" Id="rId112" Target="http://schema.org/familyName" TargetMode="External" /><Relationship Type="http://schemas.openxmlformats.org/officeDocument/2006/relationships/hyperlink" Id="rId86" Target="http://schema.org/genre" TargetMode="External" /><Relationship Type="http://schemas.openxmlformats.org/officeDocument/2006/relationships/hyperlink" Id="rId111" Target="http://schema.org/givenName" TargetMode="External" /><Relationship Type="http://schemas.openxmlformats.org/officeDocument/2006/relationships/hyperlink" Id="rId154" Target="http://schema.org/hasPart" TargetMode="External" /><Relationship Type="http://schemas.openxmlformats.org/officeDocument/2006/relationships/hyperlink" Id="rId84" Target="http://schema.org/inAlbum" TargetMode="External" /><Relationship Type="http://schemas.openxmlformats.org/officeDocument/2006/relationships/hyperlink" Id="rId119" Target="http://schema.org/jobTitle" TargetMode="External" /><Relationship Type="http://schemas.openxmlformats.org/officeDocument/2006/relationships/hyperlink" Id="rId120" Target="http://schema.org/knows" TargetMode="External" /><Relationship Type="http://schemas.openxmlformats.org/officeDocument/2006/relationships/hyperlink" Id="rId63" Target="http://schema.org/name" TargetMode="External" /><Relationship Type="http://schemas.openxmlformats.org/officeDocument/2006/relationships/hyperlink" Id="rId65" Target="http://schema.org/partOf" TargetMode="External" /><Relationship Type="http://schemas.openxmlformats.org/officeDocument/2006/relationships/hyperlink" Id="rId130" Target="http://schema.org/postalCode" TargetMode="External" /><Relationship Type="http://schemas.openxmlformats.org/officeDocument/2006/relationships/hyperlink" Id="rId129" Target="http://schema.org/streetAddress" TargetMode="External" /><Relationship Type="http://schemas.openxmlformats.org/officeDocument/2006/relationships/hyperlink" Id="rId153" Target="http://schema.org/totalPaymentDue" TargetMode="External" /><Relationship Type="http://schemas.openxmlformats.org/officeDocument/2006/relationships/hyperlink" Id="rId95" Target="http://schema.org/unitCode" TargetMode="External" /><Relationship Type="http://schemas.openxmlformats.org/officeDocument/2006/relationships/hyperlink" Id="rId97" Target="http://schema.org/value" TargetMode="External" /><Relationship Type="http://schemas.openxmlformats.org/officeDocument/2006/relationships/hyperlink" Id="rId117" Target="http://schema.org/worksFor" TargetMode="External" /><Relationship Type="http://schemas.openxmlformats.org/officeDocument/2006/relationships/hyperlink" Id="rId67" Target="http://www.w3.org/1999/02/22-rdf-syntax-ns#langString" TargetMode="External" /><Relationship Type="http://schemas.openxmlformats.org/officeDocument/2006/relationships/hyperlink" Id="rId115" Target="http://www.w3.org/2001/XMLSchema#date" TargetMode="External" /><Relationship Type="http://schemas.openxmlformats.org/officeDocument/2006/relationships/hyperlink" Id="rId143" Target="http://www.w3.org/2001/XMLSchema#decimal" TargetMode="External" /><Relationship Type="http://schemas.openxmlformats.org/officeDocument/2006/relationships/hyperlink" Id="rId144" Target="http://www.w3.org/2001/XMLSchema#integer" TargetMode="External" /><Relationship Type="http://schemas.openxmlformats.org/officeDocument/2006/relationships/hyperlink" Id="rId64" Target="http://www.w3.org/2001/XMLSchema#string" TargetMode="External" /><Relationship Type="http://schemas.openxmlformats.org/officeDocument/2006/relationships/hyperlink" Id="rId60" Target="https://agriculture.ld.admin.ch/eCH-1234/2/Genre" TargetMode="External" /><Relationship Type="http://schemas.openxmlformats.org/officeDocument/2006/relationships/hyperlink" Id="rId59" Target="https://agriculture.ld.admin.ch/eCH-1234/2/GenreShape" TargetMode="External" /><Relationship Type="http://schemas.openxmlformats.org/officeDocument/2006/relationships/hyperlink" Id="rId148" Target="https://agriculture.ld.admin.ch/eCH-1234/2/InvoiceShape" TargetMode="External" /><Relationship Type="http://schemas.openxmlformats.org/officeDocument/2006/relationships/hyperlink" Id="rId72" Target="https://agriculture.ld.admin.ch/eCH-1234/2/MusicAlbumShape" TargetMode="External" /><Relationship Type="http://schemas.openxmlformats.org/officeDocument/2006/relationships/hyperlink" Id="rId102" Target="https://agriculture.ld.admin.ch/eCH-1234/2/OrganisationShape" TargetMode="External" /><Relationship Type="http://schemas.openxmlformats.org/officeDocument/2006/relationships/hyperlink" Id="rId107" Target="https://agriculture.ld.admin.ch/eCH-1234/2/PersonShape" TargetMode="External" /><Relationship Type="http://schemas.openxmlformats.org/officeDocument/2006/relationships/hyperlink" Id="rId125" Target="https://agriculture.ld.admin.ch/eCH-1234/2/PostalAddressShape" TargetMode="External" /><Relationship Type="http://schemas.openxmlformats.org/officeDocument/2006/relationships/hyperlink" Id="rId139" Target="https://agriculture.ld.admin.ch/eCH-1234/2/QuantitativeValueShape" TargetMode="External" /><Relationship Type="http://schemas.openxmlformats.org/officeDocument/2006/relationships/hyperlink" Id="rId80" Target="https://agriculture.ld.admin.ch/eCH-1234/2/TrackShape" TargetMode="External" /><Relationship Type="http://schemas.openxmlformats.org/officeDocument/2006/relationships/hyperlink" Id="rId89" Target="https://agriculture.ld.admin.ch/eCH-1234/2/mediatype/1" TargetMode="External" /><Relationship Type="http://schemas.openxmlformats.org/officeDocument/2006/relationships/hyperlink" Id="rId90" Target="https://agriculture.ld.admin.ch/eCH-1234/2/mediatype/2" TargetMode="External" /><Relationship Type="http://schemas.openxmlformats.org/officeDocument/2006/relationships/hyperlink" Id="rId91" Target="https://agriculture.ld.admin.ch/eCH-1234/2/mediatype/3" TargetMode="External" /><Relationship Type="http://schemas.openxmlformats.org/officeDocument/2006/relationships/hyperlink" Id="rId92" Target="https://agriculture.ld.admin.ch/eCH-1234/2/mediatype/4" TargetMode="External" /><Relationship Type="http://schemas.openxmlformats.org/officeDocument/2006/relationships/hyperlink" Id="rId93" Target="https://agriculture.ld.admin.ch/eCH-1234/2/mediatype/5" TargetMode="External" /><Relationship Type="http://schemas.openxmlformats.org/officeDocument/2006/relationships/hyperlink" Id="rId174" Target="https://doi.org/10.1145/3591366.3591376" TargetMode="External" /><Relationship Type="http://schemas.openxmlformats.org/officeDocument/2006/relationships/hyperlink" Id="rId205" Target="https://github.com/blw-ofag-ufag/semantic-web-template/blob/main/src/rdf/data/glossary.skos.ttl" TargetMode="External" /><Relationship Type="http://schemas.openxmlformats.org/officeDocument/2006/relationships/hyperlink" Id="rId208" Target="https://github.com/blw-ofag-ufag/semantic-web-template/releases" TargetMode="External" /><Relationship Type="http://schemas.openxmlformats.org/officeDocument/2006/relationships/hyperlink" Id="rId134" Target="https://ld.admin.ch/country/CHE" TargetMode="External" /><Relationship Type="http://schemas.openxmlformats.org/officeDocument/2006/relationships/hyperlink" Id="rId135" Target="https://ld.admin.ch/country/FRA" TargetMode="External" /><Relationship Type="http://schemas.openxmlformats.org/officeDocument/2006/relationships/hyperlink" Id="rId136" Target="https://ld.admin.ch/country/ITA" TargetMode="External" /><Relationship Type="http://schemas.openxmlformats.org/officeDocument/2006/relationships/hyperlink" Id="rId169" Target="https://lindas.admin.ch/" TargetMode="External" /><Relationship Type="http://schemas.openxmlformats.org/officeDocument/2006/relationships/hyperlink" Id="rId61" Target="https://lindas.admin.ch/sparql/#query=PREFIX%20%3A%20%3Chttps%3A%2F%2Fagriculture.ld.admin.ch%2FeCH-1234%2F2%2F%3E%0APREFIX%20schema%3A%20%3Chttp%3A%2F%2Fschema.org%2F%3E%0ASELECT%20%3Firi%20%3Fname%20%3FpartOf%20%3FalternateName%0AFROM%20%3Chttps%3A%2F%2Flindas.admin.ch%2Ffoag%2Fogd%3E%0AWHERE%20%7B%0A%20%20%3Firi%20a%20%3AGenre%20.%0A%20%20%3Firi%20schema%3Aname%20%3Fname%20.%0A%20%20OPTIONAL%20%7B%20%3Firi%20schema%3ApartOf%20%3FpartOf%20.%20%7D%0A%20%20OPTIONAL%20%7B%20%3Firi%20schema%3AalternateName%20%3FalternateName%20.%20%7D%0A%7D%0ALIMIT%201000" TargetMode="External" /><Relationship Type="http://schemas.openxmlformats.org/officeDocument/2006/relationships/hyperlink" Id="rId150" Target="https://lindas.admin.ch/sparql/#query=PREFIX%20schema%3A%20%3Chttp%3A%2F%2Fschema.org%2F%3E%0ASELECT%20%3Firi%20%3Fcustomer%20%3FtotalPaymentDue%20%3FhasPart%20%3FdateCreated%0AFROM%20%3Chttps%3A%2F%2Flindas.admin.ch%2Ffoag%2Fogd%3E%0AWHERE%20%7B%0A%20%20%3Firi%20a%20schema%3AInvoice%20.%0A%20%20%3Firi%20schema%3Acustomer%20%3Fcustomer%20.%0A%20%20%3Firi%20schema%3AtotalPaymentDue%20%3FtotalPaymentDue%20.%0A%20%20%3Firi%20schema%3AhasPart%20%3FhasPart%20.%0A%20%20OPTIONAL%20%7B%20%3Firi%20schema%3AdateCreated%20%3FdateCreated%20.%20%7D%0A%7D%0ALIMIT%201000" TargetMode="External" /><Relationship Type="http://schemas.openxmlformats.org/officeDocument/2006/relationships/hyperlink" Id="rId109" Target="https://lindas.admin.ch/sparql/#query=PREFIX%20schema%3A%20%3Chttp%3A%2F%2Fschema.org%2F%3E%0ASELECT%20%3Firi%20%3FgivenName%20%3FfamilyName%20%3Femail%20%3FbirthDate%20%3Faddress%20%3FworksFor%20%3FjobTitle%20%3Fknows%0AFROM%20%3Chttps%3A%2F%2Flindas.admin.ch%2Ffoag%2Fogd%3E%0AWHERE%20%7B%0A%20%20%3Firi%20a%20schema%3APerson%20.%0A%20%20%3Firi%20schema%3AgivenName%20%3FgivenName%20.%0A%20%20%3Firi%20schema%3AfamilyName%20%3FfamilyName%20.%0A%20%20OPTIONAL%20%7B%20%3Firi%20schema%3Aemail%20%3Femail%20.%20%7D%0A%20%20OPTIONAL%20%7B%20%3Firi%20schema%3AbirthDate%20%3FbirthDate%20.%20%7D%0A%20%20OPTIONAL%20%7B%20%3Firi%20schema%3Aaddress%20%3Faddress%20.%20%7D%0A%20%20OPTIONAL%20%7B%20%3Firi%20schema%3AworksFor%20%3FworksFor%20.%20%7D%0A%20%20OPTIONAL%20%7B%20%3Firi%20schema%3AjobTitle%20%3FjobTitle%20.%20%7D%0A%20%20OPTIONAL%20%7B%20%3Firi%20schema%3Aknows%20%3Fknows%20.%20%7D%0A%7D%0ALIMIT%201000" TargetMode="External" /><Relationship Type="http://schemas.openxmlformats.org/officeDocument/2006/relationships/hyperlink" Id="rId74" Target="https://lindas.admin.ch/sparql/#query=PREFIX%20schema%3A%20%3Chttp%3A%2F%2Fschema.org%2F%3E%0ASELECT%20%3Firi%20%3Fname%20%3FbyArtist%0AFROM%20%3Chttps%3A%2F%2Flindas.admin.ch%2Ffoag%2Fogd%3E%0AWHERE%20%7B%0A%20%20%3Firi%20a%20schema%3AMusicAlbum%20.%0A%20%20%3Firi%20schema%3Aname%20%3Fname%20.%0A%20%20OPTIONAL%20%7B%20%3Firi%20schema%3AbyArtist%20%3FbyArtist%20.%20%7D%0A%7D%0ALIMIT%201000" TargetMode="External" /><Relationship Type="http://schemas.openxmlformats.org/officeDocument/2006/relationships/hyperlink" Id="rId82" Target="https://lindas.admin.ch/sparql/#query=PREFIX%20schema%3A%20%3Chttp%3A%2F%2Fschema.org%2F%3E%0ASELECT%20%3Firi%20%3Fname%20%3FinAlbum%20%3Fauthor%20%3Fgenre%20%3FencodingFormat%20%3Fduration%20%3FcontentSize%0AFROM%20%3Chttps%3A%2F%2Flindas.admin.ch%2Ffoag%2Fogd%3E%0AWHERE%20%7B%0A%20%20%3Firi%20a%20schema%3AMusicRecording%20.%0A%20%20%3Firi%20schema%3Aname%20%3Fname%20.%0A%20%20OPTIONAL%20%7B%20%3Firi%20schema%3AinAlbum%20%3FinAlbum%20.%20%7D%0A%20%20OPTIONAL%20%7B%20%3Firi%20schema%3Aauthor%20%3Fauthor%20.%20%7D%0A%20%20%3Firi%20schema%3Agenre%20%3Fgenre%20.%0A%20%20%3Firi%20schema%3AencodingFormat%20%3FencodingFormat%20.%0A%20%20%3Firi%20schema%3Aduration%20%3Fduration%20.%0A%20%20%3Firi%20schema%3AcontentSize%20%3FcontentSize%20.%0A%7D%0ALIMIT%201000" TargetMode="External" /><Relationship Type="http://schemas.openxmlformats.org/officeDocument/2006/relationships/hyperlink" Id="rId127" Target="https://lindas.admin.ch/sparql/#query=PREFIX%20schema%3A%20%3Chttp%3A%2F%2Fschema.org%2F%3E%0ASELECT%20%3Firi%20%3FstreetAddress%20%3FpostalCode%20%3FaddressLocality%20%3FaddressRegion%20%3FaddressCountry%0AFROM%20%3Chttps%3A%2F%2Flindas.admin.ch%2Ffoag%2Fogd%3E%0AWHERE%20%7B%0A%20%20%3Firi%20a%20schema%3APostalAddress%20.%0A%20%20%3Firi%20schema%3AstreetAddress%20%3FstreetAddress%20.%0A%20%20OPTIONAL%20%7B%20%3Firi%20schema%3ApostalCode%20%3FpostalCode%20.%20%7D%0A%20%20%3Firi%20schema%3AaddressLocality%20%3FaddressLocality%20.%0A%20%20OPTIONAL%20%7B%20%3Firi%20schema%3AaddressRegion%20%3FaddressRegion%20.%20%7D%0A%20%20%3Firi%20schema%3AaddressCountry%20%3FaddressCountry%20.%0A%7D%0ALIMIT%201000" TargetMode="External" /><Relationship Type="http://schemas.openxmlformats.org/officeDocument/2006/relationships/hyperlink" Id="rId141" Target="https://lindas.admin.ch/sparql/#query=PREFIX%20schema%3A%20%3Chttp%3A%2F%2Fschema.org%2F%3E%0ASELECT%20%3Firi%20%3Fvalue%20%3FunitCode%0AFROM%20%3Chttps%3A%2F%2Flindas.admin.ch%2Ffoag%2Fogd%3E%0AWHERE%20%7B%0A%20%20%3Firi%20a%20schema%3AQuantitativeValue%20.%0A%20%20%3Firi%20schema%3Avalue%20%3Fvalue%20.%0A%20%20%3Firi%20schema%3AunitCode%20%3FunitCode%20.%0A%7D%0ALIMIT%201000" TargetMode="External" /><Relationship Type="http://schemas.openxmlformats.org/officeDocument/2006/relationships/hyperlink" Id="rId213" Target="https://www.ech.ch" TargetMode="External" /><Relationship Type="http://schemas.openxmlformats.org/officeDocument/2006/relationships/hyperlink" Id="rId36" Target="https://www.ech.ch/" TargetMode="External" /><Relationship Type="http://schemas.openxmlformats.org/officeDocument/2006/relationships/hyperlink" Id="rId178" Target="https://www.ech.ch/de/ech/ech-0003/11.1.0" TargetMode="External" /><Relationship Type="http://schemas.openxmlformats.org/officeDocument/2006/relationships/hyperlink" Id="rId180" Target="https://www.ech.ch/de/ech/ech-0010/8.1.0" TargetMode="External" /><Relationship Type="http://schemas.openxmlformats.org/officeDocument/2006/relationships/hyperlink" Id="rId182" Target="https://www.ech.ch/de/ech/ech-0200/3.0.1" TargetMode="External" /><Relationship Type="http://schemas.openxmlformats.org/officeDocument/2006/relationships/hyperlink" Id="rId184" Target="https://www.ech.ch/de/ech/ech-0205/1.0" TargetMode="External" /><Relationship Type="http://schemas.openxmlformats.org/officeDocument/2006/relationships/hyperlink" Id="rId186" Target="https://www.ech.ch/de/ech/ech-0265/1.0.0" TargetMode="External" /><Relationship Type="http://schemas.openxmlformats.org/officeDocument/2006/relationships/hyperlink" Id="rId188" Target="https://www.w3.org/TR/json-ld11/" TargetMode="External" /><Relationship Type="http://schemas.openxmlformats.org/officeDocument/2006/relationships/hyperlink" Id="rId190" Target="https://www.w3.org/TR/owl2-overview/" TargetMode="External" /><Relationship Type="http://schemas.openxmlformats.org/officeDocument/2006/relationships/hyperlink" Id="rId192" Target="https://www.w3.org/TR/rdf11-concepts/" TargetMode="External" /><Relationship Type="http://schemas.openxmlformats.org/officeDocument/2006/relationships/hyperlink" Id="rId194" Target="https://www.w3.org/TR/shacl/" TargetMode="External" /><Relationship Type="http://schemas.openxmlformats.org/officeDocument/2006/relationships/hyperlink" Id="rId196" Target="https://www.w3.org/TR/skos-reference/" TargetMode="External" /><Relationship Type="http://schemas.openxmlformats.org/officeDocument/2006/relationships/hyperlink" Id="rId198" Target="https://www.w3.org/TR/sparql11-query/" TargetMode="External" /><Relationship Type="http://schemas.openxmlformats.org/officeDocument/2006/relationships/hyperlink" Id="rId200" Target="https://www.w3.org/TR/turtle/" TargetMode="External" /><Relationship Type="http://schemas.openxmlformats.org/officeDocument/2006/relationships/hyperlink" Id="rId55" Target="https://www.w3.org/TR/turtle/#prefixed-name" TargetMode="External" /><Relationship Type="http://schemas.openxmlformats.org/officeDocument/2006/relationships/hyperlink" Id="rId176" Target="https://www.w3.org/TR/vocab-dcat-3/" TargetMode="External" /><Relationship Type="http://schemas.openxmlformats.org/officeDocument/2006/relationships/hyperlink" Id="rId212"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145" Target="http://qudt.org/vocab/currency/USD" TargetMode="External" /><Relationship Type="http://schemas.openxmlformats.org/officeDocument/2006/relationships/hyperlink" Id="rId99" Target="http://qudt.org/vocab/unit/BYTE" TargetMode="External" /><Relationship Type="http://schemas.openxmlformats.org/officeDocument/2006/relationships/hyperlink" Id="rId96" Target="http://qudt.org/vocab/unit/MilliSEC" TargetMode="External" /><Relationship Type="http://schemas.openxmlformats.org/officeDocument/2006/relationships/hyperlink" Id="rId163" Target="http://qudt.org/vocab/unit/NUM" TargetMode="External" /><Relationship Type="http://schemas.openxmlformats.org/officeDocument/2006/relationships/hyperlink" Id="rId88" Target="http://schema.org/CategoryCode" TargetMode="External" /><Relationship Type="http://schemas.openxmlformats.org/officeDocument/2006/relationships/hyperlink" Id="rId149" Target="http://schema.org/Invoice" TargetMode="External" /><Relationship Type="http://schemas.openxmlformats.org/officeDocument/2006/relationships/hyperlink" Id="rId73" Target="http://schema.org/MusicAlbum" TargetMode="External" /><Relationship Type="http://schemas.openxmlformats.org/officeDocument/2006/relationships/hyperlink" Id="rId77" Target="http://schema.org/MusicGroup" TargetMode="External" /><Relationship Type="http://schemas.openxmlformats.org/officeDocument/2006/relationships/hyperlink" Id="rId81" Target="http://schema.org/MusicRecording" TargetMode="External" /><Relationship Type="http://schemas.openxmlformats.org/officeDocument/2006/relationships/hyperlink" Id="rId155" Target="http://schema.org/OrderItem" TargetMode="External" /><Relationship Type="http://schemas.openxmlformats.org/officeDocument/2006/relationships/hyperlink" Id="rId103" Target="http://schema.org/Organisation" TargetMode="External" /><Relationship Type="http://schemas.openxmlformats.org/officeDocument/2006/relationships/hyperlink" Id="rId118" Target="http://schema.org/Organization" TargetMode="External" /><Relationship Type="http://schemas.openxmlformats.org/officeDocument/2006/relationships/hyperlink" Id="rId108" Target="http://schema.org/Person" TargetMode="External" /><Relationship Type="http://schemas.openxmlformats.org/officeDocument/2006/relationships/hyperlink" Id="rId126" Target="http://schema.org/PostalAddress" TargetMode="External" /><Relationship Type="http://schemas.openxmlformats.org/officeDocument/2006/relationships/hyperlink" Id="rId140" Target="http://schema.org/QuantitativeValue" TargetMode="External" /><Relationship Type="http://schemas.openxmlformats.org/officeDocument/2006/relationships/hyperlink" Id="rId116" Target="http://schema.org/address" TargetMode="External" /><Relationship Type="http://schemas.openxmlformats.org/officeDocument/2006/relationships/hyperlink" Id="rId133" Target="http://schema.org/addressCountry" TargetMode="External" /><Relationship Type="http://schemas.openxmlformats.org/officeDocument/2006/relationships/hyperlink" Id="rId131" Target="http://schema.org/addressLocality" TargetMode="External" /><Relationship Type="http://schemas.openxmlformats.org/officeDocument/2006/relationships/hyperlink" Id="rId132" Target="http://schema.org/addressRegion" TargetMode="External" /><Relationship Type="http://schemas.openxmlformats.org/officeDocument/2006/relationships/hyperlink" Id="rId66" Target="http://schema.org/alternateName" TargetMode="External" /><Relationship Type="http://schemas.openxmlformats.org/officeDocument/2006/relationships/hyperlink" Id="rId85" Target="http://schema.org/author" TargetMode="External" /><Relationship Type="http://schemas.openxmlformats.org/officeDocument/2006/relationships/hyperlink" Id="rId114" Target="http://schema.org/birthDate" TargetMode="External" /><Relationship Type="http://schemas.openxmlformats.org/officeDocument/2006/relationships/hyperlink" Id="rId76" Target="http://schema.org/byArtist" TargetMode="External" /><Relationship Type="http://schemas.openxmlformats.org/officeDocument/2006/relationships/hyperlink" Id="rId98" Target="http://schema.org/contentSize" TargetMode="External" /><Relationship Type="http://schemas.openxmlformats.org/officeDocument/2006/relationships/hyperlink" Id="rId152" Target="http://schema.org/customer" TargetMode="External" /><Relationship Type="http://schemas.openxmlformats.org/officeDocument/2006/relationships/hyperlink" Id="rId156" Target="http://schema.org/dateCreated" TargetMode="External" /><Relationship Type="http://schemas.openxmlformats.org/officeDocument/2006/relationships/hyperlink" Id="rId94" Target="http://schema.org/duration" TargetMode="External" /><Relationship Type="http://schemas.openxmlformats.org/officeDocument/2006/relationships/hyperlink" Id="rId113" Target="http://schema.org/email" TargetMode="External" /><Relationship Type="http://schemas.openxmlformats.org/officeDocument/2006/relationships/hyperlink" Id="rId87" Target="http://schema.org/encodingFormat" TargetMode="External" /><Relationship Type="http://schemas.openxmlformats.org/officeDocument/2006/relationships/hyperlink" Id="rId112" Target="http://schema.org/familyName" TargetMode="External" /><Relationship Type="http://schemas.openxmlformats.org/officeDocument/2006/relationships/hyperlink" Id="rId86" Target="http://schema.org/genre" TargetMode="External" /><Relationship Type="http://schemas.openxmlformats.org/officeDocument/2006/relationships/hyperlink" Id="rId111" Target="http://schema.org/givenName" TargetMode="External" /><Relationship Type="http://schemas.openxmlformats.org/officeDocument/2006/relationships/hyperlink" Id="rId154" Target="http://schema.org/hasPart" TargetMode="External" /><Relationship Type="http://schemas.openxmlformats.org/officeDocument/2006/relationships/hyperlink" Id="rId84" Target="http://schema.org/inAlbum" TargetMode="External" /><Relationship Type="http://schemas.openxmlformats.org/officeDocument/2006/relationships/hyperlink" Id="rId119" Target="http://schema.org/jobTitle" TargetMode="External" /><Relationship Type="http://schemas.openxmlformats.org/officeDocument/2006/relationships/hyperlink" Id="rId120" Target="http://schema.org/knows" TargetMode="External" /><Relationship Type="http://schemas.openxmlformats.org/officeDocument/2006/relationships/hyperlink" Id="rId63" Target="http://schema.org/name" TargetMode="External" /><Relationship Type="http://schemas.openxmlformats.org/officeDocument/2006/relationships/hyperlink" Id="rId65" Target="http://schema.org/partOf" TargetMode="External" /><Relationship Type="http://schemas.openxmlformats.org/officeDocument/2006/relationships/hyperlink" Id="rId130" Target="http://schema.org/postalCode" TargetMode="External" /><Relationship Type="http://schemas.openxmlformats.org/officeDocument/2006/relationships/hyperlink" Id="rId129" Target="http://schema.org/streetAddress" TargetMode="External" /><Relationship Type="http://schemas.openxmlformats.org/officeDocument/2006/relationships/hyperlink" Id="rId153" Target="http://schema.org/totalPaymentDue" TargetMode="External" /><Relationship Type="http://schemas.openxmlformats.org/officeDocument/2006/relationships/hyperlink" Id="rId95" Target="http://schema.org/unitCode" TargetMode="External" /><Relationship Type="http://schemas.openxmlformats.org/officeDocument/2006/relationships/hyperlink" Id="rId97" Target="http://schema.org/value" TargetMode="External" /><Relationship Type="http://schemas.openxmlformats.org/officeDocument/2006/relationships/hyperlink" Id="rId117" Target="http://schema.org/worksFor" TargetMode="External" /><Relationship Type="http://schemas.openxmlformats.org/officeDocument/2006/relationships/hyperlink" Id="rId67" Target="http://www.w3.org/1999/02/22-rdf-syntax-ns#langString" TargetMode="External" /><Relationship Type="http://schemas.openxmlformats.org/officeDocument/2006/relationships/hyperlink" Id="rId115" Target="http://www.w3.org/2001/XMLSchema#date" TargetMode="External" /><Relationship Type="http://schemas.openxmlformats.org/officeDocument/2006/relationships/hyperlink" Id="rId143" Target="http://www.w3.org/2001/XMLSchema#decimal" TargetMode="External" /><Relationship Type="http://schemas.openxmlformats.org/officeDocument/2006/relationships/hyperlink" Id="rId144" Target="http://www.w3.org/2001/XMLSchema#integer" TargetMode="External" /><Relationship Type="http://schemas.openxmlformats.org/officeDocument/2006/relationships/hyperlink" Id="rId64" Target="http://www.w3.org/2001/XMLSchema#string" TargetMode="External" /><Relationship Type="http://schemas.openxmlformats.org/officeDocument/2006/relationships/hyperlink" Id="rId60" Target="https://agriculture.ld.admin.ch/eCH-1234/2/Genre" TargetMode="External" /><Relationship Type="http://schemas.openxmlformats.org/officeDocument/2006/relationships/hyperlink" Id="rId59" Target="https://agriculture.ld.admin.ch/eCH-1234/2/GenreShape" TargetMode="External" /><Relationship Type="http://schemas.openxmlformats.org/officeDocument/2006/relationships/hyperlink" Id="rId148" Target="https://agriculture.ld.admin.ch/eCH-1234/2/InvoiceShape" TargetMode="External" /><Relationship Type="http://schemas.openxmlformats.org/officeDocument/2006/relationships/hyperlink" Id="rId72" Target="https://agriculture.ld.admin.ch/eCH-1234/2/MusicAlbumShape" TargetMode="External" /><Relationship Type="http://schemas.openxmlformats.org/officeDocument/2006/relationships/hyperlink" Id="rId102" Target="https://agriculture.ld.admin.ch/eCH-1234/2/OrganisationShape" TargetMode="External" /><Relationship Type="http://schemas.openxmlformats.org/officeDocument/2006/relationships/hyperlink" Id="rId107" Target="https://agriculture.ld.admin.ch/eCH-1234/2/PersonShape" TargetMode="External" /><Relationship Type="http://schemas.openxmlformats.org/officeDocument/2006/relationships/hyperlink" Id="rId125" Target="https://agriculture.ld.admin.ch/eCH-1234/2/PostalAddressShape" TargetMode="External" /><Relationship Type="http://schemas.openxmlformats.org/officeDocument/2006/relationships/hyperlink" Id="rId139" Target="https://agriculture.ld.admin.ch/eCH-1234/2/QuantitativeValueShape" TargetMode="External" /><Relationship Type="http://schemas.openxmlformats.org/officeDocument/2006/relationships/hyperlink" Id="rId80" Target="https://agriculture.ld.admin.ch/eCH-1234/2/TrackShape" TargetMode="External" /><Relationship Type="http://schemas.openxmlformats.org/officeDocument/2006/relationships/hyperlink" Id="rId89" Target="https://agriculture.ld.admin.ch/eCH-1234/2/mediatype/1" TargetMode="External" /><Relationship Type="http://schemas.openxmlformats.org/officeDocument/2006/relationships/hyperlink" Id="rId90" Target="https://agriculture.ld.admin.ch/eCH-1234/2/mediatype/2" TargetMode="External" /><Relationship Type="http://schemas.openxmlformats.org/officeDocument/2006/relationships/hyperlink" Id="rId91" Target="https://agriculture.ld.admin.ch/eCH-1234/2/mediatype/3" TargetMode="External" /><Relationship Type="http://schemas.openxmlformats.org/officeDocument/2006/relationships/hyperlink" Id="rId92" Target="https://agriculture.ld.admin.ch/eCH-1234/2/mediatype/4" TargetMode="External" /><Relationship Type="http://schemas.openxmlformats.org/officeDocument/2006/relationships/hyperlink" Id="rId93" Target="https://agriculture.ld.admin.ch/eCH-1234/2/mediatype/5" TargetMode="External" /><Relationship Type="http://schemas.openxmlformats.org/officeDocument/2006/relationships/hyperlink" Id="rId174" Target="https://doi.org/10.1145/3591366.3591376" TargetMode="External" /><Relationship Type="http://schemas.openxmlformats.org/officeDocument/2006/relationships/hyperlink" Id="rId205" Target="https://github.com/blw-ofag-ufag/semantic-web-template/blob/main/src/rdf/data/glossary.skos.ttl" TargetMode="External" /><Relationship Type="http://schemas.openxmlformats.org/officeDocument/2006/relationships/hyperlink" Id="rId208" Target="https://github.com/blw-ofag-ufag/semantic-web-template/releases" TargetMode="External" /><Relationship Type="http://schemas.openxmlformats.org/officeDocument/2006/relationships/hyperlink" Id="rId134" Target="https://ld.admin.ch/country/CHE" TargetMode="External" /><Relationship Type="http://schemas.openxmlformats.org/officeDocument/2006/relationships/hyperlink" Id="rId135" Target="https://ld.admin.ch/country/FRA" TargetMode="External" /><Relationship Type="http://schemas.openxmlformats.org/officeDocument/2006/relationships/hyperlink" Id="rId136" Target="https://ld.admin.ch/country/ITA" TargetMode="External" /><Relationship Type="http://schemas.openxmlformats.org/officeDocument/2006/relationships/hyperlink" Id="rId169" Target="https://lindas.admin.ch/" TargetMode="External" /><Relationship Type="http://schemas.openxmlformats.org/officeDocument/2006/relationships/hyperlink" Id="rId61" Target="https://lindas.admin.ch/sparql/#query=PREFIX%20%3A%20%3Chttps%3A%2F%2Fagriculture.ld.admin.ch%2FeCH-1234%2F2%2F%3E%0APREFIX%20schema%3A%20%3Chttp%3A%2F%2Fschema.org%2F%3E%0ASELECT%20%3Firi%20%3Fname%20%3FpartOf%20%3FalternateName%0AFROM%20%3Chttps%3A%2F%2Flindas.admin.ch%2Ffoag%2Fogd%3E%0AWHERE%20%7B%0A%20%20%3Firi%20a%20%3AGenre%20.%0A%20%20%3Firi%20schema%3Aname%20%3Fname%20.%0A%20%20OPTIONAL%20%7B%20%3Firi%20schema%3ApartOf%20%3FpartOf%20.%20%7D%0A%20%20OPTIONAL%20%7B%20%3Firi%20schema%3AalternateName%20%3FalternateName%20.%20%7D%0A%7D%0ALIMIT%201000" TargetMode="External" /><Relationship Type="http://schemas.openxmlformats.org/officeDocument/2006/relationships/hyperlink" Id="rId150" Target="https://lindas.admin.ch/sparql/#query=PREFIX%20schema%3A%20%3Chttp%3A%2F%2Fschema.org%2F%3E%0ASELECT%20%3Firi%20%3Fcustomer%20%3FtotalPaymentDue%20%3FhasPart%20%3FdateCreated%0AFROM%20%3Chttps%3A%2F%2Flindas.admin.ch%2Ffoag%2Fogd%3E%0AWHERE%20%7B%0A%20%20%3Firi%20a%20schema%3AInvoice%20.%0A%20%20%3Firi%20schema%3Acustomer%20%3Fcustomer%20.%0A%20%20%3Firi%20schema%3AtotalPaymentDue%20%3FtotalPaymentDue%20.%0A%20%20%3Firi%20schema%3AhasPart%20%3FhasPart%20.%0A%20%20OPTIONAL%20%7B%20%3Firi%20schema%3AdateCreated%20%3FdateCreated%20.%20%7D%0A%7D%0ALIMIT%201000" TargetMode="External" /><Relationship Type="http://schemas.openxmlformats.org/officeDocument/2006/relationships/hyperlink" Id="rId109" Target="https://lindas.admin.ch/sparql/#query=PREFIX%20schema%3A%20%3Chttp%3A%2F%2Fschema.org%2F%3E%0ASELECT%20%3Firi%20%3FgivenName%20%3FfamilyName%20%3Femail%20%3FbirthDate%20%3Faddress%20%3FworksFor%20%3FjobTitle%20%3Fknows%0AFROM%20%3Chttps%3A%2F%2Flindas.admin.ch%2Ffoag%2Fogd%3E%0AWHERE%20%7B%0A%20%20%3Firi%20a%20schema%3APerson%20.%0A%20%20%3Firi%20schema%3AgivenName%20%3FgivenName%20.%0A%20%20%3Firi%20schema%3AfamilyName%20%3FfamilyName%20.%0A%20%20OPTIONAL%20%7B%20%3Firi%20schema%3Aemail%20%3Femail%20.%20%7D%0A%20%20OPTIONAL%20%7B%20%3Firi%20schema%3AbirthDate%20%3FbirthDate%20.%20%7D%0A%20%20OPTIONAL%20%7B%20%3Firi%20schema%3Aaddress%20%3Faddress%20.%20%7D%0A%20%20OPTIONAL%20%7B%20%3Firi%20schema%3AworksFor%20%3FworksFor%20.%20%7D%0A%20%20OPTIONAL%20%7B%20%3Firi%20schema%3AjobTitle%20%3FjobTitle%20.%20%7D%0A%20%20OPTIONAL%20%7B%20%3Firi%20schema%3Aknows%20%3Fknows%20.%20%7D%0A%7D%0ALIMIT%201000" TargetMode="External" /><Relationship Type="http://schemas.openxmlformats.org/officeDocument/2006/relationships/hyperlink" Id="rId74" Target="https://lindas.admin.ch/sparql/#query=PREFIX%20schema%3A%20%3Chttp%3A%2F%2Fschema.org%2F%3E%0ASELECT%20%3Firi%20%3Fname%20%3FbyArtist%0AFROM%20%3Chttps%3A%2F%2Flindas.admin.ch%2Ffoag%2Fogd%3E%0AWHERE%20%7B%0A%20%20%3Firi%20a%20schema%3AMusicAlbum%20.%0A%20%20%3Firi%20schema%3Aname%20%3Fname%20.%0A%20%20OPTIONAL%20%7B%20%3Firi%20schema%3AbyArtist%20%3FbyArtist%20.%20%7D%0A%7D%0ALIMIT%201000" TargetMode="External" /><Relationship Type="http://schemas.openxmlformats.org/officeDocument/2006/relationships/hyperlink" Id="rId82" Target="https://lindas.admin.ch/sparql/#query=PREFIX%20schema%3A%20%3Chttp%3A%2F%2Fschema.org%2F%3E%0ASELECT%20%3Firi%20%3Fname%20%3FinAlbum%20%3Fauthor%20%3Fgenre%20%3FencodingFormat%20%3Fduration%20%3FcontentSize%0AFROM%20%3Chttps%3A%2F%2Flindas.admin.ch%2Ffoag%2Fogd%3E%0AWHERE%20%7B%0A%20%20%3Firi%20a%20schema%3AMusicRecording%20.%0A%20%20%3Firi%20schema%3Aname%20%3Fname%20.%0A%20%20OPTIONAL%20%7B%20%3Firi%20schema%3AinAlbum%20%3FinAlbum%20.%20%7D%0A%20%20OPTIONAL%20%7B%20%3Firi%20schema%3Aauthor%20%3Fauthor%20.%20%7D%0A%20%20%3Firi%20schema%3Agenre%20%3Fgenre%20.%0A%20%20%3Firi%20schema%3AencodingFormat%20%3FencodingFormat%20.%0A%20%20%3Firi%20schema%3Aduration%20%3Fduration%20.%0A%20%20%3Firi%20schema%3AcontentSize%20%3FcontentSize%20.%0A%7D%0ALIMIT%201000" TargetMode="External" /><Relationship Type="http://schemas.openxmlformats.org/officeDocument/2006/relationships/hyperlink" Id="rId127" Target="https://lindas.admin.ch/sparql/#query=PREFIX%20schema%3A%20%3Chttp%3A%2F%2Fschema.org%2F%3E%0ASELECT%20%3Firi%20%3FstreetAddress%20%3FpostalCode%20%3FaddressLocality%20%3FaddressRegion%20%3FaddressCountry%0AFROM%20%3Chttps%3A%2F%2Flindas.admin.ch%2Ffoag%2Fogd%3E%0AWHERE%20%7B%0A%20%20%3Firi%20a%20schema%3APostalAddress%20.%0A%20%20%3Firi%20schema%3AstreetAddress%20%3FstreetAddress%20.%0A%20%20OPTIONAL%20%7B%20%3Firi%20schema%3ApostalCode%20%3FpostalCode%20.%20%7D%0A%20%20%3Firi%20schema%3AaddressLocality%20%3FaddressLocality%20.%0A%20%20OPTIONAL%20%7B%20%3Firi%20schema%3AaddressRegion%20%3FaddressRegion%20.%20%7D%0A%20%20%3Firi%20schema%3AaddressCountry%20%3FaddressCountry%20.%0A%7D%0ALIMIT%201000" TargetMode="External" /><Relationship Type="http://schemas.openxmlformats.org/officeDocument/2006/relationships/hyperlink" Id="rId141" Target="https://lindas.admin.ch/sparql/#query=PREFIX%20schema%3A%20%3Chttp%3A%2F%2Fschema.org%2F%3E%0ASELECT%20%3Firi%20%3Fvalue%20%3FunitCode%0AFROM%20%3Chttps%3A%2F%2Flindas.admin.ch%2Ffoag%2Fogd%3E%0AWHERE%20%7B%0A%20%20%3Firi%20a%20schema%3AQuantitativeValue%20.%0A%20%20%3Firi%20schema%3Avalue%20%3Fvalue%20.%0A%20%20%3Firi%20schema%3AunitCode%20%3FunitCode%20.%0A%7D%0ALIMIT%201000" TargetMode="External" /><Relationship Type="http://schemas.openxmlformats.org/officeDocument/2006/relationships/hyperlink" Id="rId213" Target="https://www.ech.ch" TargetMode="External" /><Relationship Type="http://schemas.openxmlformats.org/officeDocument/2006/relationships/hyperlink" Id="rId36" Target="https://www.ech.ch/" TargetMode="External" /><Relationship Type="http://schemas.openxmlformats.org/officeDocument/2006/relationships/hyperlink" Id="rId178" Target="https://www.ech.ch/de/ech/ech-0003/11.1.0" TargetMode="External" /><Relationship Type="http://schemas.openxmlformats.org/officeDocument/2006/relationships/hyperlink" Id="rId180" Target="https://www.ech.ch/de/ech/ech-0010/8.1.0" TargetMode="External" /><Relationship Type="http://schemas.openxmlformats.org/officeDocument/2006/relationships/hyperlink" Id="rId182" Target="https://www.ech.ch/de/ech/ech-0200/3.0.1" TargetMode="External" /><Relationship Type="http://schemas.openxmlformats.org/officeDocument/2006/relationships/hyperlink" Id="rId184" Target="https://www.ech.ch/de/ech/ech-0205/1.0" TargetMode="External" /><Relationship Type="http://schemas.openxmlformats.org/officeDocument/2006/relationships/hyperlink" Id="rId186" Target="https://www.ech.ch/de/ech/ech-0265/1.0.0" TargetMode="External" /><Relationship Type="http://schemas.openxmlformats.org/officeDocument/2006/relationships/hyperlink" Id="rId188" Target="https://www.w3.org/TR/json-ld11/" TargetMode="External" /><Relationship Type="http://schemas.openxmlformats.org/officeDocument/2006/relationships/hyperlink" Id="rId190" Target="https://www.w3.org/TR/owl2-overview/" TargetMode="External" /><Relationship Type="http://schemas.openxmlformats.org/officeDocument/2006/relationships/hyperlink" Id="rId192" Target="https://www.w3.org/TR/rdf11-concepts/" TargetMode="External" /><Relationship Type="http://schemas.openxmlformats.org/officeDocument/2006/relationships/hyperlink" Id="rId194" Target="https://www.w3.org/TR/shacl/" TargetMode="External" /><Relationship Type="http://schemas.openxmlformats.org/officeDocument/2006/relationships/hyperlink" Id="rId196" Target="https://www.w3.org/TR/skos-reference/" TargetMode="External" /><Relationship Type="http://schemas.openxmlformats.org/officeDocument/2006/relationships/hyperlink" Id="rId198" Target="https://www.w3.org/TR/sparql11-query/" TargetMode="External" /><Relationship Type="http://schemas.openxmlformats.org/officeDocument/2006/relationships/hyperlink" Id="rId200" Target="https://www.w3.org/TR/turtle/" TargetMode="External" /><Relationship Type="http://schemas.openxmlformats.org/officeDocument/2006/relationships/hyperlink" Id="rId55" Target="https://www.w3.org/TR/turtle/#prefixed-name" TargetMode="External" /><Relationship Type="http://schemas.openxmlformats.org/officeDocument/2006/relationships/hyperlink" Id="rId176" Target="https://www.w3.org/TR/vocab-dcat-3/" TargetMode="External" /><Relationship Type="http://schemas.openxmlformats.org/officeDocument/2006/relationships/hyperlink" Id="rId212"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Quarto-Dokument als Vorlage</dc:title>
  <dc:creator/>
  <dc:language>de</dc:language>
  <cp:keywords/>
  <dcterms:created xsi:type="dcterms:W3CDTF">2026-10-13T16:29:27Z</dcterms:created>
  <dcterms:modified xsi:type="dcterms:W3CDTF">2026-10-13T16:29:27Z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Kurze Zusammenfassung des Zwecks dieses Dokuments</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2026-10-01</vt:lpwstr>
  </property>
  <property fmtid="{D5CDD505-2E9C-101B-9397-08002B2CF9AE}" pid="7" name="date-format">
    <vt:lpwstr>iso</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ocite">
    <vt:lpwstr>[@eCH-0003:11.1.0]</vt:lpwstr>
  </property>
  <property fmtid="{D5CDD505-2E9C-101B-9397-08002B2CF9AE}" pid="17" name="toc-title">
    <vt:lpwstr>Inhaltsverzeichnis</vt:lpwstr>
  </property>
</Properties>
</file>