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3 septembre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1. Introduction</w:t>
      </w:r>
    </w:p>
    <w:bookmarkStart w:id="24" w:name="statut"/>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nous-pouvons-avoir-des-sous-titres"/>
    <w:p>
      <w:pPr>
        <w:pStyle w:val="berschrift2"/>
      </w:pPr>
      <w:r>
        <w:t xml:space="preserve">1.3 Nous pouvons avoir des sous-titres</w:t>
      </w:r>
    </w:p>
    <w:p>
      <w:pPr>
        <w:pStyle w:val="FirstParagraph"/>
      </w:pPr>
      <w:r>
        <w:t xml:space="preserve">Et écrire un peu de texte.</w:t>
      </w:r>
    </w:p>
    <w:bookmarkStart w:id="30" w:name="et-aussi-des-sous-sous-titres"/>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3. Modèle de données</w:t>
      </w:r>
    </w:p>
    <w:bookmarkStart w:id="35" w:name="sec-nodeshape-musicalbumshap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nodeshape-musicalbumshap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nodeshape-trackshape"/>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nodeshape-trackshape"/>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nodeshape-invoiceshap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nodeshape-invoiceshap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nodeshape-genreshap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nodeshape-genreshap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accès-aux-données"/>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49">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considérations-de-sécurité"/>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51"/>
    <w:bookmarkStart w:id="52" w:name="clause-de-non-responsabilité"/>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2"/>
    <w:bookmarkStart w:id="53" w:name="droits-dauteur"/>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3"/>
    <w:bookmarkStart w:id="60" w:name="annexe-a---références"/>
    <w:p>
      <w:pPr>
        <w:pStyle w:val="berschrift1"/>
      </w:pPr>
      <w:r>
        <w:t xml:space="preserve">8. Annexe A - Références</w:t>
      </w:r>
    </w:p>
    <w:bookmarkStart w:id="59" w:name="refs"/>
    <w:bookmarkStart w:id="55" w:name="ref-cyganiak2014rdf11"/>
    <w:p>
      <w:pPr>
        <w:pStyle w:val="Bibliography"/>
      </w:pPr>
      <w:r>
        <w:t xml:space="preserve">Cyganiak, Richard, David Wood, et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annexe-b---collaboration-et-vérification"/>
    <w:p>
      <w:pPr>
        <w:pStyle w:val="berschrift1"/>
      </w:pPr>
      <w:r>
        <w:t xml:space="preserve">9. Annexe B - Collaboration et Vérification</w:t>
      </w:r>
    </w:p>
    <w:bookmarkEnd w:id="61"/>
    <w:bookmarkStart w:id="62" w:name="annexe-c---abréviations-et-glossaire"/>
    <w:p>
      <w:pPr>
        <w:pStyle w:val="berschrift1"/>
      </w:pPr>
      <w:r>
        <w:t xml:space="preserve">10. Annexe C - Abréviations et glossaire</w:t>
      </w:r>
    </w:p>
    <w:bookmarkEnd w:id="62"/>
    <w:bookmarkStart w:id="63" w:name="X6f8370af66b6e6c8c273e622397bc0a670fe454"/>
    <w:p>
      <w:pPr>
        <w:pStyle w:val="berschrift1"/>
      </w:pPr>
      <w:r>
        <w:t xml:space="preserve">11. Annexe D - Modifications par rapport à la version précédente</w:t>
      </w:r>
    </w:p>
    <w:bookmarkEnd w:id="63"/>
    <w:bookmarkStart w:id="64" w:name="annexe-e---table-des-illustrations"/>
    <w:p>
      <w:pPr>
        <w:pStyle w:val="berschrift1"/>
      </w:pPr>
      <w:r>
        <w:t xml:space="preserve">12. Annexe E - Table des illustrations</w:t>
      </w:r>
    </w:p>
    <w:bookmarkEnd w:id="64"/>
    <w:bookmarkStart w:id="65" w:name="annexe-f---liste-des-tableaux"/>
    <w:p>
      <w:pPr>
        <w:pStyle w:val="berschrift1"/>
      </w:pPr>
      <w:r>
        <w:t xml:space="preserve">13. Annexe F - Liste des tableaux</w:t>
      </w:r>
    </w:p>
    <w:bookmarkEnd w:id="65"/>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2026-09-03T16:43:54Z</dcterms:created>
  <dcterms:modified xsi:type="dcterms:W3CDTF">2026-09-03T16:43:54Z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3 septembre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