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 eCH-1234</w:t>
      </w:r>
    </w:p>
    <w:p>
      <w:pPr>
        <w:pStyle w:val="Date"/>
      </w:pPr>
      <w:r>
        <w:t xml:space="preserve">12 août 2026</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"1-3" \h \z \u</w:instrText>
            <w:fldChar w:fldCharType="separate"/>
            <w:fldChar w:fldCharType="end"/>
          </w:r>
        </w:p>
      </w:sdtContent>
    </w:sdt>
    <w:bookmarkStart w:id="23" w:name="remarqu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3"/>
    <w:bookmarkStart w:id="32" w:name="introduction"/>
    <w:p>
      <w:pPr>
        <w:pStyle w:val="berschrift1"/>
      </w:pPr>
      <w:r>
        <w:t xml:space="preserve">Introduction</w:t>
      </w:r>
    </w:p>
    <w:bookmarkStart w:id="24" w:name="statut"/>
    <w:p>
      <w:pPr>
        <w:pStyle w:val="berschrift2"/>
      </w:pPr>
      <w:r>
        <w:t xml:space="preserve">Statut</w:t>
      </w:r>
    </w:p>
    <w:p>
      <w:pPr>
        <w:pStyle w:val="FirstParagraph"/>
      </w:pPr>
      <w:r>
        <w:t xml:space="preserve">Approuvé : Ce document a été approuvé par le comité d’experts. Il a force normative pour le domaine d’application défini et dans le champ d’application déterminé.</w:t>
      </w:r>
    </w:p>
    <w:bookmarkEnd w:id="24"/>
    <w:bookmarkStart w:id="25" w:name="champ-dapplication"/>
    <w:p>
      <w:pPr>
        <w:pStyle w:val="berschrift2"/>
      </w:pPr>
      <w:r>
        <w:t xml:space="preserve">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5"/>
    <w:bookmarkStart w:id="31" w:name="nous-pouvons-avoir-des-sous-titres"/>
    <w:p>
      <w:pPr>
        <w:pStyle w:val="berschrift2"/>
      </w:pPr>
      <w:r>
        <w:t xml:space="preserve">Nous pouvons avoir des sous-titres</w:t>
      </w:r>
    </w:p>
    <w:p>
      <w:pPr>
        <w:pStyle w:val="FirstParagraph"/>
      </w:pPr>
      <w:r>
        <w:t xml:space="preserve">Et écrire un peu de texte.</w:t>
      </w:r>
    </w:p>
    <w:bookmarkStart w:id="30" w:name="et-aussi-des-sous-sous-titres"/>
    <w:p>
      <w:pPr>
        <w:pStyle w:val="berschrift3"/>
      </w:pPr>
      <w:r>
        <w:t xml:space="preserve">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w:t>
            </w:r>
          </w:p>
          <w:bookmarkEnd w:id="29"/>
        </w:tc>
      </w:tr>
    </w:tbl>
    <w:p>
      <w:pPr>
        <w:pStyle w:val="Textkrper"/>
      </w:pPr>
      <w:r>
        <w:t xml:space="preserve">Lors de la présentation de diagrammes, essayez de les créer directement dans Mermaid JS ; cela facilite grandement les modifications futures ou les traductions.</w:t>
      </w:r>
    </w:p>
    <w:bookmarkEnd w:id="30"/>
    <w:bookmarkEnd w:id="31"/>
    <w:bookmarkEnd w:id="32"/>
    <w:bookmarkStart w:id="33" w:name="notes-techniques"/>
    <w:p>
      <w:pPr>
        <w:pStyle w:val="berschrift1"/>
      </w:pPr>
      <w:r>
        <w:t xml:space="preserve">Notes techniques</w:t>
      </w:r>
    </w:p>
    <w:p>
      <w:pPr>
        <w:pStyle w:val="FirstParagraph"/>
      </w:pPr>
      <w:r>
        <w:t xml:space="preserve">Nous utilisons l’interface en ligne de commande (CLI) ROBOT dans notre projet</w:t>
      </w:r>
      <w:r>
        <w:t xml:space="preserve"> </w:t>
      </w:r>
      <w:r>
        <w:t xml:space="preserve">(</w:t>
      </w:r>
      <w:hyperlink w:anchor="ref-jackson2019robot">
        <w:r>
          <w:rPr>
            <w:rStyle w:val="Hyperlink"/>
          </w:rPr>
          <w:t xml:space="preserve">Jackson et al. 2019</w:t>
        </w:r>
      </w:hyperlink>
      <w:r>
        <w:t xml:space="preserve">)</w:t>
      </w:r>
      <w:r>
        <w:t xml:space="preserve">, en particulier pour sa capacité à exécuter le raisonneur HermiT</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modèle-de-données"/>
    <w:p>
      <w:pPr>
        <w:pStyle w:val="berschrift1"/>
      </w:pPr>
      <w:r>
        <w:t xml:space="preserve">Modèle de données</w:t>
      </w:r>
    </w:p>
    <w:bookmarkStart w:id="35" w:name="sec-genreshape"/>
    <w:p>
      <w:pPr>
        <w:pStyle w:val="berschrift2"/>
      </w:pPr>
      <w:r>
        <w:t xml:space="preserve">:GenreShape</w:t>
      </w:r>
    </w:p>
    <w:p>
      <w:pPr>
        <w:pStyle w:val="FirstParagraph"/>
      </w:pPr>
      <w:r>
        <w:rPr>
          <w:b/>
          <w:bCs/>
        </w:rPr>
        <w:t xml:space="preserve">Classe cible: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genreshape"/>
          <w:p>
            <w:pPr>
              <w:jc w:val="center"/>
            </w:pPr>
            <w:pPr>
              <w:jc w:val="left"/>
              <w:spacing w:before="200"/>
              <w:pStyle w:val="ImageCaption"/>
            </w:pPr>
            <w:r>
              <w:t xml:space="preserve">Table 1: :GenreShape propriétés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pP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schema:partOf</w:t>
                  </w:r>
                </w:p>
              </w:tc>
              <w:tc>
                <w:tcPr/>
                <w:p>
                  <w:pPr>
                    <w:pStyle w:val="Compact"/>
                    <w:jc w:val="left"/>
                    <w:jc w:val="center"/>
                  </w:pPr>
                  <w:hyperlink w:anchor="sec-genreshape">
                    <w:r>
                      <w:rPr>
                        <w:rStyle w:val="Hyperlink"/>
                      </w:rPr>
                      <w:t xml:space="preserve">:Genre</w:t>
                    </w:r>
                  </w:hyperlink>
                  <w:r>
                    <w:t xml:space="preserve"> </w:t>
                  </w:r>
                  <w:r>
                    <w:t xml:space="preserve">ou</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invoiceshape"/>
    <w:p>
      <w:pPr>
        <w:pStyle w:val="berschrift2"/>
      </w:pPr>
      <w:r>
        <w:t xml:space="preserve">:InvoiceShape</w:t>
      </w:r>
    </w:p>
    <w:p>
      <w:pPr>
        <w:pStyle w:val="FirstParagraph"/>
      </w:pPr>
      <w:r>
        <w:rPr>
          <w:b/>
          <w:bCs/>
        </w:rPr>
        <w:t xml:space="preserve">Classe cible: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invoiceshape"/>
          <w:p>
            <w:pPr>
              <w:jc w:val="center"/>
            </w:pPr>
            <w:pPr>
              <w:jc w:val="left"/>
              <w:spacing w:before="200"/>
              <w:pStyle w:val="ImageCaption"/>
            </w:pPr>
            <w:r>
              <w:t xml:space="preserve">Table 2: :InvoiceShape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t xml:space="preserve">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personshape">
                    <w:r>
                      <w:rPr>
                        <w:rStyle w:val="Hyperlink"/>
                      </w:rPr>
                      <w:t xml:space="preserve">schema:Person</w:t>
                    </w:r>
                  </w:hyperlink>
                </w:p>
              </w:tc>
              <w:tc>
                <w:tcPr/>
                <w:p>
                  <w:pPr>
                    <w:pStyle w:val="Compact"/>
                    <w:jc w:val="right"/>
                    <w:jc w:val="center"/>
                  </w:pPr>
                  <w:r>
                    <w:t xml:space="preserve">1..1</w:t>
                  </w:r>
                </w:p>
              </w:tc>
            </w:tr>
            <w:tr>
              <w:tc>
                <w:tcPr/>
                <w:p>
                  <w:pPr>
                    <w:pStyle w:val="Compact"/>
                    <w:jc w:val="left"/>
                    <w:jc w:val="center"/>
                  </w:pPr>
                  <w:r>
                    <w:t xml:space="preserve">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quantitativevalueshape">
                    <w:r>
                      <w:rPr>
                        <w:rStyle w:val="Hyperlink"/>
                      </w:rPr>
                      <w:t xml:space="preserve">schema:QuantitativeValue</w:t>
                    </w:r>
                  </w:hyperlink>
                </w:p>
              </w:tc>
              <w:tc>
                <w:tcPr/>
                <w:p>
                  <w:pPr>
                    <w:pStyle w:val="Compact"/>
                    <w:jc w:val="right"/>
                    <w:jc w:val="center"/>
                  </w:pPr>
                  <w:r>
                    <w:t xml:space="preserve">1..1</w:t>
                  </w:r>
                </w:p>
              </w:tc>
            </w:tr>
            <w:tr>
              <w:tc>
                <w:tcPr/>
                <w:p>
                  <w:pPr>
                    <w:pStyle w:val="Compact"/>
                    <w:jc w:val="left"/>
                    <w:jc w:val="center"/>
                  </w:pPr>
                  <w:r>
                    <w:t xml:space="preserve">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pP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musicalbumshape"/>
    <w:p>
      <w:pPr>
        <w:pStyle w:val="berschrift2"/>
      </w:pPr>
      <w:r>
        <w:t xml:space="preserve">:MusicAlbumShape</w:t>
      </w:r>
    </w:p>
    <w:p>
      <w:pPr>
        <w:pStyle w:val="FirstParagraph"/>
      </w:pPr>
      <w:r>
        <w:rPr>
          <w:b/>
          <w:bCs/>
        </w:rPr>
        <w:t xml:space="preserve">Classe cible: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musicalbumshape"/>
          <w:p>
            <w:pPr>
              <w:jc w:val="center"/>
            </w:pPr>
            <w:pPr>
              <w:jc w:val="left"/>
              <w:spacing w:before="200"/>
              <w:pStyle w:val="ImageCaption"/>
            </w:pPr>
            <w:r>
              <w:t xml:space="preserve">Table 3: :MusicAlbumShape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t xml:space="preserve">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schema:byArtist</w:t>
                  </w:r>
                </w:p>
              </w:tc>
              <w:tc>
                <w:tcPr/>
                <w:p>
                  <w:pPr>
                    <w:pStyle w:val="Compact"/>
                    <w:jc w:val="left"/>
                    <w:jc w:val="center"/>
                  </w:pPr>
                  <w:hyperlink w:anchor="sec-personshape">
                    <w:r>
                      <w:rPr>
                        <w:rStyle w:val="Hyperlink"/>
                      </w:rPr>
                      <w:t xml:space="preserve">schema:Person</w:t>
                    </w:r>
                  </w:hyperlink>
                  <w:r>
                    <w:t xml:space="preserve"> </w:t>
                  </w:r>
                  <w:r>
                    <w:t xml:space="preserve">ou</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organisationshape"/>
    <w:p>
      <w:pPr>
        <w:pStyle w:val="berschrift2"/>
      </w:pPr>
      <w:r>
        <w:t xml:space="preserve">:OrganisationShape</w:t>
      </w:r>
    </w:p>
    <w:p>
      <w:pPr>
        <w:pStyle w:val="FirstParagraph"/>
      </w:pPr>
      <w:r>
        <w:rPr>
          <w:b/>
          <w:bCs/>
        </w:rPr>
        <w:t xml:space="preserve">Classe cible: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0" w:name="tbl-organisationshape"/>
          <w:p>
            <w:pPr>
              <w:jc w:val="center"/>
            </w:pPr>
            <w:pPr>
              <w:jc w:val="left"/>
              <w:spacing w:before="200"/>
              <w:pStyle w:val="ImageCaption"/>
            </w:pPr>
            <w:r>
              <w:t xml:space="preserve">Table 4: :OrganisationShape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t xml:space="preserve">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0"/>
          <w:p/>
        </w:tc>
      </w:tr>
    </w:tbl>
    <w:bookmarkEnd w:id="41"/>
    <w:bookmarkStart w:id="43" w:name="sec-personshape"/>
    <w:p>
      <w:pPr>
        <w:pStyle w:val="berschrift2"/>
      </w:pPr>
      <w:r>
        <w:t xml:space="preserve">:PersonShape</w:t>
      </w:r>
    </w:p>
    <w:p>
      <w:pPr>
        <w:pStyle w:val="FirstParagraph"/>
      </w:pPr>
      <w:r>
        <w:rPr>
          <w:b/>
          <w:bCs/>
        </w:rPr>
        <w:t xml:space="preserve">Classe cible: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2" w:name="tbl-personshape"/>
          <w:p>
            <w:pPr>
              <w:jc w:val="center"/>
            </w:pPr>
            <w:pPr>
              <w:jc w:val="left"/>
              <w:spacing w:before="200"/>
              <w:pStyle w:val="ImageCaption"/>
            </w:pPr>
            <w:r>
              <w:t xml:space="preserve">Table 5: :PersonShape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t xml:space="preserve">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t xml:space="preserve">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t xml:space="preserve">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t xml:space="preserve">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t xml:space="preserve">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personshape">
                    <w:r>
                      <w:rPr>
                        <w:rStyle w:val="Hyperlink"/>
                      </w:rPr>
                      <w:t xml:space="preserve">schema:Person</w:t>
                    </w:r>
                  </w:hyperlink>
                  <w:r>
                    <w:t xml:space="preserve"> </w:t>
                  </w:r>
                  <w:r>
                    <w:t xml:space="preserve">ou</w:t>
                  </w:r>
                  <w:r>
                    <w:t xml:space="preserve"> </w:t>
                  </w:r>
                  <w:r>
                    <w:rPr>
                      <w:rStyle w:val="VerbatimChar"/>
                    </w:rPr>
                    <w:t xml:space="preserve">schema:Organization</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pPr>
                </w:p>
              </w:tc>
              <w:tc>
                <w:tcPr/>
                <w:p>
                  <w:pPr>
                    <w:pStyle w:val="Compact"/>
                    <w:jc w:val="left"/>
                    <w:jc w:val="center"/>
                  </w:pPr>
                  <w:r>
                    <w:rPr>
                      <w:rStyle w:val="VerbatimChar"/>
                    </w:rPr>
                    <w:t xml:space="preserve">schema:knows</w:t>
                  </w:r>
                </w:p>
              </w:tc>
              <w:tc>
                <w:tcPr/>
                <w:p>
                  <w:pPr>
                    <w:pStyle w:val="Compact"/>
                    <w:jc w:val="left"/>
                    <w:jc w:val="center"/>
                  </w:pPr>
                  <w:hyperlink w:anchor="sec-personshape">
                    <w:r>
                      <w:rPr>
                        <w:rStyle w:val="Hyperlink"/>
                      </w:rPr>
                      <w:t xml:space="preserve">schema:Person</w:t>
                    </w:r>
                  </w:hyperlink>
                </w:p>
              </w:tc>
              <w:tc>
                <w:tcPr/>
                <w:p>
                  <w:pPr>
                    <w:pStyle w:val="Compact"/>
                    <w:jc w:val="right"/>
                    <w:jc w:val="center"/>
                  </w:pPr>
                  <w:r>
                    <w:t xml:space="preserve">0..*</w:t>
                  </w:r>
                </w:p>
              </w:tc>
            </w:tr>
          </w:tbl>
          <w:bookmarkEnd w:id="42"/>
          <w:p/>
        </w:tc>
      </w:tr>
    </w:tbl>
    <w:bookmarkEnd w:id="43"/>
    <w:bookmarkStart w:id="45" w:name="sec-quantitativevalueshape"/>
    <w:p>
      <w:pPr>
        <w:pStyle w:val="berschrift2"/>
      </w:pPr>
      <w:r>
        <w:t xml:space="preserve">:QuantitativeValueShape</w:t>
      </w:r>
    </w:p>
    <w:p>
      <w:pPr>
        <w:pStyle w:val="FirstParagraph"/>
      </w:pPr>
      <w:r>
        <w:rPr>
          <w:b/>
          <w:bCs/>
        </w:rPr>
        <w:t xml:space="preserve">Classe cible: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4" w:name="tbl-quantitativevalueshape"/>
          <w:p>
            <w:pPr>
              <w:jc w:val="center"/>
            </w:pPr>
            <w:pPr>
              <w:jc w:val="left"/>
              <w:spacing w:before="200"/>
              <w:pStyle w:val="ImageCaption"/>
            </w:pPr>
            <w:r>
              <w:t xml:space="preserve">Table 6: :QuantitativeValueShape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t xml:space="preserve">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t xml:space="preserve">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4"/>
          <w:p/>
        </w:tc>
      </w:tr>
    </w:tbl>
    <w:bookmarkEnd w:id="45"/>
    <w:bookmarkStart w:id="47" w:name="sec-trackshape"/>
    <w:p>
      <w:pPr>
        <w:pStyle w:val="berschrift2"/>
      </w:pPr>
      <w:r>
        <w:t xml:space="preserve">:TrackShape</w:t>
      </w:r>
    </w:p>
    <w:p>
      <w:pPr>
        <w:pStyle w:val="FirstParagraph"/>
      </w:pPr>
      <w:r>
        <w:rPr>
          <w:b/>
          <w:bCs/>
        </w:rPr>
        <w:t xml:space="preserve">Classe cible: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6" w:name="tbl-trackshape"/>
          <w:p>
            <w:pPr>
              <w:jc w:val="center"/>
            </w:pPr>
            <w:pPr>
              <w:jc w:val="left"/>
              <w:spacing w:before="200"/>
              <w:pStyle w:val="ImageCaption"/>
            </w:pPr>
            <w:r>
              <w:t xml:space="preserve">Table 7: :TrackShape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t xml:space="preserve">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t xml:space="preserve">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musicalbumshape">
                    <w:r>
                      <w:rPr>
                        <w:rStyle w:val="Hyperlink"/>
                      </w:rPr>
                      <w:t xml:space="preserve">schema:MusicAlbum</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schema:genre</w:t>
                  </w:r>
                </w:p>
              </w:tc>
              <w:tc>
                <w:tcPr/>
                <w:p>
                  <w:pPr>
                    <w:pStyle w:val="Compact"/>
                    <w:jc w:val="left"/>
                    <w:jc w:val="center"/>
                  </w:pPr>
                  <w:hyperlink w:anchor="sec-genreshape">
                    <w:r>
                      <w:rPr>
                        <w:rStyle w:val="Hyperlink"/>
                      </w:rPr>
                      <w:t xml:space="preserve">:Genre</w:t>
                    </w:r>
                  </w:hyperlink>
                </w:p>
              </w:tc>
              <w:tc>
                <w:tcPr/>
                <w:p>
                  <w:pPr>
                    <w:pStyle w:val="Compact"/>
                    <w:jc w:val="right"/>
                    <w:jc w:val="center"/>
                  </w:pPr>
                  <w:r>
                    <w:t xml:space="preserve">1..1</w:t>
                  </w:r>
                </w:p>
              </w:tc>
            </w:tr>
            <w:tr>
              <w:tc>
                <w:tcPr/>
                <w:p>
                  <w:pPr>
                    <w:pStyle w:val="Compact"/>
                    <w:jc w:val="left"/>
                    <w:jc w:val="center"/>
                  </w:pPr>
                  <w:r>
                    <w:t xml:space="preserve">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quantitativevalueshape">
                    <w:r>
                      <w:rPr>
                        <w:rStyle w:val="Hyperlink"/>
                      </w:rPr>
                      <w:t xml:space="preserve">schema:QuantitativeValue</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schema:contentSize</w:t>
                  </w:r>
                </w:p>
              </w:tc>
              <w:tc>
                <w:tcPr/>
                <w:p>
                  <w:pPr>
                    <w:pStyle w:val="Compact"/>
                    <w:jc w:val="left"/>
                    <w:jc w:val="center"/>
                  </w:pPr>
                  <w:hyperlink w:anchor="sec-quantitativevalueshape">
                    <w:r>
                      <w:rPr>
                        <w:rStyle w:val="Hyperlink"/>
                      </w:rPr>
                      <w:t xml:space="preserve">schema:QuantitativeValue</w:t>
                    </w:r>
                  </w:hyperlink>
                </w:p>
              </w:tc>
              <w:tc>
                <w:tcPr/>
                <w:p>
                  <w:pPr>
                    <w:pStyle w:val="Compact"/>
                    <w:jc w:val="right"/>
                    <w:jc w:val="center"/>
                  </w:pPr>
                  <w:r>
                    <w:t xml:space="preserve">0..*</w:t>
                  </w:r>
                </w:p>
              </w:tc>
            </w:tr>
          </w:tbl>
          <w:bookmarkEnd w:id="46"/>
          <w:p/>
        </w:tc>
      </w:tr>
    </w:tbl>
    <w:bookmarkEnd w:id="47"/>
    <w:bookmarkEnd w:id="48"/>
    <w:bookmarkStart w:id="49" w:name="considérations-de-sécurité"/>
    <w:p>
      <w:pPr>
        <w:pStyle w:val="berschrift1"/>
      </w:pPr>
      <w:r>
        <w:t xml:space="preserve">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49"/>
    <w:bookmarkStart w:id="50" w:name="clause-de-non-responsabilité"/>
    <w:p>
      <w:pPr>
        <w:pStyle w:val="berschrift1"/>
      </w:pPr>
      <w:r>
        <w:t xml:space="preserve">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50"/>
    <w:bookmarkStart w:id="51" w:name="droits-dauteur"/>
    <w:p>
      <w:pPr>
        <w:pStyle w:val="berschrift1"/>
      </w:pPr>
      <w:r>
        <w:t xml:space="preserve">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51"/>
    <w:bookmarkStart w:id="55" w:name="annexe-a---références"/>
    <w:p>
      <w:pPr>
        <w:pStyle w:val="berschrift1"/>
      </w:pPr>
      <w:r>
        <w:t xml:space="preserve">Annexe A - Références</w:t>
      </w:r>
    </w:p>
    <w:bookmarkStart w:id="54" w:name="refs"/>
    <w:bookmarkStart w:id="52" w:name="ref-glimm2014hermit"/>
    <w:p>
      <w:pPr>
        <w:pStyle w:val="Bibliography"/>
      </w:pPr>
      <w:r>
        <w:t xml:space="preserve">Glimm, Birte, Ian Horrocks, Boris Motik, Giorgos Stoilos, et Zhe Wang. 2014.</w:t>
      </w:r>
      <w:r>
        <w:t xml:space="preserve"> </w:t>
      </w:r>
      <w:r>
        <w:t xml:space="preserve">« HermiT: an OWL 2 reasoner »</w:t>
      </w:r>
      <w:r>
        <w:t xml:space="preserve">.</w:t>
      </w:r>
      <w:r>
        <w:t xml:space="preserve"> </w:t>
      </w:r>
      <w:r>
        <w:rPr>
          <w:i/>
          <w:iCs/>
        </w:rPr>
        <w:t xml:space="preserve">Journal of automated reasoning</w:t>
      </w:r>
      <w:r>
        <w:t xml:space="preserve"> </w:t>
      </w:r>
      <w:r>
        <w:t xml:space="preserve">53 (3): 245‑69.</w:t>
      </w:r>
    </w:p>
    <w:bookmarkEnd w:id="52"/>
    <w:bookmarkStart w:id="53" w:name="ref-jackson2019robot"/>
    <w:p>
      <w:pPr>
        <w:pStyle w:val="Bibliography"/>
      </w:pPr>
      <w:r>
        <w:t xml:space="preserve">Jackson, Rebecca C, James P Balhoff, Eric Douglass, Nomi L Harris, Christopher J Mungall, et James A Overton. 2019.</w:t>
      </w:r>
      <w:r>
        <w:t xml:space="preserve"> </w:t>
      </w:r>
      <w:r>
        <w:t xml:space="preserve">« ROBOT: a tool for automating ontology workflows »</w:t>
      </w:r>
      <w:r>
        <w:t xml:space="preserve">.</w:t>
      </w:r>
      <w:r>
        <w:t xml:space="preserve"> </w:t>
      </w:r>
      <w:r>
        <w:rPr>
          <w:i/>
          <w:iCs/>
        </w:rPr>
        <w:t xml:space="preserve">BMC bioinformatics</w:t>
      </w:r>
      <w:r>
        <w:t xml:space="preserve"> </w:t>
      </w:r>
      <w:r>
        <w:t xml:space="preserve">20 (1): 407.</w:t>
      </w:r>
    </w:p>
    <w:bookmarkEnd w:id="53"/>
    <w:bookmarkEnd w:id="54"/>
    <w:bookmarkEnd w:id="55"/>
    <w:bookmarkStart w:id="56" w:name="annexe-b---collaboration-vérification"/>
    <w:p>
      <w:pPr>
        <w:pStyle w:val="berschrift1"/>
      </w:pPr>
      <w:r>
        <w:t xml:space="preserve">Annexe B - Collaboration &amp; Vérification</w:t>
      </w:r>
    </w:p>
    <w:bookmarkEnd w:id="56"/>
    <w:bookmarkStart w:id="57" w:name="annexe-c---abréviations-et-glossaire"/>
    <w:p>
      <w:pPr>
        <w:pStyle w:val="berschrift1"/>
      </w:pPr>
      <w:r>
        <w:t xml:space="preserve">Annexe C - Abréviations et glossaire</w:t>
      </w:r>
    </w:p>
    <w:bookmarkEnd w:id="57"/>
    <w:bookmarkStart w:id="58" w:name="X6f8370af66b6e6c8c273e622397bc0a670fe454"/>
    <w:p>
      <w:pPr>
        <w:pStyle w:val="berschrift1"/>
      </w:pPr>
      <w:r>
        <w:t xml:space="preserve">Annexe D - Modifications par rapport à la version précédente</w:t>
      </w:r>
    </w:p>
    <w:bookmarkEnd w:id="58"/>
    <w:bookmarkStart w:id="59" w:name="annexe-e---table-des-illustrations"/>
    <w:p>
      <w:pPr>
        <w:pStyle w:val="berschrift1"/>
      </w:pPr>
      <w:r>
        <w:t xml:space="preserve">Annexe E - Table des illustrations</w:t>
      </w:r>
    </w:p>
    <w:bookmarkEnd w:id="59"/>
    <w:bookmarkStart w:id="60" w:name="annexe-f---liste-des-tableaux"/>
    <w:p>
      <w:pPr>
        <w:pStyle w:val="berschrift1"/>
      </w:pPr>
      <w:r>
        <w:t xml:space="preserve">Annexe F - Liste des tableaux</w:t>
      </w:r>
    </w:p>
    <w:bookmarkEnd w:id="60"/>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fr"/>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 eCH-1234</dc:title>
  <dc:creator/>
  <dc:language>fr</dc:language>
  <cp:keywords/>
  <dcterms:created xsi:type="dcterms:W3CDTF">2026-08-12T15:15:06Z</dcterms:created>
  <dcterms:modified xsi:type="dcterms:W3CDTF">2026-08-12T15:15:06Z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12 août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des matières</vt:lpwstr>
  </property>
</Properties>
</file>