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4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sec-introduction"/>
    <w:p>
      <w:pPr>
        <w:pStyle w:val="berschrift1"/>
      </w:pPr>
      <w:r>
        <w:t xml:space="preserve">1. Introduction</w:t>
      </w:r>
    </w:p>
    <w:bookmarkStart w:id="24" w:name="sec-status"/>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sec-example-subheading"/>
    <w:p>
      <w:pPr>
        <w:pStyle w:val="berschrift2"/>
      </w:pPr>
      <w:r>
        <w:t xml:space="preserve">1.3 Nous pouvons avoir des sous-titres</w:t>
      </w:r>
    </w:p>
    <w:p>
      <w:pPr>
        <w:pStyle w:val="FirstParagraph"/>
      </w:pPr>
      <w:r>
        <w:t xml:space="preserve">Et écrire un peu de texte.</w:t>
      </w:r>
    </w:p>
    <w:bookmarkStart w:id="30"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sec-technical-not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sec-appendix-a"/>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Annexe B - Collaboration et Vérification</w:t>
      </w:r>
    </w:p>
    <w:bookmarkEnd w:id="61"/>
    <w:bookmarkStart w:id="66" w:name="sec-appendix-c"/>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Glossaire de la norme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 suisse, fonctionnant comme un triple store (magasin de triplets).</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Une norme centrale du World Wide Web Consortium (W3C) pour la modélisation des structures de données sur le Web. Les informations ne sont pas représentées dans des tableaux classiques, mais sous forme de graphes interconnectés.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Triplet</w:t>
                  </w:r>
                </w:p>
              </w:tc>
              <w:tc>
                <w:tcPr/>
                <w:p>
                  <w:pPr>
                    <w:pStyle w:val="Compact"/>
                    <w:jc w:val="left"/>
                    <w:jc w:val="center"/>
                  </w:pPr>
                  <w:r>
                    <w:t xml:space="preserve">La structure de base d’une déclaration en RDF, composée d’un sujet, d’un prédicat et d’un objet.</w:t>
                  </w:r>
                </w:p>
              </w:tc>
              <w:tc>
                <w:tcPr/>
                <w:p>
                  <w:pPr>
                    <w:pStyle w:val="Compact"/>
                    <w:jc w:val="left"/>
                    <w:jc w:val="center"/>
                  </w:pPr>
                  <w:r>
                    <w:rPr>
                      <w:i/>
                      <w:iCs/>
                    </w:rPr>
                    <w:t xml:space="preserve">plus générique</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Annexe D - Modifications par rapport à la version précédente</w:t>
      </w:r>
    </w:p>
    <w:bookmarkEnd w:id="67"/>
    <w:bookmarkStart w:id="68" w:name="sec-appendix-e"/>
    <w:p>
      <w:pPr>
        <w:pStyle w:val="berschrift1"/>
      </w:pPr>
      <w:r>
        <w:t xml:space="preserve">12. Annexe E - Table des illustrations</w:t>
      </w:r>
    </w:p>
    <w:bookmarkEnd w:id="68"/>
    <w:bookmarkStart w:id="69" w:name="sec-appendix-f"/>
    <w:p>
      <w:pPr>
        <w:pStyle w:val="berschrift1"/>
      </w:pPr>
      <w:r>
        <w:t xml:space="preserve">13. Annexe F - Liste des tableaux</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2026-09-04T12:28:10Z</dcterms:created>
  <dcterms:modified xsi:type="dcterms:W3CDTF">2026-09-04T12:28:10Z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