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c>
                <w:tcPr/>
                <w:p>
                  <w:pPr>
                    <w:pStyle w:val="Compact"/>
                    <w:jc w:val="left"/>
                    <w:jc w:val="center"/>
                  </w:pPr>
                  <w:r>
                    <w:t xml:space="preserve">Beziehungen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 der als Triple Store fungiert.</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 Modellierung von Datenstrukturen im Web. Informationen werden nicht in klassischen Tabellen, sondern als vernetzte Graphen abgebildet.</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pStyle w:val="Compact"/>
                    <w:jc w:val="left"/>
                    <w:jc w:val="center"/>
                  </w:pPr>
                  <w:r>
                    <w:t xml:space="preserve">Die Grundstruktur einer Aussage in RDF, bestehend aus Subjekt, Prädikat und Objekt.</w:t>
                  </w:r>
                </w:p>
              </w:tc>
              <w:tc>
                <w:tcPr/>
                <w:p>
                  <w:pPr>
                    <w:pStyle w:val="Compact"/>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2026-09-04T12:50:32Z</dcterms:created>
  <dcterms:modified xsi:type="dcterms:W3CDTF">2026-09-04T12:50:32Z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