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90"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89" w:name="sec-nodeshape-trackshape-properties"/>
    <w:p>
      <w:pPr>
        <w:pStyle w:val="berschrift3"/>
      </w:pPr>
      <w:r>
        <w:t xml:space="preserve">3.3.2 Eigenschaften</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Jeder 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 Ein</w:t>
            </w:r>
            <w:r>
              <w:t xml:space="preserve"> </w:t>
            </w:r>
            <w:r>
              <w:t xml:space="preserve">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87">
              <w:r>
                <w:rPr>
                  <w:rStyle w:val="Hyperlink"/>
                </w:rPr>
                <w:t xml:space="preserve">schema:duration</w:t>
              </w:r>
            </w:hyperlink>
            <w:r>
              <w:t xml:space="preserve">): Die</w:t>
            </w:r>
            <w:r>
              <w:t xml:space="preserve"> </w:t>
            </w:r>
            <w:r>
              <w:t xml:space="preserve">Dauer muss als schema:QuantitativeValue ausgedrückt</w:t>
            </w:r>
            <w:r>
              <w:t xml:space="preserve"> </w:t>
            </w:r>
            <w:r>
              <w:t xml:space="preserve">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hyperlink r:id="rId88">
              <w:r>
                <w:rPr>
                  <w:rStyle w:val="Hyperlink"/>
                </w:rPr>
                <w:t xml:space="preserve">schema:contentSize</w:t>
              </w:r>
            </w:hyperlink>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89"/>
    <w:bookmarkEnd w:id="90"/>
    <w:bookmarkStart w:id="95" w:name="sec-nodeshape-organisationshape"/>
    <w:p>
      <w:pPr>
        <w:pStyle w:val="berschrift2"/>
      </w:pPr>
      <w:r>
        <w:t xml:space="preserve">3.4 Organisation</w:t>
      </w:r>
    </w:p>
    <w:p>
      <w:pPr>
        <w:pStyle w:val="FirstParagraph"/>
      </w:pPr>
      <w:r>
        <w:t xml:space="preserve">Ein Unternehmen oder eine Organisation im Chinook-Datensatz.</w:t>
      </w:r>
    </w:p>
    <w:bookmarkStart w:id="93" w:name="sec-nodeshape-organisationshape-overview"/>
    <w:p>
      <w:pPr>
        <w:pStyle w:val="berschrift3"/>
      </w:pPr>
      <w:r>
        <w:t xml:space="preserve">3.4.1 Übersicht</w:t>
      </w:r>
    </w:p>
    <w:p>
      <w:pPr>
        <w:pStyle w:val="DefinitionTerm"/>
      </w:pPr>
      <w:r>
        <w:t xml:space="preserve">Shape</w:t>
      </w:r>
    </w:p>
    <w:p>
      <w:pPr>
        <w:pStyle w:val="Definition"/>
      </w:pPr>
      <w:hyperlink r:id="rId91">
        <w:r>
          <w:rPr>
            <w:rStyle w:val="Hyperlink"/>
          </w:rPr>
          <w:t xml:space="preserve">:OrganisationShape</w:t>
        </w:r>
      </w:hyperlink>
    </w:p>
    <w:p>
      <w:pPr>
        <w:pStyle w:val="DefinitionTerm"/>
      </w:pPr>
      <w:r>
        <w:t xml:space="preserve">Zielklasse</w:t>
      </w:r>
    </w:p>
    <w:p>
      <w:pPr>
        <w:pStyle w:val="Definition"/>
      </w:pPr>
      <w:hyperlink r:id="rId92">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93"/>
    <w:bookmarkStart w:id="94" w:name="X694231572673875c8b98e55f859590bf822fedc"/>
    <w:p>
      <w:pPr>
        <w:pStyle w:val="berschrift3"/>
      </w:pPr>
      <w:r>
        <w:t xml:space="preserve">3.4.2 Eigenschaften</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94"/>
    <w:bookmarkEnd w:id="95"/>
    <w:bookmarkStart w:id="11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99" w:name="sec-nodeshape-personshape-overview"/>
    <w:p>
      <w:pPr>
        <w:pStyle w:val="berschrift3"/>
      </w:pPr>
      <w:r>
        <w:t xml:space="preserve">3.5.1 Übersicht</w:t>
      </w:r>
    </w:p>
    <w:p>
      <w:pPr>
        <w:pStyle w:val="DefinitionTerm"/>
      </w:pPr>
      <w:r>
        <w:t xml:space="preserve">Shape</w:t>
      </w:r>
    </w:p>
    <w:p>
      <w:pPr>
        <w:pStyle w:val="Definition"/>
      </w:pPr>
      <w:hyperlink r:id="rId96">
        <w:r>
          <w:rPr>
            <w:rStyle w:val="Hyperlink"/>
          </w:rPr>
          <w:t xml:space="preserve">:PersonShape</w:t>
        </w:r>
      </w:hyperlink>
    </w:p>
    <w:p>
      <w:pPr>
        <w:pStyle w:val="DefinitionTerm"/>
      </w:pPr>
      <w:r>
        <w:t xml:space="preserve">Zielklasse</w:t>
      </w:r>
    </w:p>
    <w:p>
      <w:pPr>
        <w:pStyle w:val="Definition"/>
      </w:pPr>
      <w:hyperlink r:id="rId97">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98">
        <w:r>
          <w:rPr>
            <w:rStyle w:val="Hyperlink"/>
          </w:rPr>
          <w:t xml:space="preserve">SPARQL-Dienst</w:t>
        </w:r>
      </w:hyperlink>
    </w:p>
    <w:bookmarkEnd w:id="99"/>
    <w:bookmarkStart w:id="110" w:name="sec-nodeshape-personshape-properties"/>
    <w:p>
      <w:pPr>
        <w:pStyle w:val="berschrift3"/>
      </w:pPr>
      <w:r>
        <w:t xml:space="preserve">3.5.2 Eigenschaften</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00">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5"/>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01">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16"/>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02">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1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03">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18"/>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05">
              <w:r>
                <w:rPr>
                  <w:rStyle w:val="Hyperlink"/>
                </w:rPr>
                <w:t xml:space="preserve">schema:address</w:t>
              </w:r>
            </w:hyperlink>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06">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0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08">
              <w:r>
                <w:rPr>
                  <w:rStyle w:val="Hyperlink"/>
                </w:rPr>
                <w:t xml:space="preserve">schema:jobTitle</w:t>
              </w:r>
            </w:hyperlink>
            <w:r>
              <w:t xml:space="preserve">)</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09">
              <w:r>
                <w:rPr>
                  <w:rStyle w:val="Hyperlink"/>
                </w:rPr>
                <w:t xml:space="preserve">schema:knows</w:t>
              </w:r>
            </w:hyperlink>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10"/>
    <w:bookmarkStart w:id="112" w:name="sec-nodeshape-personshape-rules"/>
    <w:p>
      <w:pPr>
        <w:pStyle w:val="berschrift3"/>
      </w:pPr>
      <w:r>
        <w:t xml:space="preserve">3.5.3 Regeln (SPARQL)</w:t>
      </w:r>
    </w:p>
    <w:bookmarkStart w:id="111"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11"/>
    <w:bookmarkEnd w:id="112"/>
    <w:bookmarkEnd w:id="113"/>
    <w:bookmarkStart w:id="127"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17" w:name="Xf875252aad1b3a425685d2837dfb16e5026bccf"/>
    <w:p>
      <w:pPr>
        <w:pStyle w:val="berschrift3"/>
      </w:pPr>
      <w:r>
        <w:t xml:space="preserve">3.6.1 Übersicht</w:t>
      </w:r>
    </w:p>
    <w:p>
      <w:pPr>
        <w:pStyle w:val="DefinitionTerm"/>
      </w:pPr>
      <w:r>
        <w:t xml:space="preserve">Shape</w:t>
      </w:r>
    </w:p>
    <w:p>
      <w:pPr>
        <w:pStyle w:val="Definition"/>
      </w:pPr>
      <w:hyperlink r:id="rId114">
        <w:r>
          <w:rPr>
            <w:rStyle w:val="Hyperlink"/>
          </w:rPr>
          <w:t xml:space="preserve">:PostalAddressShape</w:t>
        </w:r>
      </w:hyperlink>
    </w:p>
    <w:p>
      <w:pPr>
        <w:pStyle w:val="DefinitionTerm"/>
      </w:pPr>
      <w:r>
        <w:t xml:space="preserve">Zielklasse</w:t>
      </w:r>
    </w:p>
    <w:p>
      <w:pPr>
        <w:pStyle w:val="Definition"/>
      </w:pPr>
      <w:hyperlink r:id="rId115">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16">
        <w:r>
          <w:rPr>
            <w:rStyle w:val="Hyperlink"/>
          </w:rPr>
          <w:t xml:space="preserve">SPARQL-Dienst</w:t>
        </w:r>
      </w:hyperlink>
    </w:p>
    <w:bookmarkEnd w:id="117"/>
    <w:bookmarkStart w:id="126" w:name="X94841f346bc9e44ac9d6b39aeccedc95e7957c8"/>
    <w:p>
      <w:pPr>
        <w:pStyle w:val="berschrift3"/>
      </w:pPr>
      <w:r>
        <w:t xml:space="preserve">3.6.2 Eigenschaften</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18">
              <w:r>
                <w:rPr>
                  <w:rStyle w:val="Hyperlink"/>
                </w:rPr>
                <w:t xml:space="preserve">schema:streetAddress</w:t>
              </w:r>
            </w:hyperlink>
            <w:r>
              <w:t xml:space="preserve">)</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19">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20">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21">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26"/>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22">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hyperlink r:id="rId123">
              <w:r>
                <w:rPr>
                  <w:rStyle w:val="Hyperlink"/>
                </w:rPr>
                <w:t xml:space="preserve">country:CHE</w:t>
              </w:r>
            </w:hyperlink>
            <w:r>
              <w:t xml:space="preserve">,</w:t>
            </w:r>
            <w:r>
              <w:t xml:space="preserve"> </w:t>
            </w:r>
            <w:hyperlink r:id="rId124">
              <w:r>
                <w:rPr>
                  <w:rStyle w:val="Hyperlink"/>
                </w:rPr>
                <w:t xml:space="preserve">country:FRA</w:t>
              </w:r>
            </w:hyperlink>
            <w:r>
              <w:t xml:space="preserve">,</w:t>
            </w:r>
            <w:r>
              <w:t xml:space="preserve"> </w:t>
            </w:r>
            <w:hyperlink r:id="rId125">
              <w:r>
                <w:rPr>
                  <w:rStyle w:val="Hyperlink"/>
                </w:rPr>
                <w:t xml:space="preserve">country:ITA</w:t>
              </w:r>
            </w:hyperlink>
          </w:p>
        </w:tc>
        <w:tc>
          <w:tcPr/>
          <w:p>
            <w:pPr>
              <w:pStyle w:val="Compact"/>
              <w:jc w:val="right"/>
            </w:pPr>
            <w:r>
              <w:t xml:space="preserve">1..1</w:t>
            </w:r>
          </w:p>
        </w:tc>
      </w:tr>
    </w:tbl>
    <w:bookmarkEnd w:id="126"/>
    <w:bookmarkEnd w:id="127"/>
    <w:bookmarkStart w:id="141"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131" w:name="X78f593afbb200587db35193dab5ef366499966a"/>
    <w:p>
      <w:pPr>
        <w:pStyle w:val="berschrift3"/>
      </w:pPr>
      <w:r>
        <w:t xml:space="preserve">3.7.1 Übersicht</w:t>
      </w:r>
    </w:p>
    <w:p>
      <w:pPr>
        <w:pStyle w:val="DefinitionTerm"/>
      </w:pPr>
      <w:r>
        <w:t xml:space="preserve">Shape</w:t>
      </w:r>
    </w:p>
    <w:p>
      <w:pPr>
        <w:pStyle w:val="Definition"/>
      </w:pPr>
      <w:hyperlink r:id="rId128">
        <w:r>
          <w:rPr>
            <w:rStyle w:val="Hyperlink"/>
          </w:rPr>
          <w:t xml:space="preserve">:QuantitativeValueShape</w:t>
        </w:r>
      </w:hyperlink>
    </w:p>
    <w:p>
      <w:pPr>
        <w:pStyle w:val="DefinitionTerm"/>
      </w:pPr>
      <w:r>
        <w:t xml:space="preserve">Zielklasse</w:t>
      </w:r>
    </w:p>
    <w:p>
      <w:pPr>
        <w:pStyle w:val="Definition"/>
      </w:pPr>
      <w:hyperlink r:id="rId129">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30">
        <w:r>
          <w:rPr>
            <w:rStyle w:val="Hyperlink"/>
          </w:rPr>
          <w:t xml:space="preserve">SPARQL-Dienst</w:t>
        </w:r>
      </w:hyperlink>
    </w:p>
    <w:bookmarkEnd w:id="131"/>
    <w:bookmarkStart w:id="140"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132">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28"/>
              </w:numPr>
              <w:jc w:val="left"/>
            </w:pPr>
            <w:r>
              <w:t xml:space="preserve">Typ: Dezimalzahl</w:t>
            </w:r>
            <w:r>
              <w:t xml:space="preserve"> </w:t>
            </w:r>
            <w:r>
              <w:t xml:space="preserve">(</w:t>
            </w:r>
            <w:hyperlink r:id="rId133">
              <w:r>
                <w:rPr>
                  <w:rStyle w:val="Hyperlink"/>
                </w:rPr>
                <w:t xml:space="preserve">xsd:decimal</w:t>
              </w:r>
            </w:hyperlink>
            <w:r>
              <w:t xml:space="preserve">)</w:t>
            </w:r>
            <w:r>
              <w:t xml:space="preserve"> </w:t>
            </w:r>
            <w:r>
              <w:t xml:space="preserve">oder Ganzzahl</w:t>
            </w:r>
            <w:r>
              <w:t xml:space="preserve"> </w:t>
            </w:r>
            <w:r>
              <w:t xml:space="preserve">(</w:t>
            </w:r>
            <w:hyperlink r:id="rId134">
              <w:r>
                <w:rPr>
                  <w:rStyle w:val="Hyperlink"/>
                </w:rPr>
                <w:t xml:space="preserve">xsd:integer</w:t>
              </w:r>
            </w:hyperlink>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135">
              <w:r>
                <w:rPr>
                  <w:rStyle w:val="Hyperlink"/>
                </w:rPr>
                <w:t xml:space="preserve">schema:unitCode</w:t>
              </w:r>
            </w:hyperlink>
            <w:r>
              <w:t xml:space="preserve">):</w:t>
            </w:r>
            <w:r>
              <w:t xml:space="preserve"> </w:t>
            </w:r>
            <w:r>
              <w:t xml:space="preserve">Ein quantitativer Wert muss seine Einheit über</w:t>
            </w:r>
            <w:r>
              <w:t xml:space="preserve"> </w:t>
            </w:r>
            <w:r>
              <w:t xml:space="preserve">eine unitCode-URI angeben.</w:t>
            </w:r>
          </w:p>
        </w:tc>
        <w:tc>
          <w:tcPr/>
          <w:p>
            <w:pPr>
              <w:pStyle w:val="Compact"/>
              <w:numPr>
                <w:ilvl w:val="0"/>
                <w:numId w:val="1029"/>
              </w:numPr>
              <w:jc w:val="left"/>
            </w:pPr>
            <w:r>
              <w:t xml:space="preserve">Werte:</w:t>
            </w:r>
            <w:r>
              <w:t xml:space="preserve"> </w:t>
            </w:r>
            <w:hyperlink r:id="rId136">
              <w:r>
                <w:rPr>
                  <w:rStyle w:val="Hyperlink"/>
                </w:rPr>
                <w:t xml:space="preserve">unit:USD</w:t>
              </w:r>
            </w:hyperlink>
            <w:r>
              <w:t xml:space="preserve">,</w:t>
            </w:r>
            <w:r>
              <w:t xml:space="preserve"> </w:t>
            </w:r>
            <w:hyperlink r:id="rId137">
              <w:r>
                <w:rPr>
                  <w:rStyle w:val="Hyperlink"/>
                </w:rPr>
                <w:t xml:space="preserve">unit:EA</w:t>
              </w:r>
            </w:hyperlink>
            <w:r>
              <w:t xml:space="preserve">,</w:t>
            </w:r>
            <w:r>
              <w:t xml:space="preserve"> </w:t>
            </w:r>
            <w:hyperlink r:id="rId138">
              <w:r>
                <w:rPr>
                  <w:rStyle w:val="Hyperlink"/>
                </w:rPr>
                <w:t xml:space="preserve">unit:BYTE</w:t>
              </w:r>
            </w:hyperlink>
            <w:r>
              <w:t xml:space="preserve">,</w:t>
            </w:r>
            <w:r>
              <w:t xml:space="preserve"> </w:t>
            </w:r>
            <w:hyperlink r:id="rId139">
              <w:r>
                <w:rPr>
                  <w:rStyle w:val="Hyperlink"/>
                </w:rPr>
                <w:t xml:space="preserve">unit:MilliSEC</w:t>
              </w:r>
            </w:hyperlink>
          </w:p>
        </w:tc>
        <w:tc>
          <w:tcPr/>
          <w:p>
            <w:pPr>
              <w:pStyle w:val="Compact"/>
              <w:jc w:val="right"/>
            </w:pPr>
            <w:r>
              <w:t xml:space="preserve">1..1</w:t>
            </w:r>
          </w:p>
        </w:tc>
      </w:tr>
    </w:tbl>
    <w:bookmarkEnd w:id="140"/>
    <w:bookmarkEnd w:id="141"/>
    <w:bookmarkStart w:id="155"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45" w:name="sec-nodeshape-invoiceshape-overview"/>
    <w:p>
      <w:pPr>
        <w:pStyle w:val="berschrift3"/>
      </w:pPr>
      <w:r>
        <w:t xml:space="preserve">3.8.1 Übersicht</w:t>
      </w:r>
    </w:p>
    <w:p>
      <w:pPr>
        <w:pStyle w:val="DefinitionTerm"/>
      </w:pPr>
      <w:r>
        <w:t xml:space="preserve">Shape</w:t>
      </w:r>
    </w:p>
    <w:p>
      <w:pPr>
        <w:pStyle w:val="Definition"/>
      </w:pPr>
      <w:hyperlink r:id="rId142">
        <w:r>
          <w:rPr>
            <w:rStyle w:val="Hyperlink"/>
          </w:rPr>
          <w:t xml:space="preserve">:InvoiceShape</w:t>
        </w:r>
      </w:hyperlink>
    </w:p>
    <w:p>
      <w:pPr>
        <w:pStyle w:val="DefinitionTerm"/>
      </w:pPr>
      <w:r>
        <w:t xml:space="preserve">Zielklasse</w:t>
      </w:r>
    </w:p>
    <w:p>
      <w:pPr>
        <w:pStyle w:val="Definition"/>
      </w:pPr>
      <w:hyperlink r:id="rId143">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44">
        <w:r>
          <w:rPr>
            <w:rStyle w:val="Hyperlink"/>
          </w:rPr>
          <w:t xml:space="preserve">SPARQL-Dienst</w:t>
        </w:r>
      </w:hyperlink>
    </w:p>
    <w:bookmarkEnd w:id="145"/>
    <w:bookmarkStart w:id="151" w:name="sec-nodeshape-invoiceshape-properties"/>
    <w:p>
      <w:pPr>
        <w:pStyle w:val="berschrift3"/>
      </w:pPr>
      <w:r>
        <w:t xml:space="preserve">3.8.2 Eigenschaften</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46">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47">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48">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2"/>
              </w:numPr>
              <w:jc w:val="left"/>
            </w:pPr>
            <w:r>
              <w:t xml:space="preserve">Typ:</w:t>
            </w:r>
            <w:r>
              <w:t xml:space="preserve"> </w:t>
            </w:r>
            <w:hyperlink r:id="rId14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0">
              <w:r>
                <w:rPr>
                  <w:rStyle w:val="Hyperlink"/>
                </w:rPr>
                <w:t xml:space="preserve">schema:dateCreated</w:t>
              </w:r>
            </w:hyperlink>
            <w:r>
              <w:t xml:space="preserve">)</w:t>
            </w:r>
          </w:p>
        </w:tc>
        <w:tc>
          <w:tcPr/>
          <w:p>
            <w:pPr>
              <w:pStyle w:val="Compact"/>
              <w:numPr>
                <w:ilvl w:val="0"/>
                <w:numId w:val="1033"/>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51"/>
    <w:bookmarkStart w:id="154" w:name="sec-nodeshape-invoiceshape-rules"/>
    <w:p>
      <w:pPr>
        <w:pStyle w:val="berschrift3"/>
      </w:pPr>
      <w:r>
        <w:t xml:space="preserve">3.8.3 Regeln (SPARQL)</w:t>
      </w:r>
    </w:p>
    <w:bookmarkStart w:id="152"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2"/>
    <w:bookmarkStart w:id="153"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3"/>
    <w:bookmarkEnd w:id="154"/>
    <w:bookmarkEnd w:id="155"/>
    <w:bookmarkEnd w:id="156"/>
    <w:bookmarkStart w:id="158"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57">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59"/>
    <w:bookmarkStart w:id="160"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60"/>
    <w:bookmarkStart w:id="161"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61"/>
    <w:bookmarkStart w:id="191" w:name="sec-appendix-a"/>
    <w:p>
      <w:pPr>
        <w:pStyle w:val="berschrift1"/>
      </w:pPr>
      <w:r>
        <w:t xml:space="preserve">Anhang A – Referenzen</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92"/>
    <w:bookmarkStart w:id="195"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57">
        <w:r>
          <w:rPr>
            <w:rStyle w:val="Hyperlink"/>
          </w:rPr>
          <w:t xml:space="preserve">LINDAS</w:t>
        </w:r>
      </w:hyperlink>
      <w:r>
        <w:t xml:space="preserve"> </w:t>
      </w:r>
      <w:r>
        <w:t xml:space="preserve">und im</w:t>
      </w:r>
      <w:r>
        <w:t xml:space="preserve"> </w:t>
      </w:r>
      <w:hyperlink r:id="rId193">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94"/>
          <w:p/>
        </w:tc>
      </w:tr>
    </w:tbl>
    <w:bookmarkEnd w:id="195"/>
    <w:bookmarkStart w:id="197"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96">
        <w:r>
          <w:rPr>
            <w:rStyle w:val="Hyperlink"/>
          </w:rPr>
          <w:t xml:space="preserve">Releases auf GitHub</w:t>
        </w:r>
      </w:hyperlink>
      <w:r>
        <w:t xml:space="preserve">.</w:t>
      </w:r>
    </w:p>
    <w:bookmarkEnd w:id="197"/>
    <w:bookmarkStart w:id="198" w:name="sec-appendix-e"/>
    <w:p>
      <w:pPr>
        <w:pStyle w:val="berschrift1"/>
      </w:pPr>
      <w:r>
        <w:t xml:space="preserve">Anhang E – Abbildungsverzeichnis</w:t>
      </w:r>
    </w:p>
    <w:bookmarkEnd w:id="198"/>
    <w:bookmarkStart w:id="199" w:name="sec-appendix-f"/>
    <w:p>
      <w:pPr>
        <w:pStyle w:val="berschrift1"/>
      </w:pPr>
      <w:r>
        <w:t xml:space="preserve">Anhang F – Tabellenverzeichnis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2026-10-07T13:10:28Z</dcterms:created>
  <dcterms:modified xsi:type="dcterms:W3CDTF">2026-10-07T13:10:28Z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