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8 septembre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sec-introduction"/>
    <w:p>
      <w:pPr>
        <w:pStyle w:val="berschrift1"/>
      </w:pPr>
      <w:r>
        <w:t xml:space="preserve">1. Introduction</w:t>
      </w:r>
    </w:p>
    <w:bookmarkStart w:id="24" w:name="sec-status"/>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sec-example-subheading"/>
    <w:p>
      <w:pPr>
        <w:pStyle w:val="berschrift2"/>
      </w:pPr>
      <w:r>
        <w:t xml:space="preserve">1.3 Nous pouvons avoir des sous-titres</w:t>
      </w:r>
    </w:p>
    <w:p>
      <w:pPr>
        <w:pStyle w:val="FirstParagraph"/>
      </w:pPr>
      <w:r>
        <w:t xml:space="preserve">Et écrire un peu de texte.</w:t>
      </w:r>
    </w:p>
    <w:bookmarkStart w:id="30"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sec-technical-not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Modèle de données</w:t>
      </w:r>
    </w:p>
    <w:bookmarkStart w:id="35" w:name="sec-nodeshape-musicalbumshap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nodeshape-musicalbumshap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nodeshape-trackshape"/>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nodeshape-trackshape"/>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6"/>
          <w:p/>
        </w:tc>
      </w:tr>
    </w:tbl>
    <w:bookmarkEnd w:id="37"/>
    <w:bookmarkStart w:id="39" w:name="sec-nodeshape-invoiceshap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nodeshape-invoiceshap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nodeshape-genreshap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nodeshape-genreshap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49">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51"/>
    <w:bookmarkStart w:id="52"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2"/>
    <w:bookmarkStart w:id="53"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3"/>
    <w:bookmarkStart w:id="60" w:name="sec-appendix-a"/>
    <w:p>
      <w:pPr>
        <w:pStyle w:val="berschrift1"/>
      </w:pPr>
      <w:r>
        <w:t xml:space="preserve">8. Annexe A - Références</w:t>
      </w:r>
    </w:p>
    <w:bookmarkStart w:id="59" w:name="refs"/>
    <w:bookmarkStart w:id="55" w:name="ref-cyganiak2014rdf11"/>
    <w:p>
      <w:pPr>
        <w:pStyle w:val="Bibliography"/>
      </w:pPr>
      <w:r>
        <w:t xml:space="preserve">Cyganiak, Richard, David Wood, et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Annexe B - Collaboration et Vérification</w:t>
      </w:r>
    </w:p>
    <w:bookmarkEnd w:id="61"/>
    <w:bookmarkStart w:id="66" w:name="sec-appendix-c"/>
    <w:p>
      <w:pPr>
        <w:pStyle w:val="berschrift1"/>
      </w:pPr>
      <w:r>
        <w:t xml:space="preserve">10. Annexe C - Abréviations et glossaire</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Table 8: Glossaire de la norme eCH-1234</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 fédérale</w:t>
                  </w:r>
                  <w:r>
                    <w:t xml:space="preserve"> </w:t>
                  </w:r>
                  <w:r>
                    <w:t xml:space="preserve">suisse, fonctionnant comme un triple store (magasin de triplets).</w:t>
                  </w: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plus générique</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Annexe D - Modifications par rapport à la version précédente</w:t>
      </w:r>
    </w:p>
    <w:bookmarkEnd w:id="67"/>
    <w:bookmarkStart w:id="68" w:name="sec-appendix-e"/>
    <w:p>
      <w:pPr>
        <w:pStyle w:val="berschrift1"/>
      </w:pPr>
      <w:r>
        <w:t xml:space="preserve">12. Annexe E - Table des illustrations</w:t>
      </w:r>
    </w:p>
    <w:bookmarkEnd w:id="68"/>
    <w:bookmarkStart w:id="69" w:name="sec-appendix-f"/>
    <w:p>
      <w:pPr>
        <w:pStyle w:val="berschrift1"/>
      </w:pPr>
      <w:r>
        <w:t xml:space="preserve">13. Annexe F - Liste des tableaux</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2026-09-08T07:27:57Z</dcterms:created>
  <dcterms:modified xsi:type="dcterms:W3CDTF">2026-09-08T07:27:57Z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8 septembre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