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3. September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1. Einleitung</w:t>
      </w:r>
    </w:p>
    <w:bookmarkStart w:id="24" w:name="status"/>
    <w:p>
      <w:pPr>
        <w:pStyle w:val="berschrift2"/>
      </w:pPr>
      <w:r>
        <w:t xml:space="preserve">1.1 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1.2 Geltungsbereich</w:t>
      </w:r>
    </w:p>
    <w:p>
      <w:pPr>
        <w:pStyle w:val="FirstParagraph"/>
      </w:pPr>
      <w:r>
        <w:t xml:space="preserve">Die Angaben in diesem Kapitel sollen dem Leser einen raschen Überblick geben, wofür dieser Standard gedacht ist.</w:t>
      </w:r>
      <w:r>
        <w:t xml:space="preserve"> </w:t>
      </w:r>
      <w:r>
        <w:t xml:space="preserve">Hinweise zu folgenden Sachverhalten können dabei hilfreich sein.</w:t>
      </w:r>
    </w:p>
    <w:bookmarkEnd w:id="25"/>
    <w:bookmarkStart w:id="31" w:name="wir-können-untertitel-haben"/>
    <w:p>
      <w:pPr>
        <w:pStyle w:val="berschrift2"/>
      </w:pPr>
      <w:r>
        <w:t xml:space="preserve">1.3 Wir können Untertitel haben</w:t>
      </w:r>
    </w:p>
    <w:p>
      <w:pPr>
        <w:pStyle w:val="FirstParagraph"/>
      </w:pPr>
      <w:r>
        <w:t xml:space="preserve">Und etwas Text schreiben.</w:t>
      </w:r>
    </w:p>
    <w:bookmarkStart w:id="30" w:name="auch-unter-unterüberschriften"/>
    <w:p>
      <w:pPr>
        <w:pStyle w:val="berschrift3"/>
      </w:pPr>
      <w:r>
        <w:t xml:space="preserve">1.3.1 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2. 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3. Datenmodell</w:t>
      </w:r>
    </w:p>
    <w:bookmarkStart w:id="35" w:name="sec-nodeshape-genreshape"/>
    <w:p>
      <w:pPr>
        <w:pStyle w:val="berschrift2"/>
      </w:pPr>
      <w:r>
        <w:t xml:space="preserve">3.1 Genre</w:t>
      </w:r>
    </w:p>
    <w:p>
      <w:pPr>
        <w:pStyle w:val="FirstParagraph"/>
      </w:pPr>
      <w:r>
        <w:t xml:space="preserve">Eine musikalische Kategorie im Chinook-Datensatz.</w:t>
      </w:r>
    </w:p>
    <w:p>
      <w:pPr>
        <w:pStyle w:val="Textkrper"/>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nodeshape-genreshape"/>
          <w:p>
            <w:pPr>
              <w:jc w:val="center"/>
            </w:pPr>
            <w:pPr>
              <w:jc w:val="left"/>
              <w:spacing w:before="200"/>
              <w:pStyle w:val="ImageCaption"/>
            </w:pPr>
            <w:r>
              <w:t xml:space="preserve">Tabelle 1: Eigenschaften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Teil von</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nodeshape-musicalbumshape"/>
    <w:p>
      <w:pPr>
        <w:pStyle w:val="berschrift2"/>
      </w:pPr>
      <w:r>
        <w:t xml:space="preserve">3.2 Musikalbum</w:t>
      </w:r>
    </w:p>
    <w:p>
      <w:pPr>
        <w:pStyle w:val="FirstParagraph"/>
      </w:pPr>
      <w:r>
        <w:t xml:space="preserve">Eine Sammlung von Titeln im Chinook-Datensatz.</w:t>
      </w:r>
    </w:p>
    <w:p>
      <w:pPr>
        <w:pStyle w:val="Textkrper"/>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6" w:name="tbl-nodeshape-musicalbumshape"/>
          <w:p>
            <w:pPr>
              <w:jc w:val="center"/>
            </w:pPr>
            <w:pPr>
              <w:jc w:val="left"/>
              <w:spacing w:before="200"/>
              <w:pStyle w:val="ImageCaption"/>
            </w:pPr>
            <w:r>
              <w:t xml:space="preserve">Tabelle 2: Eigenschaften Musikalbum</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Jedes Album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Künstler</w:t>
                  </w:r>
                  <w:r>
                    <w:t xml:space="preserve">: Person oder Musikgruppe, die das Album erstellt hat.</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6"/>
          <w:p/>
        </w:tc>
      </w:tr>
    </w:tbl>
    <w:bookmarkEnd w:id="37"/>
    <w:bookmarkStart w:id="39" w:name="sec-nodeshape-trackshape"/>
    <w:p>
      <w:pPr>
        <w:pStyle w:val="berschrift2"/>
      </w:pPr>
      <w:r>
        <w:t xml:space="preserve">3.3 Musikaufnahme</w:t>
      </w:r>
    </w:p>
    <w:p>
      <w:pPr>
        <w:pStyle w:val="FirstParagraph"/>
      </w:pPr>
      <w:r>
        <w:t xml:space="preserve">Ein einzelner Musiktitel im Chinook-Datensatz.</w:t>
      </w:r>
    </w:p>
    <w:p>
      <w:pPr>
        <w:pStyle w:val="Textkrper"/>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8" w:name="tbl-nodeshape-trackshape"/>
          <w:p>
            <w:pPr>
              <w:jc w:val="center"/>
            </w:pPr>
            <w:pPr>
              <w:jc w:val="left"/>
              <w:spacing w:before="200"/>
              <w:pStyle w:val="ImageCaption"/>
            </w:pPr>
            <w:r>
              <w:t xml:space="preserve">Tabelle 3: Eigenschaften Musikaufnahme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Jeder Titel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In Album</w:t>
                  </w:r>
                  <w:r>
                    <w:t xml:space="preserve">: Ein Titel kann nur zu einem gültigen schema:MusicAlbum gehören.</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Autor</w:t>
                  </w:r>
                  <w:r>
                    <w:t xml:space="preserve">: Die Person oder Gruppe, die den Titel geschrieben hat.</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Dauer</w:t>
                  </w:r>
                  <w:r>
                    <w:t xml:space="preserve">: Die Dauer muss als schema:QuantitativeValue ausgedrückt werden.</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Dateigröße</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8"/>
          <w:p/>
        </w:tc>
      </w:tr>
    </w:tbl>
    <w:bookmarkEnd w:id="39"/>
    <w:bookmarkStart w:id="41" w:name="sec-nodeshape-organisationshape"/>
    <w:p>
      <w:pPr>
        <w:pStyle w:val="berschrift2"/>
      </w:pPr>
      <w:r>
        <w:t xml:space="preserve">3.4 Organisation</w:t>
      </w:r>
    </w:p>
    <w:p>
      <w:pPr>
        <w:pStyle w:val="FirstParagraph"/>
      </w:pPr>
      <w:r>
        <w:t xml:space="preserve">Ein Unternehmen oder eine Organisation im Chinook-Datensatz.</w:t>
      </w:r>
    </w:p>
    <w:p>
      <w:pPr>
        <w:pStyle w:val="Textkrper"/>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nodeshape-organisationshape"/>
          <w:p>
            <w:pPr>
              <w:jc w:val="center"/>
            </w:pPr>
            <w:pPr>
              <w:jc w:val="left"/>
              <w:spacing w:before="200"/>
              <w:pStyle w:val="ImageCaption"/>
            </w:pPr>
            <w:r>
              <w:t xml:space="preserve">Tabelle 4: Eigenschaften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r>
                    <w:t xml:space="preserve">: Jede Organisation muss einen Namen haben.</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nodeshape-personshape"/>
    <w:p>
      <w:pPr>
        <w:pStyle w:val="berschrift2"/>
      </w:pPr>
      <w:r>
        <w:t xml:space="preserve">3.5 Person</w:t>
      </w:r>
    </w:p>
    <w:p>
      <w:pPr>
        <w:pStyle w:val="FirstParagraph"/>
      </w:pPr>
      <w:r>
        <w:t xml:space="preserve">Jede Person (Mitarbeiter, Kunde oder benutzerdefinierte Person) im Datensatz.</w:t>
      </w:r>
    </w:p>
    <w:p>
      <w:pPr>
        <w:pStyle w:val="Textkrper"/>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nodeshape-personshape"/>
          <w:p>
            <w:pPr>
              <w:jc w:val="center"/>
            </w:pPr>
            <w:pPr>
              <w:jc w:val="left"/>
              <w:spacing w:before="200"/>
              <w:pStyle w:val="ImageCaption"/>
            </w:pPr>
            <w:r>
              <w:t xml:space="preserve">Tabelle 5: Eigenschaften Person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Vorname</w:t>
                  </w:r>
                  <w:r>
                    <w:t xml:space="preserve">: Jede Person muss einen Vornamen haben.</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Nachname</w:t>
                  </w:r>
                  <w:r>
                    <w:t xml:space="preserve">: Jede Person muss einen Nachnamen haben.</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E-Mail-Adresse</w:t>
                  </w:r>
                  <w:r>
                    <w:t xml:space="preserve">: Falls angegeben, muss die E-Mail-Adresse einem Standardformat entsprechen.</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Geburtsdatum</w:t>
                  </w:r>
                  <w:r>
                    <w:t xml:space="preserve">: Eine Person sollte ein gültiges Geburtsdatum haben.</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Arbeitet für</w:t>
                  </w:r>
                  <w:r>
                    <w:t xml:space="preserve">: Ein Mitarbeiter kann einer anderen Person unterstellt sein.</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Berufsbezeichnung</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Kennt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2"/>
          <w:p/>
        </w:tc>
      </w:tr>
    </w:tbl>
    <w:bookmarkEnd w:id="43"/>
    <w:bookmarkStart w:id="45" w:name="sec-nodeshape-quantitativevalueshape"/>
    <w:p>
      <w:pPr>
        <w:pStyle w:val="berschrift2"/>
      </w:pPr>
      <w:r>
        <w:t xml:space="preserve">3.6 Quantitativer Wert</w:t>
      </w:r>
    </w:p>
    <w:p>
      <w:pPr>
        <w:pStyle w:val="FirstParagraph"/>
      </w:pPr>
      <w:r>
        <w:t xml:space="preserve">Ein numerischer Wert mit einer dazugehörigen Einheit.</w:t>
      </w:r>
    </w:p>
    <w:p>
      <w:pPr>
        <w:pStyle w:val="Textkrper"/>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nodeshape-quantitativevalueshape"/>
          <w:p>
            <w:pPr>
              <w:jc w:val="center"/>
            </w:pPr>
            <w:pPr>
              <w:jc w:val="left"/>
              <w:spacing w:before="200"/>
              <w:pStyle w:val="ImageCaption"/>
            </w:pPr>
            <w:r>
              <w:t xml:space="preserve">Tabelle 6: Eigenschaften Quantitativer Wert</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Wert</w:t>
                  </w:r>
                  <w:r>
                    <w:t xml:space="preserve">: Ein quantitativer Wert muss genau einen numerischen Wert haben.</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Einheitencode</w:t>
                  </w:r>
                  <w:r>
                    <w:t xml:space="preserve">: Ein quantitativer Wert muss seine Einheit über eine unitCode-URI angeben.</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nodeshape-invoiceshape"/>
    <w:p>
      <w:pPr>
        <w:pStyle w:val="berschrift2"/>
      </w:pPr>
      <w:r>
        <w:t xml:space="preserve">3.7 Rechnung</w:t>
      </w:r>
    </w:p>
    <w:p>
      <w:pPr>
        <w:pStyle w:val="FirstParagraph"/>
      </w:pPr>
      <w:r>
        <w:t xml:space="preserve">Ein Kaufbeleg im Chinook-Datensatz.</w:t>
      </w:r>
    </w:p>
    <w:p>
      <w:pPr>
        <w:pStyle w:val="Textkrper"/>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46" w:name="tbl-nodeshape-invoiceshape"/>
          <w:p>
            <w:pPr>
              <w:jc w:val="center"/>
            </w:pPr>
            <w:pPr>
              <w:jc w:val="left"/>
              <w:spacing w:before="200"/>
              <w:pStyle w:val="ImageCaption"/>
            </w:pPr>
            <w:r>
              <w:t xml:space="preserve">Tabelle 7: Eigenschaften Rechnung</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Kunde</w:t>
                  </w:r>
                  <w:r>
                    <w:t xml:space="preserve">: Eine Rechnung muss genau einem Kunden zugeordnet sein.</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Fälliger Gesamtbetrag</w:t>
                  </w:r>
                  <w:r>
                    <w:t xml:space="preserve">: Eine Rechnung muss einen fälligen Gesamtbetrag als schema:QuantitativeValue definieren.</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Enthält</w:t>
                  </w:r>
                  <w:r>
                    <w:t xml:space="preserve">: Eine Rechnung muss mindestens eine Position (OrderItem) enthalten.</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Erstellungsdatum</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46"/>
          <w:p/>
        </w:tc>
      </w:tr>
    </w:tbl>
    <w:bookmarkEnd w:id="47"/>
    <w:bookmarkEnd w:id="48"/>
    <w:bookmarkStart w:id="50" w:name="datenbezug"/>
    <w:p>
      <w:pPr>
        <w:pStyle w:val="berschrift1"/>
      </w:pPr>
      <w:r>
        <w:t xml:space="preserve">4. Datenbezug</w:t>
      </w:r>
    </w:p>
    <w:p>
      <w:pPr>
        <w:pStyle w:val="FirstParagraph"/>
      </w:pPr>
      <w:r>
        <w:t xml:space="preserve">Die diesem Dokument zugrundeliegenden Master- und Referenzdaten sind als</w:t>
      </w:r>
      <w:r>
        <w:t xml:space="preserve"> </w:t>
      </w:r>
      <w:r>
        <w:rPr>
          <w:i/>
          <w:iCs/>
        </w:rPr>
        <w:t xml:space="preserve">Linked Data</w:t>
      </w:r>
      <w:r>
        <w:t xml:space="preserve"> </w:t>
      </w:r>
      <w:r>
        <w:t xml:space="preserve">verfügbar.</w:t>
      </w:r>
    </w:p>
    <w:p>
      <w:pPr>
        <w:pStyle w:val="Textkrper"/>
      </w:pPr>
      <w:r>
        <w:t xml:space="preserve">Die technologische Basis dafür bildet das Resource Description Framework</w:t>
      </w:r>
      <w:r>
        <w:t xml:space="preserve"> </w:t>
      </w:r>
      <w:r>
        <w:t xml:space="preserve">(RDF,</w:t>
      </w:r>
      <w:r>
        <w:t xml:space="preserve"> </w:t>
      </w:r>
      <w:hyperlink w:anchor="ref-cyganiak2014rdf11">
        <w:r>
          <w:rPr>
            <w:rStyle w:val="Hyperlink"/>
          </w:rPr>
          <w:t xml:space="preserve">Cyganiak u. a. 2014</w:t>
        </w:r>
      </w:hyperlink>
      <w:r>
        <w:t xml:space="preserve">)</w:t>
      </w:r>
      <w:r>
        <w:t xml:space="preserve">, ein zentraler Standard des World Wide Web Consortiums (W3C) zur Modellierung von Datenstrukturen im Web.</w:t>
      </w:r>
      <w:r>
        <w:t xml:space="preserve"> </w:t>
      </w:r>
      <w:r>
        <w:t xml:space="preserve">In RDF werden Informationen nicht in klassischen Tabellen, sondern als vernetzte Graphen abgebildet.</w:t>
      </w:r>
      <w:r>
        <w:t xml:space="preserve"> </w:t>
      </w:r>
      <w:r>
        <w:t xml:space="preserve">Jede Aussage besteht dabei aus einem sogenannten Triple (Subjekt, Prädikat, Objekt).</w:t>
      </w:r>
      <w:r>
        <w:t xml:space="preserve"> </w:t>
      </w:r>
      <w:r>
        <w:t xml:space="preserve">Diese Struktur ermöglicht eine maschinenlesbare, interoperable und systemübergreifend eindeutige Beschreibung von Ressourcen und deren Relationen zueinander.</w:t>
      </w:r>
    </w:p>
    <w:p>
      <w:pPr>
        <w:pStyle w:val="Textkrper"/>
      </w:pPr>
      <w:r>
        <w:t xml:space="preserve">Für die Speicherung und Publikation dieser RDF-Daten wird</w:t>
      </w:r>
      <w:r>
        <w:t xml:space="preserve"> </w:t>
      </w:r>
      <w:hyperlink r:id="rId49">
        <w:r>
          <w:rPr>
            <w:rStyle w:val="Hyperlink"/>
          </w:rPr>
          <w:t xml:space="preserve">LINDAS</w:t>
        </w:r>
      </w:hyperlink>
      <w:r>
        <w:t xml:space="preserve"> </w:t>
      </w:r>
      <w:r>
        <w:t xml:space="preserve">(Linked Data Service) genutzt, der offizielle Linked-Data-Dienst der Schweizer Bundesverwaltung.</w:t>
      </w:r>
      <w:r>
        <w:t xml:space="preserve"> </w:t>
      </w:r>
      <w:r>
        <w:t xml:space="preserve">LINDAS fungiert als sogenannter</w:t>
      </w:r>
      <w:r>
        <w:t xml:space="preserve"> </w:t>
      </w:r>
      <w:r>
        <w:rPr>
          <w:i/>
          <w:iCs/>
        </w:rPr>
        <w:t xml:space="preserve">Triple Store</w:t>
      </w:r>
      <w:r>
        <w:t xml:space="preserve">, einer spezialisierte Graphdatenbank, die für das effiziente Speichern und Abfragen von RDF-Triples optimiert ist und die Daten öffentlich über eine genormte Schnittstelle bereitstellt.</w:t>
      </w:r>
    </w:p>
    <w:p>
      <w:pPr>
        <w:pStyle w:val="Textkrper"/>
      </w:pPr>
      <w:r>
        <w:t xml:space="preserve">Das folgende Kapitel gibt eine minimale Anleitung, wie die Daten von LINDAS abgefragt und bezogen werden können.</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Die zugrundeliegenden Daten selbst werden auf GitHub als Turtle-Files gepflegt.</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sicherheitsaspekte"/>
    <w:p>
      <w:pPr>
        <w:pStyle w:val="berschrift1"/>
      </w:pPr>
      <w:r>
        <w:t xml:space="preserve">5. 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1"/>
    <w:bookmarkStart w:id="52" w:name="haftungsausschluss"/>
    <w:p>
      <w:pPr>
        <w:pStyle w:val="berschrift1"/>
      </w:pPr>
      <w:r>
        <w:t xml:space="preserve">6. 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2"/>
    <w:bookmarkStart w:id="53" w:name="urheberrechte"/>
    <w:p>
      <w:pPr>
        <w:pStyle w:val="berschrift1"/>
      </w:pPr>
      <w:r>
        <w:t xml:space="preserve">7. 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3"/>
    <w:bookmarkStart w:id="60" w:name="anhang-a---referenzen"/>
    <w:p>
      <w:pPr>
        <w:pStyle w:val="berschrift1"/>
      </w:pPr>
      <w:r>
        <w:t xml:space="preserve">8. Anhang A - Referenzen</w:t>
      </w:r>
    </w:p>
    <w:bookmarkStart w:id="59" w:name="refs"/>
    <w:bookmarkStart w:id="55" w:name="ref-cyganiak2014rdf11"/>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hang-b---mitwirkung-und-prüfung"/>
    <w:p>
      <w:pPr>
        <w:pStyle w:val="berschrift1"/>
      </w:pPr>
      <w:r>
        <w:t xml:space="preserve">9. Anhang B - Mitwirkung und Prüfung</w:t>
      </w:r>
    </w:p>
    <w:bookmarkEnd w:id="61"/>
    <w:bookmarkStart w:id="62" w:name="anhang-c---abkürzungen-und-glossar"/>
    <w:p>
      <w:pPr>
        <w:pStyle w:val="berschrift1"/>
      </w:pPr>
      <w:r>
        <w:t xml:space="preserve">10. Anhang C - Abkürzungen und Glossar</w:t>
      </w:r>
    </w:p>
    <w:bookmarkEnd w:id="62"/>
    <w:bookmarkStart w:id="63" w:name="X6cf93cfcd2439e304dc8540ad39b5ee10c3a32f"/>
    <w:p>
      <w:pPr>
        <w:pStyle w:val="berschrift1"/>
      </w:pPr>
      <w:r>
        <w:t xml:space="preserve">11. Anhang D - Änderungen gegenüber der Vorversion</w:t>
      </w:r>
    </w:p>
    <w:bookmarkEnd w:id="63"/>
    <w:bookmarkStart w:id="64" w:name="anhang-e---abbildungsverzeichnis"/>
    <w:p>
      <w:pPr>
        <w:pStyle w:val="berschrift1"/>
      </w:pPr>
      <w:r>
        <w:t xml:space="preserve">12. Anhang E - Abbildungsverzeichnis</w:t>
      </w:r>
    </w:p>
    <w:bookmarkEnd w:id="64"/>
    <w:bookmarkStart w:id="65" w:name="anhang-f---tabellenverzeichnis"/>
    <w:p>
      <w:pPr>
        <w:pStyle w:val="berschrift1"/>
      </w:pPr>
      <w:r>
        <w:t xml:space="preserve">13. Anhang F - Tabellenverzeichnis</w:t>
      </w:r>
    </w:p>
    <w:bookmarkEnd w:id="6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2026-09-03T16:30:13Z</dcterms:created>
  <dcterms:modified xsi:type="dcterms:W3CDTF">2026-09-03T16:30:13Z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3. September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