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4"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 Dort wird nur der erste Satz der Beschriftung angezeigt.</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53"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w:t>
      </w:r>
    </w:p>
    <w:p>
      <w:pPr>
        <w:pStyle w:val="Compact"/>
        <w:numPr>
          <w:ilvl w:val="0"/>
          <w:numId w:val="1001"/>
        </w:numPr>
      </w:pPr>
      <w:r>
        <w:t xml:space="preserve">Dritter Punkt</w:t>
      </w:r>
    </w:p>
    <w:p>
      <w:pPr>
        <w:pStyle w:val="FirstParagraph"/>
      </w:pPr>
      <w:r>
        <w:t xml:space="preserve">Geordnete Liste:</w:t>
      </w:r>
    </w:p>
    <w:p>
      <w:pPr>
        <w:pStyle w:val="Compact"/>
        <w:numPr>
          <w:ilvl w:val="0"/>
          <w:numId w:val="1003"/>
        </w:numPr>
      </w:pPr>
      <w:r>
        <w:t xml:space="preserve">Erster Schritt</w:t>
      </w:r>
    </w:p>
    <w:p>
      <w:pPr>
        <w:pStyle w:val="Compact"/>
        <w:numPr>
          <w:ilvl w:val="0"/>
          <w:numId w:val="1003"/>
        </w:numPr>
      </w:pPr>
      <w:r>
        <w:t xml:space="preserve">Zweiter Schritt</w:t>
      </w:r>
    </w:p>
    <w:p>
      <w:pPr>
        <w:pStyle w:val="Compact"/>
        <w:numPr>
          <w:ilvl w:val="0"/>
          <w:numId w:val="1003"/>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52"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Abbildungen lassen sich auch mit R-Code erzeugen, wie</w:t>
      </w:r>
      <w:r>
        <w:t xml:space="preserve"> </w:t>
      </w:r>
      <w:hyperlink w:anchor="fig-r-example">
        <w:r>
          <w:rPr>
            <w:rStyle w:val="Hyperlink"/>
          </w:rPr>
          <w:t xml:space="preserve">Abbildung 2</w:t>
        </w:r>
      </w:hyperlink>
      <w:r>
        <w:t xml:space="preserve"> </w:t>
      </w:r>
      <w:r>
        <w:t xml:space="preserve">zeigt:</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Mit R erzeugte Abbildung. Quarto führt den Code beim Rendern aus und fügt die Grafik ein.</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Tabelle 1: Beispieltabelle mit drei Spalten. Hat eine Tabelle eine Beschriftung, erscheint sie im Tabellenverzeichnis. Dort wird nur der erste Satz der Beschriftung angezeigt.</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50"/>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Hinweise zur Verwendung</w:t>
      </w:r>
    </w:p>
    <w:p>
      <w:pPr>
        <w:pStyle w:val="FirstParagraph"/>
      </w:pPr>
      <w:r>
        <w:t xml:space="preserve">Der folgende Absatz ist bewusst Unsinn und dient nur dem Test der Zitierweise: Gemäss dem Genehmigungsleitfaden</w:t>
      </w:r>
      <w:r>
        <w:t xml:space="preserve"> </w:t>
      </w:r>
      <w:r>
        <w:t xml:space="preserve">[</w:t>
      </w:r>
      <w:hyperlink w:anchor="ref-eCH-0003:11.1.0">
        <w:r>
          <w:rPr>
            <w:rStyle w:val="Hyperlink"/>
          </w:rPr>
          <w:t xml:space="preserve">eCH-0003 11.1.0</w:t>
        </w:r>
      </w:hyperlink>
      <w:r>
        <w:t xml:space="preserve">]</w:t>
      </w:r>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Start w:id="57"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5">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56" w:name="sec-data-model"/>
    <w:p>
      <w:pPr>
        <w:pStyle w:val="berschrift1"/>
      </w:pPr>
      <w:r>
        <w:t xml:space="preserve">3. Datenmodell</w:t>
      </w:r>
    </w:p>
    <w:bookmarkStart w:id="71" w:name="sec-nodeshape-genreshape"/>
    <w:p>
      <w:pPr>
        <w:pStyle w:val="berschrift2"/>
      </w:pPr>
      <w:r>
        <w:t xml:space="preserve">3.1 Genre</w:t>
      </w:r>
    </w:p>
    <w:p>
      <w:pPr>
        <w:pStyle w:val="FirstParagraph"/>
      </w:pPr>
      <w:r>
        <w:t xml:space="preserve">Eine musikalische Kategorie im Chinook-Datensatz.</w:t>
      </w:r>
    </w:p>
    <w:bookmarkStart w:id="62" w:name="sec-nodeshape-genreshape-overview"/>
    <w:p>
      <w:pPr>
        <w:pStyle w:val="berschrift3"/>
      </w:pPr>
      <w:r>
        <w:t xml:space="preserve">3.1.1 Übersicht</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Zielklasse</w:t>
      </w:r>
    </w:p>
    <w:p>
      <w:pPr>
        <w:pStyle w:val="Definition"/>
      </w:pPr>
      <w:hyperlink r:id="rId60">
        <w:r>
          <w:rPr>
            <w:rStyle w:val="Hyperlink"/>
          </w:rPr>
          <w:t xml:space="preserve">:Genre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Datenzugriff</w:t>
      </w:r>
    </w:p>
    <w:p>
      <w:pPr>
        <w:pStyle w:val="Definition"/>
      </w:pPr>
      <w:hyperlink r:id="rId61">
        <w:r>
          <w:rPr>
            <w:rStyle w:val="Hyperlink"/>
          </w:rPr>
          <w:t xml:space="preserve">SPARQL-Dienst</w:t>
        </w:r>
      </w:hyperlink>
    </w:p>
    <w:bookmarkEnd w:id="62"/>
    <w:bookmarkStart w:id="68" w:name="sec-nodeshape-genreshape-properties"/>
    <w:p>
      <w:pPr>
        <w:pStyle w:val="berschrift3"/>
      </w:pPr>
      <w:r>
        <w:t xml:space="preserve">3.1.2 Eigenschaften</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4"/>
              </w:numPr>
              <w:jc w:val="left"/>
            </w:pPr>
            <w:r>
              <w:t xml:space="preserve">Muster:</w:t>
            </w:r>
            <w:r>
              <w:t xml:space="preserve"> </w:t>
            </w:r>
            <w:r>
              <w:rPr>
                <w:rStyle w:val="VerbatimChar"/>
              </w:rPr>
              <w:t xml:space="preserve">^[A-Z]</w:t>
            </w:r>
          </w:p>
          <w:p>
            <w:pPr>
              <w:pStyle w:val="Compact"/>
              <w:numPr>
                <w:ilvl w:val="0"/>
                <w:numId w:val="1004"/>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hyperlink r:id="rId65">
              <w:r>
                <w:rPr>
                  <w:rStyle w:val="Hyperlink"/>
                </w:rPr>
                <w:t xml:space="preserve">schema:partOf</w:t>
              </w:r>
            </w:hyperlink>
            <w:r>
              <w:t xml:space="preserve">)</w:t>
            </w:r>
          </w:p>
        </w:tc>
        <w:tc>
          <w:tcPr/>
          <w:p>
            <w:pPr>
              <w:pStyle w:val="Compact"/>
              <w:numPr>
                <w:ilvl w:val="0"/>
                <w:numId w:val="100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hyperlink r:id="rId66">
              <w:r>
                <w:rPr>
                  <w:rStyle w:val="Hyperlink"/>
                </w:rPr>
                <w:t xml:space="preserve">schema:alternateName</w:t>
              </w:r>
            </w:hyperlink>
            <w:r>
              <w:t xml:space="preserve">):</w:t>
            </w:r>
            <w:r>
              <w:t xml:space="preserve"> </w:t>
            </w:r>
            <w:r>
              <w:t xml:space="preserve">Übersetzte oder umgangssprachliche Bezeichnung des Genres,</w:t>
            </w:r>
            <w:r>
              <w:t xml:space="preserve"> </w:t>
            </w:r>
            <w:r>
              <w:t xml:space="preserve">höchstens eine pro Sprache.</w:t>
            </w:r>
          </w:p>
        </w:tc>
        <w:tc>
          <w:tcPr/>
          <w:p>
            <w:pPr>
              <w:pStyle w:val="Compact"/>
              <w:numPr>
                <w:ilvl w:val="0"/>
                <w:numId w:val="1006"/>
              </w:numPr>
              <w:jc w:val="left"/>
            </w:pPr>
            <w:r>
              <w:t xml:space="preserve">Typ: Sprachabhängiger Text</w:t>
            </w:r>
            <w:r>
              <w:t xml:space="preserve"> </w:t>
            </w:r>
            <w:r>
              <w:t xml:space="preserve">(</w:t>
            </w:r>
            <w:hyperlink r:id="rId67">
              <w:r>
                <w:rPr>
                  <w:rStyle w:val="Hyperlink"/>
                </w:rPr>
                <w:t xml:space="preserve">rdf:langString</w:t>
              </w:r>
            </w:hyperlink>
            <w:r>
              <w:t xml:space="preserve">)</w:t>
            </w:r>
          </w:p>
          <w:p>
            <w:pPr>
              <w:pStyle w:val="Compact"/>
              <w:numPr>
                <w:ilvl w:val="0"/>
                <w:numId w:val="1006"/>
              </w:numPr>
              <w:jc w:val="left"/>
            </w:pPr>
            <w:r>
              <w:t xml:space="preserve">Länge: ≤ 50 Zeichen</w:t>
            </w:r>
          </w:p>
          <w:p>
            <w:pPr>
              <w:pStyle w:val="Compact"/>
              <w:numPr>
                <w:ilvl w:val="0"/>
                <w:numId w:val="1006"/>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0..*</w:t>
            </w:r>
          </w:p>
        </w:tc>
      </w:tr>
    </w:tbl>
    <w:bookmarkEnd w:id="68"/>
    <w:bookmarkStart w:id="70" w:name="sec-nodeshape-genreshape-rules"/>
    <w:p>
      <w:pPr>
        <w:pStyle w:val="berschrift3"/>
      </w:pPr>
      <w:r>
        <w:t xml:space="preserve">3.1.3 Regeln (SPARQL)</w:t>
      </w:r>
    </w:p>
    <w:bookmarkStart w:id="69"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79" w:name="sec-nodeshape-musicalbumshape"/>
    <w:p>
      <w:pPr>
        <w:pStyle w:val="berschrift2"/>
      </w:pPr>
      <w:r>
        <w:t xml:space="preserve">3.2 Musikalbum</w:t>
      </w:r>
    </w:p>
    <w:p>
      <w:pPr>
        <w:pStyle w:val="FirstParagraph"/>
      </w:pPr>
      <w:r>
        <w:t xml:space="preserve">Eine Sammlung von Titeln im Chinook-Datensatz.</w:t>
      </w:r>
    </w:p>
    <w:bookmarkStart w:id="75" w:name="sec-nodeshape-musicalbumshape-overview"/>
    <w:p>
      <w:pPr>
        <w:pStyle w:val="berschrift3"/>
      </w:pPr>
      <w:r>
        <w:t xml:space="preserve">3.2.1 Übersicht</w:t>
      </w:r>
    </w:p>
    <w:p>
      <w:pPr>
        <w:pStyle w:val="DefinitionTerm"/>
      </w:pPr>
      <w:r>
        <w:t xml:space="preserve">Shape</w:t>
      </w:r>
    </w:p>
    <w:p>
      <w:pPr>
        <w:pStyle w:val="Definition"/>
      </w:pPr>
      <w:hyperlink r:id="rId72">
        <w:r>
          <w:rPr>
            <w:rStyle w:val="Hyperlink"/>
          </w:rPr>
          <w:t xml:space="preserve">:MusicAlbumShape</w:t>
        </w:r>
      </w:hyperlink>
    </w:p>
    <w:p>
      <w:pPr>
        <w:pStyle w:val="DefinitionTerm"/>
      </w:pPr>
      <w:r>
        <w:t xml:space="preserve">Zielklasse</w:t>
      </w:r>
    </w:p>
    <w:p>
      <w:pPr>
        <w:pStyle w:val="Definition"/>
      </w:pPr>
      <w:hyperlink r:id="rId73">
        <w:r>
          <w:rPr>
            <w:rStyle w:val="Hyperlink"/>
          </w:rPr>
          <w:t xml:space="preserve">schema:MusicAlbum</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Datenzugriff</w:t>
      </w:r>
    </w:p>
    <w:p>
      <w:pPr>
        <w:pStyle w:val="Definition"/>
      </w:pPr>
      <w:hyperlink r:id="rId74">
        <w:r>
          <w:rPr>
            <w:rStyle w:val="Hyperlink"/>
          </w:rPr>
          <w:t xml:space="preserve">SPARQL-Dienst</w:t>
        </w:r>
      </w:hyperlink>
    </w:p>
    <w:bookmarkEnd w:id="75"/>
    <w:bookmarkStart w:id="78" w:name="sec-nodeshape-musicalbumshape-properties"/>
    <w:p>
      <w:pPr>
        <w:pStyle w:val="berschrift3"/>
      </w:pPr>
      <w:r>
        <w:t xml:space="preserve">3.2.2 Eigenschaften</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Jedes</w:t>
            </w:r>
            <w:r>
              <w:t xml:space="preserve"> </w:t>
            </w:r>
            <w:r>
              <w:t xml:space="preserve">Album muss einen Namen haben.</w:t>
            </w:r>
          </w:p>
        </w:tc>
        <w:tc>
          <w:tcPr/>
          <w:p>
            <w:pPr>
              <w:pStyle w:val="Compact"/>
              <w:numPr>
                <w:ilvl w:val="0"/>
                <w:numId w:val="1007"/>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7"/>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hyperlink r:id="rId76">
              <w:r>
                <w:rPr>
                  <w:rStyle w:val="Hyperlink"/>
                </w:rPr>
                <w:t xml:space="preserve">schema:byArtist</w:t>
              </w:r>
            </w:hyperlink>
            <w:r>
              <w:t xml:space="preserve">):</w:t>
            </w:r>
            <w:r>
              <w:t xml:space="preserve"> </w:t>
            </w:r>
            <w:r>
              <w:t xml:space="preserve">Person oder Musikgruppe, die das Album erstellt</w:t>
            </w:r>
            <w:r>
              <w:t xml:space="preserve"> </w:t>
            </w:r>
            <w:r>
              <w:t xml:space="preserve">hat.</w:t>
            </w:r>
          </w:p>
        </w:tc>
        <w:tc>
          <w:tcPr/>
          <w:p>
            <w:pPr>
              <w:pStyle w:val="Compact"/>
              <w:numPr>
                <w:ilvl w:val="0"/>
                <w:numId w:val="100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77">
              <w:r>
                <w:rPr>
                  <w:rStyle w:val="Hyperlink"/>
                </w:rPr>
                <w:t xml:space="preserve">schema:MusicGroup</w:t>
              </w:r>
            </w:hyperlink>
          </w:p>
        </w:tc>
        <w:tc>
          <w:tcPr/>
          <w:p>
            <w:pPr>
              <w:pStyle w:val="Compact"/>
              <w:jc w:val="right"/>
            </w:pPr>
            <w:r>
              <w:t xml:space="preserve">0..*</w:t>
            </w:r>
          </w:p>
        </w:tc>
      </w:tr>
    </w:tbl>
    <w:bookmarkEnd w:id="78"/>
    <w:bookmarkEnd w:id="79"/>
    <w:bookmarkStart w:id="90" w:name="sec-nodeshape-trackshape"/>
    <w:p>
      <w:pPr>
        <w:pStyle w:val="berschrift2"/>
      </w:pPr>
      <w:r>
        <w:t xml:space="preserve">3.3 Musikaufnahme</w:t>
      </w:r>
    </w:p>
    <w:p>
      <w:pPr>
        <w:pStyle w:val="FirstParagraph"/>
      </w:pPr>
      <w:r>
        <w:t xml:space="preserve">Ein einzelner Musiktitel im Chinook-Datensatz.</w:t>
      </w:r>
    </w:p>
    <w:bookmarkStart w:id="83" w:name="sec-nodeshape-trackshape-overview"/>
    <w:p>
      <w:pPr>
        <w:pStyle w:val="berschrift3"/>
      </w:pPr>
      <w:r>
        <w:t xml:space="preserve">3.3.1 Übersicht</w:t>
      </w:r>
    </w:p>
    <w:p>
      <w:pPr>
        <w:pStyle w:val="DefinitionTerm"/>
      </w:pPr>
      <w:r>
        <w:t xml:space="preserve">Shape</w:t>
      </w:r>
    </w:p>
    <w:p>
      <w:pPr>
        <w:pStyle w:val="Definition"/>
      </w:pPr>
      <w:hyperlink r:id="rId80">
        <w:r>
          <w:rPr>
            <w:rStyle w:val="Hyperlink"/>
          </w:rPr>
          <w:t xml:space="preserve">:TrackShape</w:t>
        </w:r>
      </w:hyperlink>
    </w:p>
    <w:p>
      <w:pPr>
        <w:pStyle w:val="DefinitionTerm"/>
      </w:pPr>
      <w:r>
        <w:t xml:space="preserve">Zielklasse</w:t>
      </w:r>
    </w:p>
    <w:p>
      <w:pPr>
        <w:pStyle w:val="Definition"/>
      </w:pPr>
      <w:hyperlink r:id="rId81">
        <w:r>
          <w:rPr>
            <w:rStyle w:val="Hyperlink"/>
          </w:rPr>
          <w:t xml:space="preserve">schema:MusicRecording</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Datenzugriff</w:t>
      </w:r>
    </w:p>
    <w:p>
      <w:pPr>
        <w:pStyle w:val="Definition"/>
      </w:pPr>
      <w:hyperlink r:id="rId82">
        <w:r>
          <w:rPr>
            <w:rStyle w:val="Hyperlink"/>
          </w:rPr>
          <w:t xml:space="preserve">SPARQL-Dienst</w:t>
        </w:r>
      </w:hyperlink>
    </w:p>
    <w:bookmarkEnd w:id="83"/>
    <w:bookmarkStart w:id="89" w:name="sec-nodeshape-trackshape-properties"/>
    <w:p>
      <w:pPr>
        <w:pStyle w:val="berschrift3"/>
      </w:pPr>
      <w:r>
        <w:t xml:space="preserve">3.3.2 Eigenschaften</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Jeder Titel muss einen Namen haben.</w:t>
            </w:r>
          </w:p>
        </w:tc>
        <w:tc>
          <w:tcPr/>
          <w:p>
            <w:pPr>
              <w:pStyle w:val="Compact"/>
              <w:numPr>
                <w:ilvl w:val="0"/>
                <w:numId w:val="1009"/>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84">
              <w:r>
                <w:rPr>
                  <w:rStyle w:val="Hyperlink"/>
                </w:rPr>
                <w:t xml:space="preserve">schema:inAlbum</w:t>
              </w:r>
            </w:hyperlink>
            <w:r>
              <w:t xml:space="preserve">): Ein</w:t>
            </w:r>
            <w:r>
              <w:t xml:space="preserve"> </w:t>
            </w:r>
            <w:r>
              <w:t xml:space="preserve">Titel kann nur zu einem gültigen schema:MusicAlbum</w:t>
            </w:r>
            <w:r>
              <w:t xml:space="preserve"> </w:t>
            </w:r>
            <w:r>
              <w:t xml:space="preserve">gehören.</w:t>
            </w:r>
          </w:p>
        </w:tc>
        <w:tc>
          <w:tcPr/>
          <w:p>
            <w:pPr>
              <w:pStyle w:val="Compact"/>
              <w:numPr>
                <w:ilvl w:val="0"/>
                <w:numId w:val="1010"/>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hyperlink r:id="rId85">
              <w:r>
                <w:rPr>
                  <w:rStyle w:val="Hyperlink"/>
                </w:rPr>
                <w:t xml:space="preserve">schema:author</w:t>
              </w:r>
            </w:hyperlink>
            <w:r>
              <w:t xml:space="preserve">): Die</w:t>
            </w:r>
            <w:r>
              <w:t xml:space="preserve"> </w:t>
            </w:r>
            <w:r>
              <w:t xml:space="preserve">Person oder Gruppe, die den Titel geschrieben 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6">
              <w:r>
                <w:rPr>
                  <w:rStyle w:val="Hyperlink"/>
                </w:rPr>
                <w:t xml:space="preserve">schema:genre</w:t>
              </w:r>
            </w:hyperlink>
            <w:r>
              <w:t xml:space="preserve">)</w:t>
            </w:r>
          </w:p>
        </w:tc>
        <w:tc>
          <w:tcPr/>
          <w:p>
            <w:pPr>
              <w:pStyle w:val="Compact"/>
              <w:numPr>
                <w:ilvl w:val="0"/>
                <w:numId w:val="1011"/>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hyperlink r:id="rId87">
              <w:r>
                <w:rPr>
                  <w:rStyle w:val="Hyperlink"/>
                </w:rPr>
                <w:t xml:space="preserve">schema:duration</w:t>
              </w:r>
            </w:hyperlink>
            <w:r>
              <w:t xml:space="preserve">): Die</w:t>
            </w:r>
            <w:r>
              <w:t xml:space="preserve"> </w:t>
            </w:r>
            <w:r>
              <w:t xml:space="preserve">Dauer muss als schema:QuantitativeValue ausgedrückt</w:t>
            </w:r>
            <w:r>
              <w:t xml:space="preserve"> </w:t>
            </w:r>
            <w:r>
              <w:t xml:space="preserve">werden.</w:t>
            </w:r>
          </w:p>
        </w:tc>
        <w:tc>
          <w:tcPr/>
          <w:p>
            <w:pPr>
              <w:pStyle w:val="Compact"/>
              <w:numPr>
                <w:ilvl w:val="0"/>
                <w:numId w:val="1012"/>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r>
        <w:tc>
          <w:tcPr/>
          <w:p>
            <w:pPr>
              <w:pStyle w:val="Compact"/>
              <w:jc w:val="left"/>
            </w:pPr>
            <w:r>
              <w:rPr>
                <w:b/>
                <w:bCs/>
              </w:rPr>
              <w:t xml:space="preserve">Dateigrösse</w:t>
            </w:r>
            <w:r>
              <w:t xml:space="preserve"> </w:t>
            </w:r>
            <w:r>
              <w:t xml:space="preserve">(</w:t>
            </w:r>
            <w:hyperlink r:id="rId88">
              <w:r>
                <w:rPr>
                  <w:rStyle w:val="Hyperlink"/>
                </w:rPr>
                <w:t xml:space="preserve">schema:contentSize</w:t>
              </w:r>
            </w:hyperlink>
            <w:r>
              <w:t xml:space="preserve">)</w:t>
            </w:r>
          </w:p>
        </w:tc>
        <w:tc>
          <w:tcPr/>
          <w:p>
            <w:pPr>
              <w:pStyle w:val="Compact"/>
              <w:numPr>
                <w:ilvl w:val="0"/>
                <w:numId w:val="1013"/>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bl>
    <w:bookmarkEnd w:id="89"/>
    <w:bookmarkEnd w:id="90"/>
    <w:bookmarkStart w:id="95" w:name="sec-nodeshape-organisationshape"/>
    <w:p>
      <w:pPr>
        <w:pStyle w:val="berschrift2"/>
      </w:pPr>
      <w:r>
        <w:t xml:space="preserve">3.4 Organisation</w:t>
      </w:r>
    </w:p>
    <w:p>
      <w:pPr>
        <w:pStyle w:val="FirstParagraph"/>
      </w:pPr>
      <w:r>
        <w:t xml:space="preserve">Ein Unternehmen oder eine Organisation im Chinook-Datensatz.</w:t>
      </w:r>
    </w:p>
    <w:bookmarkStart w:id="93" w:name="sec-nodeshape-organisationshape-overview"/>
    <w:p>
      <w:pPr>
        <w:pStyle w:val="berschrift3"/>
      </w:pPr>
      <w:r>
        <w:t xml:space="preserve">3.4.1 Übersicht</w:t>
      </w:r>
    </w:p>
    <w:p>
      <w:pPr>
        <w:pStyle w:val="DefinitionTerm"/>
      </w:pPr>
      <w:r>
        <w:t xml:space="preserve">Shape</w:t>
      </w:r>
    </w:p>
    <w:p>
      <w:pPr>
        <w:pStyle w:val="Definition"/>
      </w:pPr>
      <w:hyperlink r:id="rId91">
        <w:r>
          <w:rPr>
            <w:rStyle w:val="Hyperlink"/>
          </w:rPr>
          <w:t xml:space="preserve">:OrganisationShape</w:t>
        </w:r>
      </w:hyperlink>
    </w:p>
    <w:p>
      <w:pPr>
        <w:pStyle w:val="DefinitionTerm"/>
      </w:pPr>
      <w:r>
        <w:t xml:space="preserve">Zielklasse</w:t>
      </w:r>
    </w:p>
    <w:p>
      <w:pPr>
        <w:pStyle w:val="Definition"/>
      </w:pPr>
      <w:hyperlink r:id="rId92">
        <w:r>
          <w:rPr>
            <w:rStyle w:val="Hyperlink"/>
          </w:rPr>
          <w:t xml:space="preserve">schema:Organisation</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93"/>
    <w:bookmarkStart w:id="94" w:name="X694231572673875c8b98e55f859590bf822fedc"/>
    <w:p>
      <w:pPr>
        <w:pStyle w:val="berschrift3"/>
      </w:pPr>
      <w:r>
        <w:t xml:space="preserve">3.4.2 Eigenschaften</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Jede Organisation muss einen Namen</w:t>
            </w:r>
            <w:r>
              <w:t xml:space="preserve"> </w:t>
            </w:r>
            <w:r>
              <w:t xml:space="preserve">haben.</w:t>
            </w:r>
          </w:p>
        </w:tc>
        <w:tc>
          <w:tcPr/>
          <w:p>
            <w:pPr>
              <w:pStyle w:val="Compact"/>
              <w:numPr>
                <w:ilvl w:val="0"/>
                <w:numId w:val="101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4"/>
              </w:numPr>
              <w:jc w:val="left"/>
            </w:pPr>
            <w:r>
              <w:t xml:space="preserve">Länge: 2–100 Zeichen</w:t>
            </w:r>
          </w:p>
        </w:tc>
        <w:tc>
          <w:tcPr/>
          <w:p>
            <w:pPr>
              <w:pStyle w:val="Compact"/>
              <w:jc w:val="right"/>
            </w:pPr>
            <w:r>
              <w:t xml:space="preserve">1..1</w:t>
            </w:r>
          </w:p>
        </w:tc>
      </w:tr>
    </w:tbl>
    <w:bookmarkEnd w:id="94"/>
    <w:bookmarkEnd w:id="95"/>
    <w:bookmarkStart w:id="11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99" w:name="sec-nodeshape-personshape-overview"/>
    <w:p>
      <w:pPr>
        <w:pStyle w:val="berschrift3"/>
      </w:pPr>
      <w:r>
        <w:t xml:space="preserve">3.5.1 Übersicht</w:t>
      </w:r>
    </w:p>
    <w:p>
      <w:pPr>
        <w:pStyle w:val="DefinitionTerm"/>
      </w:pPr>
      <w:r>
        <w:t xml:space="preserve">Shape</w:t>
      </w:r>
    </w:p>
    <w:p>
      <w:pPr>
        <w:pStyle w:val="Definition"/>
      </w:pPr>
      <w:hyperlink r:id="rId96">
        <w:r>
          <w:rPr>
            <w:rStyle w:val="Hyperlink"/>
          </w:rPr>
          <w:t xml:space="preserve">:PersonShape</w:t>
        </w:r>
      </w:hyperlink>
    </w:p>
    <w:p>
      <w:pPr>
        <w:pStyle w:val="DefinitionTerm"/>
      </w:pPr>
      <w:r>
        <w:t xml:space="preserve">Zielklasse</w:t>
      </w:r>
    </w:p>
    <w:p>
      <w:pPr>
        <w:pStyle w:val="Definition"/>
      </w:pPr>
      <w:hyperlink r:id="rId97">
        <w:r>
          <w:rPr>
            <w:rStyle w:val="Hyperlink"/>
          </w:rPr>
          <w:t xml:space="preserve">schema:Person</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Datenzugriff</w:t>
      </w:r>
    </w:p>
    <w:p>
      <w:pPr>
        <w:pStyle w:val="Definition"/>
      </w:pPr>
      <w:hyperlink r:id="rId98">
        <w:r>
          <w:rPr>
            <w:rStyle w:val="Hyperlink"/>
          </w:rPr>
          <w:t xml:space="preserve">SPARQL-Dienst</w:t>
        </w:r>
      </w:hyperlink>
    </w:p>
    <w:bookmarkEnd w:id="99"/>
    <w:bookmarkStart w:id="110" w:name="sec-nodeshape-personshape-properties"/>
    <w:p>
      <w:pPr>
        <w:pStyle w:val="berschrift3"/>
      </w:pPr>
      <w:r>
        <w:t xml:space="preserve">3.5.2 Eigenschaften</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hyperlink r:id="rId100">
              <w:r>
                <w:rPr>
                  <w:rStyle w:val="Hyperlink"/>
                </w:rPr>
                <w:t xml:space="preserve">schema:givenName</w:t>
              </w:r>
            </w:hyperlink>
            <w:r>
              <w:t xml:space="preserve">):</w:t>
            </w:r>
            <w:r>
              <w:t xml:space="preserve"> </w:t>
            </w:r>
            <w:r>
              <w:t xml:space="preserve">Jede Person muss einen Vornamen haben.</w:t>
            </w:r>
          </w:p>
        </w:tc>
        <w:tc>
          <w:tcPr/>
          <w:p>
            <w:pPr>
              <w:pStyle w:val="Compact"/>
              <w:numPr>
                <w:ilvl w:val="0"/>
                <w:numId w:val="1015"/>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hyperlink r:id="rId101">
              <w:r>
                <w:rPr>
                  <w:rStyle w:val="Hyperlink"/>
                </w:rPr>
                <w:t xml:space="preserve">schema:familyName</w:t>
              </w:r>
            </w:hyperlink>
            <w:r>
              <w:t xml:space="preserve">):</w:t>
            </w:r>
            <w:r>
              <w:t xml:space="preserve"> </w:t>
            </w:r>
            <w:r>
              <w:t xml:space="preserve">Jede Person muss einen Nachnamen haben.</w:t>
            </w:r>
          </w:p>
        </w:tc>
        <w:tc>
          <w:tcPr/>
          <w:p>
            <w:pPr>
              <w:pStyle w:val="Compact"/>
              <w:numPr>
                <w:ilvl w:val="0"/>
                <w:numId w:val="1016"/>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hyperlink r:id="rId102">
              <w:r>
                <w:rPr>
                  <w:rStyle w:val="Hyperlink"/>
                </w:rPr>
                <w:t xml:space="preserve">schema:email</w:t>
              </w:r>
            </w:hyperlink>
            <w:r>
              <w:t xml:space="preserve">): Falls</w:t>
            </w:r>
            <w:r>
              <w:t xml:space="preserve"> </w:t>
            </w:r>
            <w:r>
              <w:t xml:space="preserve">angegeben, muss die E-Mail-Adresse einem</w:t>
            </w:r>
            <w:r>
              <w:t xml:space="preserve"> </w:t>
            </w:r>
            <w:r>
              <w:t xml:space="preserve">Standardformat entsprechen.</w:t>
            </w:r>
          </w:p>
        </w:tc>
        <w:tc>
          <w:tcPr/>
          <w:p>
            <w:pPr>
              <w:pStyle w:val="Compact"/>
              <w:numPr>
                <w:ilvl w:val="0"/>
                <w:numId w:val="1017"/>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7"/>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17"/>
              </w:numPr>
              <w:jc w:val="left"/>
            </w:pPr>
            <w:r>
              <w:t xml:space="preserve">Länge: ≤ 254 Zeichen</w:t>
            </w:r>
          </w:p>
          <w:p>
            <w:pPr>
              <w:pStyle w:val="Compact"/>
              <w:numPr>
                <w:ilvl w:val="0"/>
                <w:numId w:val="1017"/>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hyperlink r:id="rId103">
              <w:r>
                <w:rPr>
                  <w:rStyle w:val="Hyperlink"/>
                </w:rPr>
                <w:t xml:space="preserve">schema:birthDate</w:t>
              </w:r>
            </w:hyperlink>
            <w:r>
              <w:t xml:space="preserve">):</w:t>
            </w:r>
            <w:r>
              <w:t xml:space="preserve"> </w:t>
            </w:r>
            <w:r>
              <w:t xml:space="preserve">Eine Person sollte ein gültiges Geburtsdatum haben.</w:t>
            </w:r>
          </w:p>
        </w:tc>
        <w:tc>
          <w:tcPr/>
          <w:p>
            <w:pPr>
              <w:pStyle w:val="Compact"/>
              <w:numPr>
                <w:ilvl w:val="0"/>
                <w:numId w:val="1018"/>
              </w:numPr>
              <w:jc w:val="left"/>
            </w:pPr>
            <w:r>
              <w:t xml:space="preserve">Typ: Datum</w:t>
            </w:r>
            <w:r>
              <w:t xml:space="preserve"> </w:t>
            </w:r>
            <w:r>
              <w:t xml:space="preserve">(</w:t>
            </w:r>
            <w:hyperlink r:id="rId104">
              <w:r>
                <w:rPr>
                  <w:rStyle w:val="Hyperlink"/>
                </w:rPr>
                <w:t xml:space="preserve">xsd:date</w:t>
              </w:r>
            </w:hyperlink>
            <w:r>
              <w:t xml:space="preserve">)</w:t>
            </w:r>
          </w:p>
          <w:p>
            <w:pPr>
              <w:pStyle w:val="Compact"/>
              <w:numPr>
                <w:ilvl w:val="0"/>
                <w:numId w:val="1018"/>
              </w:numPr>
              <w:jc w:val="left"/>
            </w:pPr>
            <w:r>
              <w:t xml:space="preserve">Wertebereich: ≥ 1900-01-01, ≤ 2025-12-31</w:t>
            </w:r>
          </w:p>
          <w:p>
            <w:pPr>
              <w:pStyle w:val="Compact"/>
              <w:numPr>
                <w:ilvl w:val="0"/>
                <w:numId w:val="1018"/>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05">
              <w:r>
                <w:rPr>
                  <w:rStyle w:val="Hyperlink"/>
                </w:rPr>
                <w:t xml:space="preserve">schema:address</w:t>
              </w:r>
            </w:hyperlink>
            <w:r>
              <w:t xml:space="preserve">)</w:t>
            </w:r>
          </w:p>
        </w:tc>
        <w:tc>
          <w:tcPr/>
          <w:p>
            <w:pPr>
              <w:pStyle w:val="Compact"/>
              <w:numPr>
                <w:ilvl w:val="0"/>
                <w:numId w:val="1019"/>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hyperlink r:id="rId106">
              <w:r>
                <w:rPr>
                  <w:rStyle w:val="Hyperlink"/>
                </w:rPr>
                <w:t xml:space="preserve">schema:worksFor</w:t>
              </w:r>
            </w:hyperlink>
            <w:r>
              <w:t xml:space="preserve">): Ein</w:t>
            </w:r>
            <w:r>
              <w:t xml:space="preserve"> </w:t>
            </w:r>
            <w:r>
              <w:t xml:space="preserve">Mitarbeiter kann einer anderen Person unterstellt</w:t>
            </w:r>
            <w:r>
              <w:t xml:space="preserve"> </w:t>
            </w:r>
            <w:r>
              <w:t xml:space="preserve">sein.</w:t>
            </w:r>
          </w:p>
        </w:tc>
        <w:tc>
          <w:tcPr/>
          <w:p>
            <w:pPr>
              <w:pStyle w:val="Compact"/>
              <w:numPr>
                <w:ilvl w:val="0"/>
                <w:numId w:val="1020"/>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107">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hyperlink r:id="rId108">
              <w:r>
                <w:rPr>
                  <w:rStyle w:val="Hyperlink"/>
                </w:rPr>
                <w:t xml:space="preserve">schema:jobTitle</w:t>
              </w:r>
            </w:hyperlink>
            <w:r>
              <w:t xml:space="preserve">)</w:t>
            </w:r>
          </w:p>
        </w:tc>
        <w:tc>
          <w:tcPr/>
          <w:p>
            <w:pPr>
              <w:pStyle w:val="Compact"/>
              <w:numPr>
                <w:ilvl w:val="0"/>
                <w:numId w:val="1021"/>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1"/>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hyperlink r:id="rId109">
              <w:r>
                <w:rPr>
                  <w:rStyle w:val="Hyperlink"/>
                </w:rPr>
                <w:t xml:space="preserve">schema:knows</w:t>
              </w:r>
            </w:hyperlink>
            <w:r>
              <w:t xml:space="preserve">)</w:t>
            </w:r>
          </w:p>
        </w:tc>
        <w:tc>
          <w:tcPr/>
          <w:p>
            <w:pPr>
              <w:pStyle w:val="Compact"/>
              <w:numPr>
                <w:ilvl w:val="0"/>
                <w:numId w:val="1022"/>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10"/>
    <w:bookmarkStart w:id="112" w:name="sec-nodeshape-personshape-rules"/>
    <w:p>
      <w:pPr>
        <w:pStyle w:val="berschrift3"/>
      </w:pPr>
      <w:r>
        <w:t xml:space="preserve">3.5.3 Regeln (SPARQL)</w:t>
      </w:r>
    </w:p>
    <w:bookmarkStart w:id="111"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11"/>
    <w:bookmarkEnd w:id="112"/>
    <w:bookmarkEnd w:id="113"/>
    <w:bookmarkStart w:id="127"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117" w:name="Xf875252aad1b3a425685d2837dfb16e5026bccf"/>
    <w:p>
      <w:pPr>
        <w:pStyle w:val="berschrift3"/>
      </w:pPr>
      <w:r>
        <w:t xml:space="preserve">3.6.1 Übersicht</w:t>
      </w:r>
    </w:p>
    <w:p>
      <w:pPr>
        <w:pStyle w:val="DefinitionTerm"/>
      </w:pPr>
      <w:r>
        <w:t xml:space="preserve">Shape</w:t>
      </w:r>
    </w:p>
    <w:p>
      <w:pPr>
        <w:pStyle w:val="Definition"/>
      </w:pPr>
      <w:hyperlink r:id="rId114">
        <w:r>
          <w:rPr>
            <w:rStyle w:val="Hyperlink"/>
          </w:rPr>
          <w:t xml:space="preserve">:PostalAddressShape</w:t>
        </w:r>
      </w:hyperlink>
    </w:p>
    <w:p>
      <w:pPr>
        <w:pStyle w:val="DefinitionTerm"/>
      </w:pPr>
      <w:r>
        <w:t xml:space="preserve">Zielklasse</w:t>
      </w:r>
    </w:p>
    <w:p>
      <w:pPr>
        <w:pStyle w:val="Definition"/>
      </w:pPr>
      <w:hyperlink r:id="rId115">
        <w:r>
          <w:rPr>
            <w:rStyle w:val="Hyperlink"/>
          </w:rPr>
          <w:t xml:space="preserve">schema:PostalAddress</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Datenzugriff</w:t>
      </w:r>
    </w:p>
    <w:p>
      <w:pPr>
        <w:pStyle w:val="Definition"/>
      </w:pPr>
      <w:hyperlink r:id="rId116">
        <w:r>
          <w:rPr>
            <w:rStyle w:val="Hyperlink"/>
          </w:rPr>
          <w:t xml:space="preserve">SPARQL-Dienst</w:t>
        </w:r>
      </w:hyperlink>
    </w:p>
    <w:bookmarkEnd w:id="117"/>
    <w:bookmarkStart w:id="126" w:name="X94841f346bc9e44ac9d6b39aeccedc95e7957c8"/>
    <w:p>
      <w:pPr>
        <w:pStyle w:val="berschrift3"/>
      </w:pPr>
      <w:r>
        <w:t xml:space="preserve">3.6.2 Eigenschaften</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hyperlink r:id="rId118">
              <w:r>
                <w:rPr>
                  <w:rStyle w:val="Hyperlink"/>
                </w:rPr>
                <w:t xml:space="preserve">schema:streetAddress</w:t>
              </w:r>
            </w:hyperlink>
            <w:r>
              <w:t xml:space="preserve">)</w:t>
            </w:r>
          </w:p>
        </w:tc>
        <w:tc>
          <w:tcPr/>
          <w:p>
            <w:pPr>
              <w:pStyle w:val="Compact"/>
              <w:numPr>
                <w:ilvl w:val="0"/>
                <w:numId w:val="1023"/>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3"/>
              </w:numPr>
              <w:jc w:val="left"/>
            </w:pPr>
            <w:r>
              <w:t xml:space="preserve">Länge: 3–100 Zeichen</w:t>
            </w:r>
          </w:p>
          <w:p>
            <w:pPr>
              <w:pStyle w:val="Compact"/>
              <w:numPr>
                <w:ilvl w:val="0"/>
                <w:numId w:val="1023"/>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hyperlink r:id="rId119">
              <w:r>
                <w:rPr>
                  <w:rStyle w:val="Hyperlink"/>
                </w:rPr>
                <w:t xml:space="preserve">schema:postalCode</w:t>
              </w:r>
            </w:hyperlink>
            <w:r>
              <w:t xml:space="preserve">):</w:t>
            </w:r>
            <w:r>
              <w:t xml:space="preserve"> </w:t>
            </w:r>
            <w:r>
              <w:t xml:space="preserve">Buchstaben, Ziffern, Leerzeichen und Bindestriche, zwei bis</w:t>
            </w:r>
            <w:r>
              <w:t xml:space="preserve"> </w:t>
            </w:r>
            <w:r>
              <w:t xml:space="preserve">zehn Zeichen.</w:t>
            </w:r>
          </w:p>
        </w:tc>
        <w:tc>
          <w:tcPr/>
          <w:p>
            <w:pPr>
              <w:pStyle w:val="Compact"/>
              <w:numPr>
                <w:ilvl w:val="0"/>
                <w:numId w:val="102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4"/>
              </w:numPr>
              <w:jc w:val="left"/>
            </w:pPr>
            <w:r>
              <w:t xml:space="preserve">Muster:</w:t>
            </w:r>
            <w:r>
              <w:t xml:space="preserve"> </w:t>
            </w:r>
            <w:r>
              <w:rPr>
                <w:rStyle w:val="VerbatimChar"/>
              </w:rPr>
              <w:t xml:space="preserve">^[A-Za-z0-9][A-Za-z0-9 -]{1,9}$</w:t>
            </w:r>
          </w:p>
          <w:p>
            <w:pPr>
              <w:pStyle w:val="Compact"/>
              <w:numPr>
                <w:ilvl w:val="0"/>
                <w:numId w:val="1024"/>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hyperlink r:id="rId120">
              <w:r>
                <w:rPr>
                  <w:rStyle w:val="Hyperlink"/>
                </w:rPr>
                <w:t xml:space="preserve">schema:addressLocality</w:t>
              </w:r>
            </w:hyperlink>
            <w:r>
              <w:t xml:space="preserve">):</w:t>
            </w:r>
            <w:r>
              <w:t xml:space="preserve"> </w:t>
            </w:r>
            <w:r>
              <w:t xml:space="preserve">Jede Adresse braucht genau einen Ort.</w:t>
            </w:r>
          </w:p>
        </w:tc>
        <w:tc>
          <w:tcPr/>
          <w:p>
            <w:pPr>
              <w:pStyle w:val="Compact"/>
              <w:numPr>
                <w:ilvl w:val="0"/>
                <w:numId w:val="1025"/>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21">
              <w:r>
                <w:rPr>
                  <w:rStyle w:val="Hyperlink"/>
                </w:rPr>
                <w:t xml:space="preserve">schema:addressRegion</w:t>
              </w:r>
            </w:hyperlink>
            <w:r>
              <w:t xml:space="preserve">):</w:t>
            </w:r>
            <w:r>
              <w:t xml:space="preserve"> </w:t>
            </w:r>
            <w:r>
              <w:t xml:space="preserve">Kanton, Bundesstaat oder Provinz, sofern im Land üblich.</w:t>
            </w:r>
          </w:p>
        </w:tc>
        <w:tc>
          <w:tcPr/>
          <w:p>
            <w:pPr>
              <w:pStyle w:val="Compact"/>
              <w:numPr>
                <w:ilvl w:val="0"/>
                <w:numId w:val="1026"/>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6"/>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hyperlink r:id="rId122">
              <w:r>
                <w:rPr>
                  <w:rStyle w:val="Hyperlink"/>
                </w:rPr>
                <w:t xml:space="preserve">schema:addressCountry</w:t>
              </w:r>
            </w:hyperlink>
            <w:r>
              <w:t xml:space="preserve">):</w:t>
            </w:r>
            <w:r>
              <w:t xml:space="preserve"> </w:t>
            </w:r>
            <w:r>
              <w:t xml:space="preserve">Land als IRI aus dem Länderverzeichnis des Bundesarchivs auf</w:t>
            </w:r>
            <w:r>
              <w:t xml:space="preserve"> </w:t>
            </w:r>
            <w:r>
              <w:t xml:space="preserve">LINDAS (ISO 3166-1 alpha-3).</w:t>
            </w:r>
          </w:p>
        </w:tc>
        <w:tc>
          <w:tcPr/>
          <w:p>
            <w:pPr>
              <w:pStyle w:val="Compact"/>
              <w:numPr>
                <w:ilvl w:val="0"/>
                <w:numId w:val="1027"/>
              </w:numPr>
              <w:jc w:val="left"/>
            </w:pPr>
            <w:r>
              <w:t xml:space="preserve">Muster:</w:t>
            </w:r>
            <w:r>
              <w:t xml:space="preserve"> </w:t>
            </w:r>
            <w:r>
              <w:rPr>
                <w:rStyle w:val="VerbatimChar"/>
              </w:rPr>
              <w:t xml:space="preserve">^https://ld\.admin\.ch/country/[A-Z]{3}$</w:t>
            </w:r>
          </w:p>
          <w:p>
            <w:pPr>
              <w:pStyle w:val="Compact"/>
              <w:numPr>
                <w:ilvl w:val="0"/>
                <w:numId w:val="1027"/>
              </w:numPr>
              <w:jc w:val="left"/>
            </w:pPr>
            <w:r>
              <w:t xml:space="preserve">Beispiele:</w:t>
            </w:r>
            <w:r>
              <w:t xml:space="preserve"> </w:t>
            </w:r>
            <w:hyperlink r:id="rId123">
              <w:r>
                <w:rPr>
                  <w:rStyle w:val="Hyperlink"/>
                </w:rPr>
                <w:t xml:space="preserve">country:CHE</w:t>
              </w:r>
            </w:hyperlink>
            <w:r>
              <w:t xml:space="preserve">,</w:t>
            </w:r>
            <w:r>
              <w:t xml:space="preserve"> </w:t>
            </w:r>
            <w:hyperlink r:id="rId124">
              <w:r>
                <w:rPr>
                  <w:rStyle w:val="Hyperlink"/>
                </w:rPr>
                <w:t xml:space="preserve">country:FRA</w:t>
              </w:r>
            </w:hyperlink>
            <w:r>
              <w:t xml:space="preserve">,</w:t>
            </w:r>
            <w:r>
              <w:t xml:space="preserve"> </w:t>
            </w:r>
            <w:hyperlink r:id="rId125">
              <w:r>
                <w:rPr>
                  <w:rStyle w:val="Hyperlink"/>
                </w:rPr>
                <w:t xml:space="preserve">country:ITA</w:t>
              </w:r>
            </w:hyperlink>
          </w:p>
        </w:tc>
        <w:tc>
          <w:tcPr/>
          <w:p>
            <w:pPr>
              <w:pStyle w:val="Compact"/>
              <w:jc w:val="right"/>
            </w:pPr>
            <w:r>
              <w:t xml:space="preserve">1..1</w:t>
            </w:r>
          </w:p>
        </w:tc>
      </w:tr>
    </w:tbl>
    <w:bookmarkEnd w:id="126"/>
    <w:bookmarkEnd w:id="127"/>
    <w:bookmarkStart w:id="141"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dem QUDT-Vokabular. So bleibt eindeutig, ob eine Dauer in Millisekunden oder eine Dateigrösse in Bytes gemeint ist. Negative Werte sind in diesem Datensatz nicht vorgesehen.</w:t>
      </w:r>
    </w:p>
    <w:bookmarkStart w:id="131" w:name="X78f593afbb200587db35193dab5ef366499966a"/>
    <w:p>
      <w:pPr>
        <w:pStyle w:val="berschrift3"/>
      </w:pPr>
      <w:r>
        <w:t xml:space="preserve">3.7.1 Übersicht</w:t>
      </w:r>
    </w:p>
    <w:p>
      <w:pPr>
        <w:pStyle w:val="DefinitionTerm"/>
      </w:pPr>
      <w:r>
        <w:t xml:space="preserve">Shape</w:t>
      </w:r>
    </w:p>
    <w:p>
      <w:pPr>
        <w:pStyle w:val="Definition"/>
      </w:pPr>
      <w:hyperlink r:id="rId128">
        <w:r>
          <w:rPr>
            <w:rStyle w:val="Hyperlink"/>
          </w:rPr>
          <w:t xml:space="preserve">:QuantitativeValueShape</w:t>
        </w:r>
      </w:hyperlink>
    </w:p>
    <w:p>
      <w:pPr>
        <w:pStyle w:val="DefinitionTerm"/>
      </w:pPr>
      <w:r>
        <w:t xml:space="preserve">Zielklasse</w:t>
      </w:r>
    </w:p>
    <w:p>
      <w:pPr>
        <w:pStyle w:val="Definition"/>
      </w:pPr>
      <w:hyperlink r:id="rId129">
        <w:r>
          <w:rPr>
            <w:rStyle w:val="Hyperlink"/>
          </w:rPr>
          <w:t xml:space="preserve">schema:QuantitativeValue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Datenzugriff</w:t>
      </w:r>
    </w:p>
    <w:p>
      <w:pPr>
        <w:pStyle w:val="Definition"/>
      </w:pPr>
      <w:hyperlink r:id="rId130">
        <w:r>
          <w:rPr>
            <w:rStyle w:val="Hyperlink"/>
          </w:rPr>
          <w:t xml:space="preserve">SPARQL-Dienst</w:t>
        </w:r>
      </w:hyperlink>
    </w:p>
    <w:bookmarkEnd w:id="131"/>
    <w:bookmarkStart w:id="140" w:name="X2e1f3b536eb29ac285cf6217bf2fada750b5fc0"/>
    <w:p>
      <w:pPr>
        <w:pStyle w:val="berschrift3"/>
      </w:pPr>
      <w:r>
        <w:t xml:space="preserve">3.7.2 Eigenschaften</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hyperlink r:id="rId132">
              <w:r>
                <w:rPr>
                  <w:rStyle w:val="Hyperlink"/>
                </w:rPr>
                <w:t xml:space="preserve">schema:value</w:t>
              </w:r>
            </w:hyperlink>
            <w:r>
              <w:t xml:space="preserve">): Ein</w:t>
            </w:r>
            <w:r>
              <w:t xml:space="preserve"> </w:t>
            </w:r>
            <w:r>
              <w:t xml:space="preserve">quantitativer Wert muss genau einen numerischen</w:t>
            </w:r>
            <w:r>
              <w:t xml:space="preserve"> </w:t>
            </w:r>
            <w:r>
              <w:t xml:space="preserve">Wert haben.</w:t>
            </w:r>
          </w:p>
        </w:tc>
        <w:tc>
          <w:tcPr/>
          <w:p>
            <w:pPr>
              <w:pStyle w:val="Compact"/>
              <w:numPr>
                <w:ilvl w:val="0"/>
                <w:numId w:val="1028"/>
              </w:numPr>
              <w:jc w:val="left"/>
            </w:pPr>
            <w:r>
              <w:t xml:space="preserve">Typ: Dezimalzahl</w:t>
            </w:r>
            <w:r>
              <w:t xml:space="preserve"> </w:t>
            </w:r>
            <w:r>
              <w:t xml:space="preserve">(</w:t>
            </w:r>
            <w:hyperlink r:id="rId133">
              <w:r>
                <w:rPr>
                  <w:rStyle w:val="Hyperlink"/>
                </w:rPr>
                <w:t xml:space="preserve">xsd:decimal</w:t>
              </w:r>
            </w:hyperlink>
            <w:r>
              <w:t xml:space="preserve">)</w:t>
            </w:r>
            <w:r>
              <w:t xml:space="preserve"> </w:t>
            </w:r>
            <w:r>
              <w:t xml:space="preserve">oder Ganzzahl</w:t>
            </w:r>
            <w:r>
              <w:t xml:space="preserve"> </w:t>
            </w:r>
            <w:r>
              <w:t xml:space="preserve">(</w:t>
            </w:r>
            <w:hyperlink r:id="rId134">
              <w:r>
                <w:rPr>
                  <w:rStyle w:val="Hyperlink"/>
                </w:rPr>
                <w:t xml:space="preserve">xsd:integer</w:t>
              </w:r>
            </w:hyperlink>
            <w:r>
              <w:t xml:space="preserve">)</w:t>
            </w:r>
          </w:p>
          <w:p>
            <w:pPr>
              <w:pStyle w:val="Compact"/>
              <w:numPr>
                <w:ilvl w:val="0"/>
                <w:numId w:val="1028"/>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hyperlink r:id="rId135">
              <w:r>
                <w:rPr>
                  <w:rStyle w:val="Hyperlink"/>
                </w:rPr>
                <w:t xml:space="preserve">schema:unitCode</w:t>
              </w:r>
            </w:hyperlink>
            <w:r>
              <w:t xml:space="preserve">):</w:t>
            </w:r>
            <w:r>
              <w:t xml:space="preserve"> </w:t>
            </w:r>
            <w:r>
              <w:t xml:space="preserve">Ein quantitativer Wert muss seine Einheit über</w:t>
            </w:r>
            <w:r>
              <w:t xml:space="preserve"> </w:t>
            </w:r>
            <w:r>
              <w:t xml:space="preserve">eine unitCode-URI angeben.</w:t>
            </w:r>
          </w:p>
        </w:tc>
        <w:tc>
          <w:tcPr/>
          <w:p>
            <w:pPr>
              <w:pStyle w:val="Compact"/>
              <w:numPr>
                <w:ilvl w:val="0"/>
                <w:numId w:val="1029"/>
              </w:numPr>
              <w:jc w:val="left"/>
            </w:pPr>
            <w:r>
              <w:t xml:space="preserve">Werte:</w:t>
            </w:r>
            <w:r>
              <w:t xml:space="preserve"> </w:t>
            </w:r>
            <w:hyperlink r:id="rId136">
              <w:r>
                <w:rPr>
                  <w:rStyle w:val="Hyperlink"/>
                </w:rPr>
                <w:t xml:space="preserve">unit:USD</w:t>
              </w:r>
            </w:hyperlink>
            <w:r>
              <w:t xml:space="preserve">,</w:t>
            </w:r>
            <w:r>
              <w:t xml:space="preserve"> </w:t>
            </w:r>
            <w:hyperlink r:id="rId137">
              <w:r>
                <w:rPr>
                  <w:rStyle w:val="Hyperlink"/>
                </w:rPr>
                <w:t xml:space="preserve">unit:EA</w:t>
              </w:r>
            </w:hyperlink>
            <w:r>
              <w:t xml:space="preserve">,</w:t>
            </w:r>
            <w:r>
              <w:t xml:space="preserve"> </w:t>
            </w:r>
            <w:hyperlink r:id="rId138">
              <w:r>
                <w:rPr>
                  <w:rStyle w:val="Hyperlink"/>
                </w:rPr>
                <w:t xml:space="preserve">unit:BYTE</w:t>
              </w:r>
            </w:hyperlink>
            <w:r>
              <w:t xml:space="preserve">,</w:t>
            </w:r>
            <w:r>
              <w:t xml:space="preserve"> </w:t>
            </w:r>
            <w:hyperlink r:id="rId139">
              <w:r>
                <w:rPr>
                  <w:rStyle w:val="Hyperlink"/>
                </w:rPr>
                <w:t xml:space="preserve">unit:MilliSEC</w:t>
              </w:r>
            </w:hyperlink>
          </w:p>
        </w:tc>
        <w:tc>
          <w:tcPr/>
          <w:p>
            <w:pPr>
              <w:pStyle w:val="Compact"/>
              <w:jc w:val="right"/>
            </w:pPr>
            <w:r>
              <w:t xml:space="preserve">1..1</w:t>
            </w:r>
          </w:p>
        </w:tc>
      </w:tr>
    </w:tbl>
    <w:bookmarkEnd w:id="140"/>
    <w:bookmarkEnd w:id="141"/>
    <w:bookmarkStart w:id="155"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45" w:name="sec-nodeshape-invoiceshape-overview"/>
    <w:p>
      <w:pPr>
        <w:pStyle w:val="berschrift3"/>
      </w:pPr>
      <w:r>
        <w:t xml:space="preserve">3.8.1 Übersicht</w:t>
      </w:r>
    </w:p>
    <w:p>
      <w:pPr>
        <w:pStyle w:val="DefinitionTerm"/>
      </w:pPr>
      <w:r>
        <w:t xml:space="preserve">Shape</w:t>
      </w:r>
    </w:p>
    <w:p>
      <w:pPr>
        <w:pStyle w:val="Definition"/>
      </w:pPr>
      <w:hyperlink r:id="rId142">
        <w:r>
          <w:rPr>
            <w:rStyle w:val="Hyperlink"/>
          </w:rPr>
          <w:t xml:space="preserve">:InvoiceShape</w:t>
        </w:r>
      </w:hyperlink>
    </w:p>
    <w:p>
      <w:pPr>
        <w:pStyle w:val="DefinitionTerm"/>
      </w:pPr>
      <w:r>
        <w:t xml:space="preserve">Zielklasse</w:t>
      </w:r>
    </w:p>
    <w:p>
      <w:pPr>
        <w:pStyle w:val="Definition"/>
      </w:pPr>
      <w:hyperlink r:id="rId143">
        <w:r>
          <w:rPr>
            <w:rStyle w:val="Hyperlink"/>
          </w:rPr>
          <w:t xml:space="preserve">schema:Invoice</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Datenzugriff</w:t>
      </w:r>
    </w:p>
    <w:p>
      <w:pPr>
        <w:pStyle w:val="Definition"/>
      </w:pPr>
      <w:hyperlink r:id="rId144">
        <w:r>
          <w:rPr>
            <w:rStyle w:val="Hyperlink"/>
          </w:rPr>
          <w:t xml:space="preserve">SPARQL-Dienst</w:t>
        </w:r>
      </w:hyperlink>
    </w:p>
    <w:bookmarkEnd w:id="145"/>
    <w:bookmarkStart w:id="151" w:name="sec-nodeshape-invoiceshape-properties"/>
    <w:p>
      <w:pPr>
        <w:pStyle w:val="berschrift3"/>
      </w:pPr>
      <w:r>
        <w:t xml:space="preserve">3.8.2 Eigenschaften</w:t>
      </w:r>
    </w:p>
    <w:tbl>
      <w:tblPr>
        <w:tblStyle w:val="Table"/>
        <w:tblW w:type="pct" w:w="4963"/>
        <w:tblLayout w:type="fixed"/>
        <w:tblLook w:firstRow="1" w:lastRow="0" w:firstColumn="0" w:lastColumn="0" w:noHBand="0" w:noVBand="0" w:val="0020"/>
      </w:tblPr>
      <w:tblGrid>
        <w:gridCol w:w="3813"/>
        <w:gridCol w:w="3168"/>
        <w:gridCol w:w="88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hyperlink r:id="rId146">
              <w:r>
                <w:rPr>
                  <w:rStyle w:val="Hyperlink"/>
                </w:rPr>
                <w:t xml:space="preserve">schema:customer</w:t>
              </w:r>
            </w:hyperlink>
            <w:r>
              <w:t xml:space="preserve">):</w:t>
            </w:r>
            <w:r>
              <w:t xml:space="preserve"> </w:t>
            </w:r>
            <w:r>
              <w:t xml:space="preserve">Eine Rechnung muss genau einem Kunden zugeordnet sein.</w:t>
            </w:r>
          </w:p>
        </w:tc>
        <w:tc>
          <w:tcPr/>
          <w:p>
            <w:pPr>
              <w:pStyle w:val="Compact"/>
              <w:numPr>
                <w:ilvl w:val="0"/>
                <w:numId w:val="1030"/>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hyperlink r:id="rId147">
              <w:r>
                <w:rPr>
                  <w:rStyle w:val="Hyperlink"/>
                </w:rPr>
                <w:t xml:space="preserve">schema:totalPaymentDue</w:t>
              </w:r>
            </w:hyperlink>
            <w:r>
              <w:t xml:space="preserve">):</w:t>
            </w:r>
            <w:r>
              <w:t xml:space="preserve"> </w:t>
            </w:r>
            <w:r>
              <w:t xml:space="preserve">Eine Rechnung muss einen fälligen Gesamtbetrag als</w:t>
            </w:r>
            <w:r>
              <w:t xml:space="preserve"> </w:t>
            </w:r>
            <w:r>
              <w:t xml:space="preserve">schema:QuantitativeValue definieren.</w:t>
            </w:r>
          </w:p>
        </w:tc>
        <w:tc>
          <w:tcPr/>
          <w:p>
            <w:pPr>
              <w:pStyle w:val="Compact"/>
              <w:numPr>
                <w:ilvl w:val="0"/>
                <w:numId w:val="1031"/>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hyperlink r:id="rId148">
              <w:r>
                <w:rPr>
                  <w:rStyle w:val="Hyperlink"/>
                </w:rPr>
                <w:t xml:space="preserve">schema:hasPart</w:t>
              </w:r>
            </w:hyperlink>
            <w:r>
              <w:t xml:space="preserve">):</w:t>
            </w:r>
            <w:r>
              <w:t xml:space="preserve"> </w:t>
            </w:r>
            <w:r>
              <w:t xml:space="preserve">Eine Rechnung muss mindestens eine Position (OrderItem)</w:t>
            </w:r>
            <w:r>
              <w:t xml:space="preserve"> </w:t>
            </w:r>
            <w:r>
              <w:t xml:space="preserve">enthalten.</w:t>
            </w:r>
          </w:p>
        </w:tc>
        <w:tc>
          <w:tcPr/>
          <w:p>
            <w:pPr>
              <w:pStyle w:val="Compact"/>
              <w:numPr>
                <w:ilvl w:val="0"/>
                <w:numId w:val="1032"/>
              </w:numPr>
              <w:jc w:val="left"/>
            </w:pPr>
            <w:r>
              <w:t xml:space="preserve">Typ:</w:t>
            </w:r>
            <w:r>
              <w:t xml:space="preserve"> </w:t>
            </w:r>
            <w:hyperlink r:id="rId149">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hyperlink r:id="rId150">
              <w:r>
                <w:rPr>
                  <w:rStyle w:val="Hyperlink"/>
                </w:rPr>
                <w:t xml:space="preserve">schema:dateCreated</w:t>
              </w:r>
            </w:hyperlink>
            <w:r>
              <w:t xml:space="preserve">)</w:t>
            </w:r>
          </w:p>
        </w:tc>
        <w:tc>
          <w:tcPr/>
          <w:p>
            <w:pPr>
              <w:pStyle w:val="Compact"/>
              <w:numPr>
                <w:ilvl w:val="0"/>
                <w:numId w:val="1033"/>
              </w:numPr>
              <w:jc w:val="left"/>
            </w:pPr>
            <w:r>
              <w:t xml:space="preserve">Typ: Datum</w:t>
            </w:r>
            <w:r>
              <w:t xml:space="preserve"> </w:t>
            </w:r>
            <w:r>
              <w:t xml:space="preserve">(</w:t>
            </w:r>
            <w:hyperlink r:id="rId104">
              <w:r>
                <w:rPr>
                  <w:rStyle w:val="Hyperlink"/>
                </w:rPr>
                <w:t xml:space="preserve">xsd:date</w:t>
              </w:r>
            </w:hyperlink>
            <w:r>
              <w:t xml:space="preserve">)</w:t>
            </w:r>
          </w:p>
          <w:p>
            <w:pPr>
              <w:pStyle w:val="Compact"/>
              <w:numPr>
                <w:ilvl w:val="0"/>
                <w:numId w:val="1033"/>
              </w:numPr>
              <w:jc w:val="left"/>
            </w:pPr>
            <w:r>
              <w:t xml:space="preserve">Wertebereich: ≥ 2000-01-01</w:t>
            </w:r>
          </w:p>
          <w:p>
            <w:pPr>
              <w:pStyle w:val="Compact"/>
              <w:numPr>
                <w:ilvl w:val="0"/>
                <w:numId w:val="1033"/>
              </w:numPr>
              <w:jc w:val="left"/>
            </w:pPr>
            <w:r>
              <w:t xml:space="preserve">Beispiele: 2001-01-01, 2024-05-21</w:t>
            </w:r>
          </w:p>
        </w:tc>
        <w:tc>
          <w:tcPr/>
          <w:p>
            <w:pPr>
              <w:pStyle w:val="Compact"/>
              <w:jc w:val="right"/>
            </w:pPr>
            <w:r>
              <w:t xml:space="preserve">0..*</w:t>
            </w:r>
          </w:p>
        </w:tc>
      </w:tr>
    </w:tbl>
    <w:bookmarkEnd w:id="151"/>
    <w:bookmarkStart w:id="154" w:name="sec-nodeshape-invoiceshape-rules"/>
    <w:p>
      <w:pPr>
        <w:pStyle w:val="berschrift3"/>
      </w:pPr>
      <w:r>
        <w:t xml:space="preserve">3.8.3 Regeln (SPARQL)</w:t>
      </w:r>
    </w:p>
    <w:bookmarkStart w:id="152"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52"/>
    <w:bookmarkStart w:id="153"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53"/>
    <w:bookmarkEnd w:id="154"/>
    <w:bookmarkEnd w:id="155"/>
    <w:bookmarkEnd w:id="156"/>
    <w:bookmarkStart w:id="158"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57">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8"/>
    <w:bookmarkStart w:id="159"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59"/>
    <w:bookmarkStart w:id="160"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60"/>
    <w:bookmarkStart w:id="161"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61"/>
    <w:bookmarkStart w:id="191" w:name="sec-appendix-a"/>
    <w:p>
      <w:pPr>
        <w:pStyle w:val="berschrift1"/>
      </w:pPr>
      <w:r>
        <w:t xml:space="preserve">Anhang A – Referenzen</w:t>
      </w:r>
    </w:p>
    <w:bookmarkStart w:id="190" w:name="refs"/>
    <w:bookmarkStart w:id="163"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62">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63"/>
    <w:bookmarkStart w:id="165"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4">
        <w:r>
          <w:rPr>
            <w:rStyle w:val="Hyperlink"/>
            <w:i/>
            <w:iCs/>
          </w:rPr>
          <w:t xml:space="preserve">Data Catalog Vocabulary (DCAT) – Version 3</w:t>
        </w:r>
      </w:hyperlink>
      <w:r>
        <w:t xml:space="preserve"> </w:t>
      </w:r>
      <w:r>
        <w:t xml:space="preserve">(W3C Recommendation) : World Wide Web Consortium (W3C), 2024</w:t>
      </w:r>
    </w:p>
    <w:bookmarkEnd w:id="165"/>
    <w:bookmarkStart w:id="167" w:name="ref-eCH-0003:11.1.0"/>
    <w:p>
      <w:pPr>
        <w:pStyle w:val="Bibliography"/>
      </w:pPr>
      <w:r>
        <w:t xml:space="preserve">[eCH-0003 11.1.0]</w:t>
      </w:r>
      <w:r>
        <w:t xml:space="preserve"> </w:t>
      </w:r>
      <w:r>
        <w:t xml:space="preserve">	</w:t>
      </w:r>
      <w:r>
        <w:t xml:space="preserve">Verein eCH:</w:t>
      </w:r>
      <w:r>
        <w:t xml:space="preserve"> </w:t>
      </w:r>
      <w:hyperlink r:id="rId166">
        <w:r>
          <w:rPr>
            <w:rStyle w:val="Hyperlink"/>
            <w:i/>
            <w:iCs/>
          </w:rPr>
          <w:t xml:space="preserve">eCH-0003 Leitfaden zur Genehmigung von Anträgen</w:t>
        </w:r>
      </w:hyperlink>
      <w:r>
        <w:t xml:space="preserve"> </w:t>
      </w:r>
      <w:r>
        <w:t xml:space="preserve">(eCH-Standard) : Verein eCH, 2022</w:t>
      </w:r>
    </w:p>
    <w:bookmarkEnd w:id="167"/>
    <w:bookmarkStart w:id="169" w:name="ref-eCH-0010:8.1.0"/>
    <w:p>
      <w:pPr>
        <w:pStyle w:val="Bibliography"/>
      </w:pPr>
      <w:r>
        <w:t xml:space="preserve">[eCH-0010 8.1.0]</w:t>
      </w:r>
      <w:r>
        <w:t xml:space="preserve"> </w:t>
      </w:r>
      <w:r>
        <w:t xml:space="preserve">	</w:t>
      </w:r>
      <w:r>
        <w:t xml:space="preserve">Verein eCH:</w:t>
      </w:r>
      <w:r>
        <w:t xml:space="preserve"> </w:t>
      </w:r>
      <w:hyperlink r:id="rId168">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9"/>
    <w:bookmarkStart w:id="171"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70">
        <w:r>
          <w:rPr>
            <w:rStyle w:val="Hyperlink"/>
            <w:i/>
            <w:iCs/>
          </w:rPr>
          <w:t xml:space="preserve">eCH-0200 DCAT-Anwendungsprofil für Datenportale in der Schweiz (DCAT-AP CH)</w:t>
        </w:r>
      </w:hyperlink>
      <w:r>
        <w:t xml:space="preserve"> </w:t>
      </w:r>
      <w:r>
        <w:t xml:space="preserve">(eCH-Standard) : Verein eCH, 2025</w:t>
      </w:r>
    </w:p>
    <w:bookmarkEnd w:id="171"/>
    <w:bookmarkStart w:id="173"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72">
        <w:r>
          <w:rPr>
            <w:rStyle w:val="Hyperlink"/>
            <w:i/>
            <w:iCs/>
          </w:rPr>
          <w:t xml:space="preserve">eCH-0205 Linked Open Data</w:t>
        </w:r>
      </w:hyperlink>
      <w:r>
        <w:t xml:space="preserve"> </w:t>
      </w:r>
      <w:r>
        <w:t xml:space="preserve">(eCH-Hilfsmittel) : Verein eCH, 2018</w:t>
      </w:r>
    </w:p>
    <w:bookmarkEnd w:id="173"/>
    <w:bookmarkStart w:id="175"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4">
        <w:r>
          <w:rPr>
            <w:rStyle w:val="Hyperlink"/>
            <w:i/>
            <w:iCs/>
          </w:rPr>
          <w:t xml:space="preserve">eCH-0265 Datenstandard Agrardaten – Flächen und Kulturen</w:t>
        </w:r>
      </w:hyperlink>
      <w:r>
        <w:t xml:space="preserve"> </w:t>
      </w:r>
      <w:r>
        <w:t xml:space="preserve">(eCH-Standard) : Verein eCH, 2024</w:t>
      </w:r>
    </w:p>
    <w:bookmarkEnd w:id="175"/>
    <w:bookmarkStart w:id="177"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6">
        <w:r>
          <w:rPr>
            <w:rStyle w:val="Hyperlink"/>
            <w:i/>
            <w:iCs/>
          </w:rPr>
          <w:t xml:space="preserve">JSON-LD 1.1 – A JSON-based Serialization for Linked Data</w:t>
        </w:r>
      </w:hyperlink>
      <w:r>
        <w:t xml:space="preserve"> </w:t>
      </w:r>
      <w:r>
        <w:t xml:space="preserve">(W3C Recommendation) : World Wide Web Consortium (W3C), 2020</w:t>
      </w:r>
    </w:p>
    <w:bookmarkEnd w:id="177"/>
    <w:bookmarkStart w:id="179" w:name="ref-OWL2"/>
    <w:p>
      <w:pPr>
        <w:pStyle w:val="Bibliography"/>
      </w:pPr>
      <w:r>
        <w:t xml:space="preserve">[OWL 2]</w:t>
      </w:r>
      <w:r>
        <w:t xml:space="preserve"> </w:t>
      </w:r>
      <w:r>
        <w:t xml:space="preserve">	</w:t>
      </w:r>
      <w:r>
        <w:t xml:space="preserve">W3C OWL Working Group:</w:t>
      </w:r>
      <w:r>
        <w:t xml:space="preserve"> </w:t>
      </w:r>
      <w:hyperlink r:id="rId178">
        <w:r>
          <w:rPr>
            <w:rStyle w:val="Hyperlink"/>
            <w:i/>
            <w:iCs/>
          </w:rPr>
          <w:t xml:space="preserve">OWL 2 Web Ontology Language Document Overview (Second Edition)</w:t>
        </w:r>
      </w:hyperlink>
      <w:r>
        <w:t xml:space="preserve"> </w:t>
      </w:r>
      <w:r>
        <w:t xml:space="preserve">(W3C Recommendation) : World Wide Web Consortium (W3C), 2012</w:t>
      </w:r>
    </w:p>
    <w:bookmarkEnd w:id="179"/>
    <w:bookmarkStart w:id="181" w:name="ref-cyganiak2014rdf11"/>
    <w:p>
      <w:pPr>
        <w:pStyle w:val="Bibliography"/>
      </w:pPr>
      <w:r>
        <w:t xml:space="preserve">[RDF]</w:t>
      </w:r>
      <w:r>
        <w:t xml:space="preserve"> </w:t>
      </w:r>
      <w:r>
        <w:t xml:space="preserve">	</w:t>
      </w:r>
      <w:r>
        <w:t xml:space="preserve">Cyganiak, Richard ; Wood, David ; Lanthaler, Markus:</w:t>
      </w:r>
      <w:r>
        <w:t xml:space="preserve"> </w:t>
      </w:r>
      <w:hyperlink r:id="rId180">
        <w:r>
          <w:rPr>
            <w:rStyle w:val="Hyperlink"/>
            <w:i/>
            <w:iCs/>
          </w:rPr>
          <w:t xml:space="preserve">RDF 1.1 Concepts and Abstract Syntax</w:t>
        </w:r>
      </w:hyperlink>
      <w:r>
        <w:t xml:space="preserve"> </w:t>
      </w:r>
      <w:r>
        <w:t xml:space="preserve">(W3C Recommendation) : World Wide Web Consortium (W3C), 2014</w:t>
      </w:r>
    </w:p>
    <w:bookmarkEnd w:id="181"/>
    <w:bookmarkStart w:id="183" w:name="ref-SHACL"/>
    <w:p>
      <w:pPr>
        <w:pStyle w:val="Bibliography"/>
      </w:pPr>
      <w:r>
        <w:t xml:space="preserve">[SHACL]</w:t>
      </w:r>
      <w:r>
        <w:t xml:space="preserve"> </w:t>
      </w:r>
      <w:r>
        <w:t xml:space="preserve">	</w:t>
      </w:r>
      <w:r>
        <w:t xml:space="preserve">Knublauch, Holger ; Kontokostas, Dimitris:</w:t>
      </w:r>
      <w:r>
        <w:t xml:space="preserve"> </w:t>
      </w:r>
      <w:hyperlink r:id="rId182">
        <w:r>
          <w:rPr>
            <w:rStyle w:val="Hyperlink"/>
            <w:i/>
            <w:iCs/>
          </w:rPr>
          <w:t xml:space="preserve">Shapes Constraint Language (SHACL)</w:t>
        </w:r>
      </w:hyperlink>
      <w:r>
        <w:t xml:space="preserve"> </w:t>
      </w:r>
      <w:r>
        <w:t xml:space="preserve">(W3C Recommendation) : World Wide Web Consortium (W3C), 2017</w:t>
      </w:r>
    </w:p>
    <w:bookmarkEnd w:id="183"/>
    <w:bookmarkStart w:id="185" w:name="ref-SKOS"/>
    <w:p>
      <w:pPr>
        <w:pStyle w:val="Bibliography"/>
      </w:pPr>
      <w:r>
        <w:t xml:space="preserve">[SKOS]</w:t>
      </w:r>
      <w:r>
        <w:t xml:space="preserve"> </w:t>
      </w:r>
      <w:r>
        <w:t xml:space="preserve">	</w:t>
      </w:r>
      <w:r>
        <w:t xml:space="preserve">Miles, Alistair ; Bechhofer, Sean:</w:t>
      </w:r>
      <w:r>
        <w:t xml:space="preserve"> </w:t>
      </w:r>
      <w:hyperlink r:id="rId184">
        <w:r>
          <w:rPr>
            <w:rStyle w:val="Hyperlink"/>
            <w:i/>
            <w:iCs/>
          </w:rPr>
          <w:t xml:space="preserve">SKOS Simple Knowledge Organization System Reference</w:t>
        </w:r>
      </w:hyperlink>
      <w:r>
        <w:t xml:space="preserve"> </w:t>
      </w:r>
      <w:r>
        <w:t xml:space="preserve">(W3C Recommendation) : World Wide Web Consortium (W3C), 2009</w:t>
      </w:r>
    </w:p>
    <w:bookmarkEnd w:id="185"/>
    <w:bookmarkStart w:id="187" w:name="ref-SPARQL"/>
    <w:p>
      <w:pPr>
        <w:pStyle w:val="Bibliography"/>
      </w:pPr>
      <w:r>
        <w:t xml:space="preserve">[SPARQL]</w:t>
      </w:r>
      <w:r>
        <w:t xml:space="preserve"> </w:t>
      </w:r>
      <w:r>
        <w:t xml:space="preserve">	</w:t>
      </w:r>
      <w:r>
        <w:t xml:space="preserve">Harris, Steve ; Seaborne, Andy:</w:t>
      </w:r>
      <w:r>
        <w:t xml:space="preserve"> </w:t>
      </w:r>
      <w:hyperlink r:id="rId186">
        <w:r>
          <w:rPr>
            <w:rStyle w:val="Hyperlink"/>
            <w:i/>
            <w:iCs/>
          </w:rPr>
          <w:t xml:space="preserve">SPARQL 1.1 Query Language</w:t>
        </w:r>
      </w:hyperlink>
      <w:r>
        <w:t xml:space="preserve"> </w:t>
      </w:r>
      <w:r>
        <w:t xml:space="preserve">(W3C Recommendation) : World Wide Web Consortium (W3C), 2013</w:t>
      </w:r>
    </w:p>
    <w:bookmarkEnd w:id="187"/>
    <w:bookmarkStart w:id="189"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8">
        <w:r>
          <w:rPr>
            <w:rStyle w:val="Hyperlink"/>
            <w:i/>
            <w:iCs/>
          </w:rPr>
          <w:t xml:space="preserve">RDF 1.1 Turtle – Terse RDF Triple Language</w:t>
        </w:r>
      </w:hyperlink>
      <w:r>
        <w:t xml:space="preserve"> </w:t>
      </w:r>
      <w:r>
        <w:t xml:space="preserve">(W3C Recommendation) : World Wide Web Consortium (W3C), 2014</w:t>
      </w:r>
    </w:p>
    <w:bookmarkEnd w:id="189"/>
    <w:bookmarkEnd w:id="190"/>
    <w:bookmarkEnd w:id="191"/>
    <w:bookmarkStart w:id="192"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192"/>
    <w:bookmarkStart w:id="195"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57">
        <w:r>
          <w:rPr>
            <w:rStyle w:val="Hyperlink"/>
          </w:rPr>
          <w:t xml:space="preserve">LINDAS</w:t>
        </w:r>
      </w:hyperlink>
      <w:r>
        <w:t xml:space="preserve"> </w:t>
      </w:r>
      <w:r>
        <w:t xml:space="preserve">und im</w:t>
      </w:r>
      <w:r>
        <w:t xml:space="preserve"> </w:t>
      </w:r>
      <w:hyperlink r:id="rId193">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tbl-glossary"/>
          <w:p>
            <w:pPr>
              <w:jc w:val="center"/>
            </w:pPr>
            <w:pPr>
              <w:jc w:val="left"/>
              <w:spacing w:before="200"/>
              <w:pStyle w:val="ImageCaption"/>
            </w:pPr>
            <w:r>
              <w:t xml:space="preserve">Tabelle 3: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194"/>
          <w:p/>
        </w:tc>
      </w:tr>
    </w:tbl>
    <w:bookmarkEnd w:id="195"/>
    <w:bookmarkStart w:id="197"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34"/>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34"/>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34"/>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34"/>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196">
        <w:r>
          <w:rPr>
            <w:rStyle w:val="Hyperlink"/>
          </w:rPr>
          <w:t xml:space="preserve">Releases auf GitHub</w:t>
        </w:r>
      </w:hyperlink>
      <w:r>
        <w:t xml:space="preserve">.</w:t>
      </w:r>
    </w:p>
    <w:bookmarkEnd w:id="197"/>
    <w:bookmarkStart w:id="198" w:name="sec-appendix-e"/>
    <w:p>
      <w:pPr>
        <w:pStyle w:val="berschrift1"/>
      </w:pPr>
      <w:r>
        <w:t xml:space="preserve">Anhang E – Abbildungsverzeichnis</w:t>
      </w:r>
    </w:p>
    <w:bookmarkEnd w:id="198"/>
    <w:bookmarkStart w:id="199" w:name="sec-appendix-f"/>
    <w:p>
      <w:pPr>
        <w:pStyle w:val="berschrift1"/>
      </w:pPr>
      <w:r>
        <w:t xml:space="preserve">Anhang F – Tabellenverzeichnis</w:t>
      </w:r>
    </w:p>
    <w:bookmarkEnd w:id="199"/>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38" Target="http://qudt.org/vocab/unit/BYTE" TargetMode="External" /><Relationship Type="http://schemas.openxmlformats.org/officeDocument/2006/relationships/hyperlink" Id="rId137" Target="http://qudt.org/vocab/unit/EA" TargetMode="External" /><Relationship Type="http://schemas.openxmlformats.org/officeDocument/2006/relationships/hyperlink" Id="rId139" Target="http://qudt.org/vocab/unit/MilliSEC" TargetMode="External" /><Relationship Type="http://schemas.openxmlformats.org/officeDocument/2006/relationships/hyperlink" Id="rId136" Target="http://qudt.org/vocab/unit/USD" TargetMode="External" /><Relationship Type="http://schemas.openxmlformats.org/officeDocument/2006/relationships/hyperlink" Id="rId143"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49" Target="http://schema.org/OrderItem" TargetMode="External" /><Relationship Type="http://schemas.openxmlformats.org/officeDocument/2006/relationships/hyperlink" Id="rId92" Target="http://schema.org/Organisation" TargetMode="External" /><Relationship Type="http://schemas.openxmlformats.org/officeDocument/2006/relationships/hyperlink" Id="rId107" Target="http://schema.org/Organization" TargetMode="External" /><Relationship Type="http://schemas.openxmlformats.org/officeDocument/2006/relationships/hyperlink" Id="rId97" Target="http://schema.org/Person" TargetMode="External" /><Relationship Type="http://schemas.openxmlformats.org/officeDocument/2006/relationships/hyperlink" Id="rId115" Target="http://schema.org/PostalAddress" TargetMode="External" /><Relationship Type="http://schemas.openxmlformats.org/officeDocument/2006/relationships/hyperlink" Id="rId129" Target="http://schema.org/QuantitativeValue" TargetMode="External" /><Relationship Type="http://schemas.openxmlformats.org/officeDocument/2006/relationships/hyperlink" Id="rId105" Target="http://schema.org/address" TargetMode="External" /><Relationship Type="http://schemas.openxmlformats.org/officeDocument/2006/relationships/hyperlink" Id="rId122" Target="http://schema.org/addressCountry" TargetMode="External" /><Relationship Type="http://schemas.openxmlformats.org/officeDocument/2006/relationships/hyperlink" Id="rId120" Target="http://schema.org/addressLocality" TargetMode="External" /><Relationship Type="http://schemas.openxmlformats.org/officeDocument/2006/relationships/hyperlink" Id="rId121"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03"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88" Target="http://schema.org/contentSize" TargetMode="External" /><Relationship Type="http://schemas.openxmlformats.org/officeDocument/2006/relationships/hyperlink" Id="rId146" Target="http://schema.org/customer" TargetMode="External" /><Relationship Type="http://schemas.openxmlformats.org/officeDocument/2006/relationships/hyperlink" Id="rId150" Target="http://schema.org/dateCreated" TargetMode="External" /><Relationship Type="http://schemas.openxmlformats.org/officeDocument/2006/relationships/hyperlink" Id="rId87" Target="http://schema.org/duration" TargetMode="External" /><Relationship Type="http://schemas.openxmlformats.org/officeDocument/2006/relationships/hyperlink" Id="rId102" Target="http://schema.org/email" TargetMode="External" /><Relationship Type="http://schemas.openxmlformats.org/officeDocument/2006/relationships/hyperlink" Id="rId101"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00" Target="http://schema.org/givenName" TargetMode="External" /><Relationship Type="http://schemas.openxmlformats.org/officeDocument/2006/relationships/hyperlink" Id="rId148" Target="http://schema.org/hasPart" TargetMode="External" /><Relationship Type="http://schemas.openxmlformats.org/officeDocument/2006/relationships/hyperlink" Id="rId84" Target="http://schema.org/inAlbum" TargetMode="External" /><Relationship Type="http://schemas.openxmlformats.org/officeDocument/2006/relationships/hyperlink" Id="rId108" Target="http://schema.org/jobTitle" TargetMode="External" /><Relationship Type="http://schemas.openxmlformats.org/officeDocument/2006/relationships/hyperlink" Id="rId109"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19" Target="http://schema.org/postalCode" TargetMode="External" /><Relationship Type="http://schemas.openxmlformats.org/officeDocument/2006/relationships/hyperlink" Id="rId118" Target="http://schema.org/streetAddress" TargetMode="External" /><Relationship Type="http://schemas.openxmlformats.org/officeDocument/2006/relationships/hyperlink" Id="rId147" Target="http://schema.org/totalPaymentDue" TargetMode="External" /><Relationship Type="http://schemas.openxmlformats.org/officeDocument/2006/relationships/hyperlink" Id="rId135" Target="http://schema.org/unitCode" TargetMode="External" /><Relationship Type="http://schemas.openxmlformats.org/officeDocument/2006/relationships/hyperlink" Id="rId132" Target="http://schema.org/value" TargetMode="External" /><Relationship Type="http://schemas.openxmlformats.org/officeDocument/2006/relationships/hyperlink" Id="rId106"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04" Target="http://www.w3.org/2001/XMLSchema#date" TargetMode="External" /><Relationship Type="http://schemas.openxmlformats.org/officeDocument/2006/relationships/hyperlink" Id="rId133" Target="http://www.w3.org/2001/XMLSchema#decimal" TargetMode="External" /><Relationship Type="http://schemas.openxmlformats.org/officeDocument/2006/relationships/hyperlink" Id="rId13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2"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6" Target="https://agriculture.ld.admin.ch/eCH-1234/2/PersonShape" TargetMode="External" /><Relationship Type="http://schemas.openxmlformats.org/officeDocument/2006/relationships/hyperlink" Id="rId114" Target="https://agriculture.ld.admin.ch/eCH-1234/2/PostalAddressShape" TargetMode="External" /><Relationship Type="http://schemas.openxmlformats.org/officeDocument/2006/relationships/hyperlink" Id="rId128"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23" Target="https://ld.admin.ch/country/CHE" TargetMode="External" /><Relationship Type="http://schemas.openxmlformats.org/officeDocument/2006/relationships/hyperlink" Id="rId124" Target="https://ld.admin.ch/country/FRA" TargetMode="External" /><Relationship Type="http://schemas.openxmlformats.org/officeDocument/2006/relationships/hyperlink" Id="rId125"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4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8"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16"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30"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38" Target="http://qudt.org/vocab/unit/BYTE" TargetMode="External" /><Relationship Type="http://schemas.openxmlformats.org/officeDocument/2006/relationships/hyperlink" Id="rId137" Target="http://qudt.org/vocab/unit/EA" TargetMode="External" /><Relationship Type="http://schemas.openxmlformats.org/officeDocument/2006/relationships/hyperlink" Id="rId139" Target="http://qudt.org/vocab/unit/MilliSEC" TargetMode="External" /><Relationship Type="http://schemas.openxmlformats.org/officeDocument/2006/relationships/hyperlink" Id="rId136" Target="http://qudt.org/vocab/unit/USD" TargetMode="External" /><Relationship Type="http://schemas.openxmlformats.org/officeDocument/2006/relationships/hyperlink" Id="rId143"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49" Target="http://schema.org/OrderItem" TargetMode="External" /><Relationship Type="http://schemas.openxmlformats.org/officeDocument/2006/relationships/hyperlink" Id="rId92" Target="http://schema.org/Organisation" TargetMode="External" /><Relationship Type="http://schemas.openxmlformats.org/officeDocument/2006/relationships/hyperlink" Id="rId107" Target="http://schema.org/Organization" TargetMode="External" /><Relationship Type="http://schemas.openxmlformats.org/officeDocument/2006/relationships/hyperlink" Id="rId97" Target="http://schema.org/Person" TargetMode="External" /><Relationship Type="http://schemas.openxmlformats.org/officeDocument/2006/relationships/hyperlink" Id="rId115" Target="http://schema.org/PostalAddress" TargetMode="External" /><Relationship Type="http://schemas.openxmlformats.org/officeDocument/2006/relationships/hyperlink" Id="rId129" Target="http://schema.org/QuantitativeValue" TargetMode="External" /><Relationship Type="http://schemas.openxmlformats.org/officeDocument/2006/relationships/hyperlink" Id="rId105" Target="http://schema.org/address" TargetMode="External" /><Relationship Type="http://schemas.openxmlformats.org/officeDocument/2006/relationships/hyperlink" Id="rId122" Target="http://schema.org/addressCountry" TargetMode="External" /><Relationship Type="http://schemas.openxmlformats.org/officeDocument/2006/relationships/hyperlink" Id="rId120" Target="http://schema.org/addressLocality" TargetMode="External" /><Relationship Type="http://schemas.openxmlformats.org/officeDocument/2006/relationships/hyperlink" Id="rId121"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03"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88" Target="http://schema.org/contentSize" TargetMode="External" /><Relationship Type="http://schemas.openxmlformats.org/officeDocument/2006/relationships/hyperlink" Id="rId146" Target="http://schema.org/customer" TargetMode="External" /><Relationship Type="http://schemas.openxmlformats.org/officeDocument/2006/relationships/hyperlink" Id="rId150" Target="http://schema.org/dateCreated" TargetMode="External" /><Relationship Type="http://schemas.openxmlformats.org/officeDocument/2006/relationships/hyperlink" Id="rId87" Target="http://schema.org/duration" TargetMode="External" /><Relationship Type="http://schemas.openxmlformats.org/officeDocument/2006/relationships/hyperlink" Id="rId102" Target="http://schema.org/email" TargetMode="External" /><Relationship Type="http://schemas.openxmlformats.org/officeDocument/2006/relationships/hyperlink" Id="rId101"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00" Target="http://schema.org/givenName" TargetMode="External" /><Relationship Type="http://schemas.openxmlformats.org/officeDocument/2006/relationships/hyperlink" Id="rId148" Target="http://schema.org/hasPart" TargetMode="External" /><Relationship Type="http://schemas.openxmlformats.org/officeDocument/2006/relationships/hyperlink" Id="rId84" Target="http://schema.org/inAlbum" TargetMode="External" /><Relationship Type="http://schemas.openxmlformats.org/officeDocument/2006/relationships/hyperlink" Id="rId108" Target="http://schema.org/jobTitle" TargetMode="External" /><Relationship Type="http://schemas.openxmlformats.org/officeDocument/2006/relationships/hyperlink" Id="rId109"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19" Target="http://schema.org/postalCode" TargetMode="External" /><Relationship Type="http://schemas.openxmlformats.org/officeDocument/2006/relationships/hyperlink" Id="rId118" Target="http://schema.org/streetAddress" TargetMode="External" /><Relationship Type="http://schemas.openxmlformats.org/officeDocument/2006/relationships/hyperlink" Id="rId147" Target="http://schema.org/totalPaymentDue" TargetMode="External" /><Relationship Type="http://schemas.openxmlformats.org/officeDocument/2006/relationships/hyperlink" Id="rId135" Target="http://schema.org/unitCode" TargetMode="External" /><Relationship Type="http://schemas.openxmlformats.org/officeDocument/2006/relationships/hyperlink" Id="rId132" Target="http://schema.org/value" TargetMode="External" /><Relationship Type="http://schemas.openxmlformats.org/officeDocument/2006/relationships/hyperlink" Id="rId106"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04" Target="http://www.w3.org/2001/XMLSchema#date" TargetMode="External" /><Relationship Type="http://schemas.openxmlformats.org/officeDocument/2006/relationships/hyperlink" Id="rId133" Target="http://www.w3.org/2001/XMLSchema#decimal" TargetMode="External" /><Relationship Type="http://schemas.openxmlformats.org/officeDocument/2006/relationships/hyperlink" Id="rId13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2"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6" Target="https://agriculture.ld.admin.ch/eCH-1234/2/PersonShape" TargetMode="External" /><Relationship Type="http://schemas.openxmlformats.org/officeDocument/2006/relationships/hyperlink" Id="rId114" Target="https://agriculture.ld.admin.ch/eCH-1234/2/PostalAddressShape" TargetMode="External" /><Relationship Type="http://schemas.openxmlformats.org/officeDocument/2006/relationships/hyperlink" Id="rId128"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23" Target="https://ld.admin.ch/country/CHE" TargetMode="External" /><Relationship Type="http://schemas.openxmlformats.org/officeDocument/2006/relationships/hyperlink" Id="rId124" Target="https://ld.admin.ch/country/FRA" TargetMode="External" /><Relationship Type="http://schemas.openxmlformats.org/officeDocument/2006/relationships/hyperlink" Id="rId125"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4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8"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16"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30"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2026-10-08T11:36:50Z</dcterms:created>
  <dcterms:modified xsi:type="dcterms:W3CDTF">2026-10-08T11:36:50Z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